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汾阳市水务局关于办事服务事项所需表格的情况说明</w:t>
      </w:r>
    </w:p>
    <w:p>
      <w:pPr>
        <w:rPr>
          <w:rFonts w:hint="eastAsia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门户网站上办事服务事项共有十二项，分别为：河道采砂许可、取水许可审批、生产建设项目水土保持方案审批、非防洪建设项目洪水影响评价报告审批、水产苗种生产审批、水产养殖许可、泉域水环境影响评价报告书审批、河道排污口设置和扩大审批、河道管理范围内有关活动批准、占用农业灌溉水源、灌排工程设施审批、水域滩涂养殖证核发审批、民间规模性水生生物增值放流活动审批，其中取水许可审批、河道排污口设置和扩大审批需提交表格，其他事项审批均为文件审批，不需要填写表格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8710F"/>
    <w:rsid w:val="2F1539D1"/>
    <w:rsid w:val="4E78710F"/>
    <w:rsid w:val="61E43D24"/>
    <w:rsid w:val="698611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2018-04-19T03:40:00Z</dcterms:created>
  <dc:creator>Administrator</dc:creator>
  <cp:lastModifiedBy>网络信息</cp:lastModifiedBy>
  <cp:lastPrinted>2018-04-19T03:55:00Z</cp:lastPrinted>
  <dcterms:modified xsi:type="dcterms:W3CDTF">2018-04-20T07:55:51Z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