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BAA5A">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黑体" w:hAnsi="Times New Roman" w:eastAsia="黑体"/>
          <w:sz w:val="32"/>
          <w:szCs w:val="32"/>
          <w:lang w:val="en-US" w:eastAsia="zh-CN"/>
        </w:rPr>
      </w:pPr>
      <w:bookmarkStart w:id="0" w:name="_GoBack"/>
      <w:bookmarkEnd w:id="0"/>
      <w:r>
        <w:rPr>
          <w:rFonts w:hint="eastAsia" w:ascii="黑体" w:hAnsi="Times New Roman" w:eastAsia="黑体"/>
          <w:sz w:val="32"/>
          <w:szCs w:val="32"/>
        </w:rPr>
        <w:t>附件</w:t>
      </w:r>
      <w:r>
        <w:rPr>
          <w:rFonts w:hint="eastAsia" w:ascii="黑体" w:hAnsi="Times New Roman" w:eastAsia="黑体"/>
          <w:sz w:val="32"/>
          <w:szCs w:val="32"/>
          <w:lang w:val="en-US" w:eastAsia="zh-CN"/>
        </w:rPr>
        <w:t>1</w:t>
      </w:r>
    </w:p>
    <w:p w14:paraId="3E64801C">
      <w:pPr>
        <w:pStyle w:val="9"/>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b w:val="0"/>
          <w:bCs w:val="0"/>
          <w:sz w:val="32"/>
          <w:szCs w:val="32"/>
          <w:lang w:val="en-US" w:eastAsia="zh-CN"/>
        </w:rPr>
      </w:pPr>
    </w:p>
    <w:p w14:paraId="67FEE6A6">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各镇（街道）、成员单位打击非法集资专项行动联系表</w:t>
      </w:r>
    </w:p>
    <w:p w14:paraId="60B9F22C">
      <w:pPr>
        <w:pStyle w:val="9"/>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b w:val="0"/>
          <w:bCs w:val="0"/>
          <w:sz w:val="32"/>
          <w:szCs w:val="32"/>
          <w:lang w:val="en-US" w:eastAsia="zh-CN"/>
        </w:rPr>
      </w:pPr>
    </w:p>
    <w:tbl>
      <w:tblPr>
        <w:tblStyle w:val="10"/>
        <w:tblpPr w:leftFromText="180" w:rightFromText="180" w:vertAnchor="text" w:horzAnchor="page" w:tblpX="1963" w:tblpY="539"/>
        <w:tblOverlap w:val="never"/>
        <w:tblW w:w="13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9"/>
        <w:gridCol w:w="1757"/>
        <w:gridCol w:w="1786"/>
        <w:gridCol w:w="2279"/>
        <w:gridCol w:w="1481"/>
        <w:gridCol w:w="2453"/>
        <w:gridCol w:w="1690"/>
      </w:tblGrid>
      <w:tr w14:paraId="6F85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F49D">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单位</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62A0">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分管负责人</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92B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职务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08A0">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联系方式</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3E2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联络员</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EB31">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联系方式</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B832">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邮箱</w:t>
            </w:r>
          </w:p>
        </w:tc>
      </w:tr>
      <w:tr w14:paraId="5DC9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8B67">
            <w:pPr>
              <w:jc w:val="center"/>
              <w:rPr>
                <w:rFonts w:hint="eastAsia" w:ascii="仿宋" w:hAnsi="仿宋" w:eastAsia="仿宋" w:cs="仿宋"/>
                <w:i w:val="0"/>
                <w:iCs w:val="0"/>
                <w:color w:val="000000"/>
                <w:sz w:val="28"/>
                <w:szCs w:val="2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3099">
            <w:pPr>
              <w:jc w:val="center"/>
              <w:rPr>
                <w:rFonts w:hint="eastAsia" w:ascii="仿宋" w:hAnsi="仿宋" w:eastAsia="仿宋" w:cs="仿宋"/>
                <w:b/>
                <w:bCs/>
                <w:i w:val="0"/>
                <w:iCs w:val="0"/>
                <w:color w:val="000000"/>
                <w:sz w:val="32"/>
                <w:szCs w:val="3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41EF">
            <w:pPr>
              <w:jc w:val="center"/>
              <w:rPr>
                <w:rFonts w:hint="eastAsia" w:ascii="仿宋" w:hAnsi="仿宋" w:eastAsia="仿宋" w:cs="仿宋"/>
                <w:b/>
                <w:bCs/>
                <w:i w:val="0"/>
                <w:iCs w:val="0"/>
                <w:color w:val="000000"/>
                <w:sz w:val="32"/>
                <w:szCs w:val="32"/>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709A">
            <w:pPr>
              <w:jc w:val="center"/>
              <w:rPr>
                <w:rFonts w:hint="eastAsia" w:ascii="仿宋" w:hAnsi="仿宋" w:eastAsia="仿宋" w:cs="仿宋"/>
                <w:b/>
                <w:bCs/>
                <w:i w:val="0"/>
                <w:iCs w:val="0"/>
                <w:color w:val="000000"/>
                <w:sz w:val="32"/>
                <w:szCs w:val="3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31C3">
            <w:pPr>
              <w:jc w:val="center"/>
              <w:rPr>
                <w:rFonts w:hint="eastAsia" w:ascii="仿宋" w:hAnsi="仿宋" w:eastAsia="仿宋" w:cs="仿宋"/>
                <w:b/>
                <w:bCs/>
                <w:i w:val="0"/>
                <w:iCs w:val="0"/>
                <w:color w:val="000000"/>
                <w:sz w:val="32"/>
                <w:szCs w:val="32"/>
                <w:u w:val="none"/>
              </w:rPr>
            </w:pP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2BFE">
            <w:pPr>
              <w:jc w:val="center"/>
              <w:rPr>
                <w:rFonts w:hint="eastAsia" w:ascii="仿宋" w:hAnsi="仿宋" w:eastAsia="仿宋" w:cs="仿宋"/>
                <w:b/>
                <w:bCs/>
                <w:i w:val="0"/>
                <w:iCs w:val="0"/>
                <w:color w:val="000000"/>
                <w:sz w:val="32"/>
                <w:szCs w:val="3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F04F">
            <w:pPr>
              <w:jc w:val="center"/>
              <w:rPr>
                <w:rFonts w:hint="eastAsia" w:ascii="宋体" w:hAnsi="宋体" w:eastAsia="宋体" w:cs="宋体"/>
                <w:i w:val="0"/>
                <w:iCs w:val="0"/>
                <w:color w:val="000000"/>
                <w:sz w:val="24"/>
                <w:szCs w:val="24"/>
                <w:u w:val="none"/>
              </w:rPr>
            </w:pPr>
          </w:p>
        </w:tc>
      </w:tr>
    </w:tbl>
    <w:p w14:paraId="18A1D00E">
      <w:pPr>
        <w:pStyle w:val="9"/>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b w:val="0"/>
          <w:bCs w:val="0"/>
          <w:sz w:val="32"/>
          <w:szCs w:val="32"/>
          <w:lang w:val="en-US" w:eastAsia="zh-CN"/>
        </w:rPr>
      </w:pPr>
    </w:p>
    <w:p w14:paraId="655C00F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p>
    <w:p w14:paraId="0D3D5BA0">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p>
    <w:p w14:paraId="44DB2275">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sectPr>
          <w:headerReference r:id="rId3" w:type="default"/>
          <w:footerReference r:id="rId4" w:type="default"/>
          <w:pgSz w:w="16838" w:h="11906" w:orient="landscape"/>
          <w:pgMar w:top="1587" w:right="2098" w:bottom="1474" w:left="1871" w:header="851" w:footer="992" w:gutter="0"/>
          <w:pgNumType w:fmt="numberInDash"/>
          <w:cols w:space="720" w:num="1"/>
          <w:docGrid w:type="lines" w:linePitch="312" w:charSpace="0"/>
        </w:sectPr>
      </w:pPr>
    </w:p>
    <w:p w14:paraId="34E65DE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C0DF8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打击非法集资专项行动工作情况统计表</w:t>
      </w:r>
    </w:p>
    <w:p w14:paraId="7665D90C">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eastAsia="zh-CN"/>
        </w:rPr>
      </w:pPr>
    </w:p>
    <w:p w14:paraId="40888EE0">
      <w:pPr>
        <w:rPr>
          <w:rFonts w:hint="default"/>
          <w:sz w:val="20"/>
          <w:szCs w:val="22"/>
          <w:lang w:val="en-US" w:eastAsia="zh-CN"/>
        </w:rPr>
      </w:pPr>
      <w:r>
        <w:rPr>
          <w:rFonts w:hint="eastAsia"/>
          <w:sz w:val="20"/>
          <w:szCs w:val="22"/>
          <w:lang w:eastAsia="zh-CN"/>
        </w:rPr>
        <w:t>填报单位：（加盖单位公章）</w:t>
      </w:r>
      <w:r>
        <w:rPr>
          <w:rFonts w:hint="eastAsia"/>
          <w:sz w:val="20"/>
          <w:szCs w:val="22"/>
          <w:lang w:val="en-US" w:eastAsia="zh-CN"/>
        </w:rPr>
        <w:t xml:space="preserve">               填报时间：  年  月  日                填报人：                    联系方式：</w:t>
      </w:r>
    </w:p>
    <w:tbl>
      <w:tblPr>
        <w:tblStyle w:val="10"/>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587"/>
        <w:gridCol w:w="464"/>
        <w:gridCol w:w="464"/>
        <w:gridCol w:w="464"/>
        <w:gridCol w:w="464"/>
        <w:gridCol w:w="464"/>
        <w:gridCol w:w="464"/>
        <w:gridCol w:w="341"/>
      </w:tblGrid>
      <w:tr w14:paraId="2118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26" w:type="dxa"/>
            <w:gridSpan w:val="2"/>
            <w:tcBorders>
              <w:top w:val="single" w:color="auto" w:sz="4" w:space="0"/>
              <w:left w:val="single" w:color="auto" w:sz="4" w:space="0"/>
              <w:bottom w:val="single" w:color="auto" w:sz="4" w:space="0"/>
              <w:right w:val="single" w:color="auto" w:sz="4" w:space="0"/>
            </w:tcBorders>
            <w:noWrap w:val="0"/>
            <w:vAlign w:val="center"/>
          </w:tcPr>
          <w:p w14:paraId="79DBAF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风险线索</w:t>
            </w:r>
          </w:p>
        </w:tc>
        <w:tc>
          <w:tcPr>
            <w:tcW w:w="4167" w:type="dxa"/>
            <w:gridSpan w:val="9"/>
            <w:tcBorders>
              <w:top w:val="single" w:color="auto" w:sz="4" w:space="0"/>
              <w:left w:val="single" w:color="auto" w:sz="4" w:space="0"/>
              <w:bottom w:val="single" w:color="auto" w:sz="4" w:space="0"/>
              <w:right w:val="single" w:color="auto" w:sz="4" w:space="0"/>
            </w:tcBorders>
            <w:noWrap w:val="0"/>
            <w:vAlign w:val="center"/>
          </w:tcPr>
          <w:p w14:paraId="2C36F1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行政处置</w:t>
            </w:r>
          </w:p>
        </w:tc>
        <w:tc>
          <w:tcPr>
            <w:tcW w:w="4754" w:type="dxa"/>
            <w:gridSpan w:val="10"/>
            <w:tcBorders>
              <w:top w:val="single" w:color="auto" w:sz="4" w:space="0"/>
              <w:left w:val="single" w:color="auto" w:sz="4" w:space="0"/>
              <w:bottom w:val="single" w:color="auto" w:sz="4" w:space="0"/>
              <w:right w:val="single" w:color="auto" w:sz="4" w:space="0"/>
            </w:tcBorders>
            <w:noWrap w:val="0"/>
            <w:vAlign w:val="center"/>
          </w:tcPr>
          <w:p w14:paraId="29F726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刑事打击</w:t>
            </w:r>
          </w:p>
        </w:tc>
        <w:tc>
          <w:tcPr>
            <w:tcW w:w="1392" w:type="dxa"/>
            <w:gridSpan w:val="3"/>
            <w:tcBorders>
              <w:top w:val="single" w:color="auto" w:sz="4" w:space="0"/>
              <w:left w:val="single" w:color="auto" w:sz="4" w:space="0"/>
              <w:bottom w:val="single" w:color="auto" w:sz="4" w:space="0"/>
              <w:right w:val="single" w:color="auto" w:sz="4" w:space="0"/>
            </w:tcBorders>
            <w:noWrap w:val="0"/>
            <w:vAlign w:val="center"/>
          </w:tcPr>
          <w:p w14:paraId="596910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调研指导</w:t>
            </w:r>
          </w:p>
        </w:tc>
        <w:tc>
          <w:tcPr>
            <w:tcW w:w="1392" w:type="dxa"/>
            <w:gridSpan w:val="3"/>
            <w:tcBorders>
              <w:top w:val="single" w:color="auto" w:sz="4" w:space="0"/>
              <w:left w:val="single" w:color="auto" w:sz="4" w:space="0"/>
              <w:bottom w:val="single" w:color="auto" w:sz="4" w:space="0"/>
              <w:right w:val="single" w:color="auto" w:sz="4" w:space="0"/>
            </w:tcBorders>
            <w:noWrap w:val="0"/>
            <w:vAlign w:val="center"/>
          </w:tcPr>
          <w:p w14:paraId="1C2EE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宣传教育</w:t>
            </w:r>
          </w:p>
        </w:tc>
        <w:tc>
          <w:tcPr>
            <w:tcW w:w="341" w:type="dxa"/>
            <w:vMerge w:val="restart"/>
            <w:tcBorders>
              <w:top w:val="single" w:color="auto" w:sz="4" w:space="0"/>
              <w:left w:val="single" w:color="auto" w:sz="4" w:space="0"/>
              <w:bottom w:val="single" w:color="auto" w:sz="4" w:space="0"/>
              <w:right w:val="single" w:color="auto" w:sz="4" w:space="0"/>
            </w:tcBorders>
            <w:noWrap w:val="0"/>
            <w:vAlign w:val="center"/>
          </w:tcPr>
          <w:p w14:paraId="5C7A7D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备注</w:t>
            </w:r>
          </w:p>
        </w:tc>
      </w:tr>
      <w:tr w14:paraId="56CC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11F6D3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发现数量（件</w:t>
            </w:r>
          </w:p>
          <w:p w14:paraId="083FA0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692A2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举报奖励（人次）</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077201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警示约谈（人次）</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445EC5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立案（件</w:t>
            </w:r>
          </w:p>
          <w:p w14:paraId="7670BA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28D158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处罚（件</w:t>
            </w:r>
          </w:p>
          <w:p w14:paraId="02EC78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54D2C1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警告（次数）</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767F6A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罚款（万元）</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778AA3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压降人数（人</w:t>
            </w:r>
          </w:p>
          <w:p w14:paraId="53EF21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p w14:paraId="7B8A05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36E1E4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责令停产停业（家次）</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66A317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吊销许可证、营业执照或注册登记证书（家</w:t>
            </w:r>
          </w:p>
          <w:p w14:paraId="302E51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36D5CF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移送公安（件</w:t>
            </w:r>
          </w:p>
          <w:p w14:paraId="629B00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tc>
        <w:tc>
          <w:tcPr>
            <w:tcW w:w="926" w:type="dxa"/>
            <w:gridSpan w:val="2"/>
            <w:tcBorders>
              <w:top w:val="single" w:color="auto" w:sz="4" w:space="0"/>
              <w:left w:val="single" w:color="auto" w:sz="4" w:space="0"/>
              <w:bottom w:val="single" w:color="auto" w:sz="4" w:space="0"/>
              <w:right w:val="single" w:color="auto" w:sz="4" w:space="0"/>
            </w:tcBorders>
            <w:noWrap w:val="0"/>
            <w:vAlign w:val="center"/>
          </w:tcPr>
          <w:p w14:paraId="515196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立案数量</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44AF92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抓捕（人次）</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6EA688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未兑付金额（万元）</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573964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未兑付人数（人</w:t>
            </w:r>
          </w:p>
          <w:p w14:paraId="34D450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4F13DC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移送起诉（件</w:t>
            </w:r>
          </w:p>
          <w:p w14:paraId="710F64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41D532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判决数量（件</w:t>
            </w:r>
          </w:p>
          <w:p w14:paraId="2FFFD4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56D9DC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执行到位资金（万元）</w:t>
            </w:r>
          </w:p>
        </w:tc>
        <w:tc>
          <w:tcPr>
            <w:tcW w:w="463" w:type="dxa"/>
            <w:vMerge w:val="restart"/>
            <w:tcBorders>
              <w:top w:val="single" w:color="auto" w:sz="4" w:space="0"/>
              <w:left w:val="single" w:color="auto" w:sz="4" w:space="0"/>
              <w:bottom w:val="single" w:color="auto" w:sz="4" w:space="0"/>
              <w:right w:val="single" w:color="auto" w:sz="4" w:space="0"/>
            </w:tcBorders>
            <w:noWrap w:val="0"/>
            <w:vAlign w:val="center"/>
          </w:tcPr>
          <w:p w14:paraId="386D0B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资金清退金额（万元）</w:t>
            </w:r>
          </w:p>
        </w:tc>
        <w:tc>
          <w:tcPr>
            <w:tcW w:w="587" w:type="dxa"/>
            <w:vMerge w:val="restart"/>
            <w:tcBorders>
              <w:top w:val="single" w:color="auto" w:sz="4" w:space="0"/>
              <w:left w:val="single" w:color="auto" w:sz="4" w:space="0"/>
              <w:bottom w:val="single" w:color="auto" w:sz="4" w:space="0"/>
              <w:right w:val="single" w:color="auto" w:sz="4" w:space="0"/>
            </w:tcBorders>
            <w:noWrap w:val="0"/>
            <w:vAlign w:val="center"/>
          </w:tcPr>
          <w:p w14:paraId="093AE1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结案数量（件）</w:t>
            </w:r>
          </w:p>
        </w:tc>
        <w:tc>
          <w:tcPr>
            <w:tcW w:w="464" w:type="dxa"/>
            <w:vMerge w:val="restart"/>
            <w:tcBorders>
              <w:top w:val="single" w:color="auto" w:sz="4" w:space="0"/>
              <w:left w:val="single" w:color="auto" w:sz="4" w:space="0"/>
              <w:bottom w:val="single" w:color="auto" w:sz="4" w:space="0"/>
              <w:right w:val="single" w:color="auto" w:sz="4" w:space="0"/>
            </w:tcBorders>
            <w:noWrap w:val="0"/>
            <w:vAlign w:val="center"/>
          </w:tcPr>
          <w:p w14:paraId="755F43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省级赴地市或县区（人次）</w:t>
            </w:r>
          </w:p>
        </w:tc>
        <w:tc>
          <w:tcPr>
            <w:tcW w:w="464" w:type="dxa"/>
            <w:vMerge w:val="restart"/>
            <w:tcBorders>
              <w:top w:val="single" w:color="auto" w:sz="4" w:space="0"/>
              <w:left w:val="single" w:color="auto" w:sz="4" w:space="0"/>
              <w:bottom w:val="single" w:color="auto" w:sz="4" w:space="0"/>
              <w:right w:val="single" w:color="auto" w:sz="4" w:space="0"/>
            </w:tcBorders>
            <w:noWrap w:val="0"/>
            <w:vAlign w:val="center"/>
          </w:tcPr>
          <w:p w14:paraId="1840A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地市赴县区或乡镇（人次）</w:t>
            </w:r>
          </w:p>
        </w:tc>
        <w:tc>
          <w:tcPr>
            <w:tcW w:w="464" w:type="dxa"/>
            <w:vMerge w:val="restart"/>
            <w:tcBorders>
              <w:top w:val="single" w:color="auto" w:sz="4" w:space="0"/>
              <w:left w:val="single" w:color="auto" w:sz="4" w:space="0"/>
              <w:bottom w:val="single" w:color="auto" w:sz="4" w:space="0"/>
              <w:right w:val="single" w:color="auto" w:sz="4" w:space="0"/>
            </w:tcBorders>
            <w:noWrap w:val="0"/>
            <w:vAlign w:val="center"/>
          </w:tcPr>
          <w:p w14:paraId="27683D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现场研判问题（个</w:t>
            </w:r>
          </w:p>
          <w:p w14:paraId="6E8369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tc>
        <w:tc>
          <w:tcPr>
            <w:tcW w:w="464" w:type="dxa"/>
            <w:vMerge w:val="restart"/>
            <w:tcBorders>
              <w:top w:val="single" w:color="auto" w:sz="4" w:space="0"/>
              <w:left w:val="single" w:color="auto" w:sz="4" w:space="0"/>
              <w:bottom w:val="single" w:color="auto" w:sz="4" w:space="0"/>
              <w:right w:val="single" w:color="auto" w:sz="4" w:space="0"/>
            </w:tcBorders>
            <w:noWrap w:val="0"/>
            <w:vAlign w:val="center"/>
          </w:tcPr>
          <w:p w14:paraId="01EDA7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线下宣传活动（场次）</w:t>
            </w:r>
          </w:p>
        </w:tc>
        <w:tc>
          <w:tcPr>
            <w:tcW w:w="464" w:type="dxa"/>
            <w:vMerge w:val="restart"/>
            <w:tcBorders>
              <w:top w:val="single" w:color="auto" w:sz="4" w:space="0"/>
              <w:left w:val="single" w:color="auto" w:sz="4" w:space="0"/>
              <w:bottom w:val="single" w:color="auto" w:sz="4" w:space="0"/>
              <w:right w:val="single" w:color="auto" w:sz="4" w:space="0"/>
            </w:tcBorders>
            <w:noWrap w:val="0"/>
            <w:vAlign w:val="center"/>
          </w:tcPr>
          <w:p w14:paraId="35E1C0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线上宣传点击量（次</w:t>
            </w:r>
          </w:p>
          <w:p w14:paraId="5586A0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tc>
        <w:tc>
          <w:tcPr>
            <w:tcW w:w="464" w:type="dxa"/>
            <w:vMerge w:val="restart"/>
            <w:tcBorders>
              <w:top w:val="single" w:color="auto" w:sz="4" w:space="0"/>
              <w:left w:val="single" w:color="auto" w:sz="4" w:space="0"/>
              <w:bottom w:val="single" w:color="auto" w:sz="4" w:space="0"/>
              <w:right w:val="single" w:color="auto" w:sz="4" w:space="0"/>
            </w:tcBorders>
            <w:noWrap w:val="0"/>
            <w:vAlign w:val="center"/>
          </w:tcPr>
          <w:p w14:paraId="19D84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宣传覆盖人数（人次）</w:t>
            </w:r>
          </w:p>
        </w:tc>
        <w:tc>
          <w:tcPr>
            <w:tcW w:w="341" w:type="dxa"/>
            <w:vMerge w:val="continue"/>
            <w:tcBorders>
              <w:top w:val="single" w:color="auto" w:sz="4" w:space="0"/>
              <w:left w:val="single" w:color="auto" w:sz="4" w:space="0"/>
              <w:bottom w:val="single" w:color="auto" w:sz="4" w:space="0"/>
              <w:right w:val="single" w:color="auto" w:sz="4" w:space="0"/>
            </w:tcBorders>
            <w:noWrap w:val="0"/>
            <w:vAlign w:val="center"/>
          </w:tcPr>
          <w:p w14:paraId="642C13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r>
      <w:tr w14:paraId="41E9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trPr>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7A5F62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4AF8E2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3670EB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15430A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1106DF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30C0FE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04DED0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74129F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6F41B8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53703E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33EF5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0FEB6D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合计（件</w:t>
            </w:r>
          </w:p>
          <w:p w14:paraId="439E8B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tc>
        <w:tc>
          <w:tcPr>
            <w:tcW w:w="463" w:type="dxa"/>
            <w:tcBorders>
              <w:top w:val="single" w:color="auto" w:sz="4" w:space="0"/>
              <w:left w:val="single" w:color="auto" w:sz="4" w:space="0"/>
              <w:bottom w:val="single" w:color="auto" w:sz="4" w:space="0"/>
              <w:right w:val="single" w:color="auto" w:sz="4" w:space="0"/>
            </w:tcBorders>
            <w:noWrap w:val="0"/>
            <w:vAlign w:val="center"/>
          </w:tcPr>
          <w:p w14:paraId="064752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其中：跨省案件立案数量（件</w:t>
            </w:r>
          </w:p>
          <w:p w14:paraId="69EC0C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w:t>
            </w: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756280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48E8A2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72CCD2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19A591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536F9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091A25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3" w:type="dxa"/>
            <w:vMerge w:val="continue"/>
            <w:tcBorders>
              <w:top w:val="single" w:color="auto" w:sz="4" w:space="0"/>
              <w:left w:val="single" w:color="auto" w:sz="4" w:space="0"/>
              <w:bottom w:val="single" w:color="auto" w:sz="4" w:space="0"/>
              <w:right w:val="single" w:color="auto" w:sz="4" w:space="0"/>
            </w:tcBorders>
            <w:noWrap w:val="0"/>
            <w:vAlign w:val="center"/>
          </w:tcPr>
          <w:p w14:paraId="5545A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14:paraId="001899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vMerge w:val="continue"/>
            <w:tcBorders>
              <w:top w:val="single" w:color="auto" w:sz="4" w:space="0"/>
              <w:left w:val="single" w:color="auto" w:sz="4" w:space="0"/>
              <w:bottom w:val="single" w:color="auto" w:sz="4" w:space="0"/>
              <w:right w:val="single" w:color="auto" w:sz="4" w:space="0"/>
            </w:tcBorders>
            <w:noWrap w:val="0"/>
            <w:vAlign w:val="center"/>
          </w:tcPr>
          <w:p w14:paraId="66A13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vMerge w:val="continue"/>
            <w:tcBorders>
              <w:top w:val="single" w:color="auto" w:sz="4" w:space="0"/>
              <w:left w:val="single" w:color="auto" w:sz="4" w:space="0"/>
              <w:bottom w:val="single" w:color="auto" w:sz="4" w:space="0"/>
              <w:right w:val="single" w:color="auto" w:sz="4" w:space="0"/>
            </w:tcBorders>
            <w:noWrap w:val="0"/>
            <w:vAlign w:val="center"/>
          </w:tcPr>
          <w:p w14:paraId="48840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vMerge w:val="continue"/>
            <w:tcBorders>
              <w:top w:val="single" w:color="auto" w:sz="4" w:space="0"/>
              <w:left w:val="single" w:color="auto" w:sz="4" w:space="0"/>
              <w:bottom w:val="single" w:color="auto" w:sz="4" w:space="0"/>
              <w:right w:val="single" w:color="auto" w:sz="4" w:space="0"/>
            </w:tcBorders>
            <w:noWrap w:val="0"/>
            <w:vAlign w:val="center"/>
          </w:tcPr>
          <w:p w14:paraId="177A2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vMerge w:val="continue"/>
            <w:tcBorders>
              <w:top w:val="single" w:color="auto" w:sz="4" w:space="0"/>
              <w:left w:val="single" w:color="auto" w:sz="4" w:space="0"/>
              <w:bottom w:val="single" w:color="auto" w:sz="4" w:space="0"/>
              <w:right w:val="single" w:color="auto" w:sz="4" w:space="0"/>
            </w:tcBorders>
            <w:noWrap w:val="0"/>
            <w:vAlign w:val="center"/>
          </w:tcPr>
          <w:p w14:paraId="28908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vMerge w:val="continue"/>
            <w:tcBorders>
              <w:top w:val="single" w:color="auto" w:sz="4" w:space="0"/>
              <w:left w:val="single" w:color="auto" w:sz="4" w:space="0"/>
              <w:bottom w:val="single" w:color="auto" w:sz="4" w:space="0"/>
              <w:right w:val="single" w:color="auto" w:sz="4" w:space="0"/>
            </w:tcBorders>
            <w:noWrap w:val="0"/>
            <w:vAlign w:val="center"/>
          </w:tcPr>
          <w:p w14:paraId="51791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vMerge w:val="continue"/>
            <w:tcBorders>
              <w:top w:val="single" w:color="auto" w:sz="4" w:space="0"/>
              <w:left w:val="single" w:color="auto" w:sz="4" w:space="0"/>
              <w:bottom w:val="single" w:color="auto" w:sz="4" w:space="0"/>
              <w:right w:val="single" w:color="auto" w:sz="4" w:space="0"/>
            </w:tcBorders>
            <w:noWrap w:val="0"/>
            <w:vAlign w:val="center"/>
          </w:tcPr>
          <w:p w14:paraId="00B9C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341" w:type="dxa"/>
            <w:vMerge w:val="continue"/>
            <w:tcBorders>
              <w:top w:val="single" w:color="auto" w:sz="4" w:space="0"/>
              <w:left w:val="single" w:color="auto" w:sz="4" w:space="0"/>
              <w:bottom w:val="single" w:color="auto" w:sz="4" w:space="0"/>
              <w:right w:val="single" w:color="auto" w:sz="4" w:space="0"/>
            </w:tcBorders>
            <w:noWrap w:val="0"/>
            <w:vAlign w:val="center"/>
          </w:tcPr>
          <w:p w14:paraId="6B3B1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r>
      <w:tr w14:paraId="5441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14:paraId="4EFD9A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0D2649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5EB3BC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538190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058253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66CE95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5106FF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25D94D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18184C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771926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79C2DF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564D2A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48B7D2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63E5EB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225C82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7D55D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547D97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49C6B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4567D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3" w:type="dxa"/>
            <w:tcBorders>
              <w:top w:val="single" w:color="auto" w:sz="4" w:space="0"/>
              <w:left w:val="single" w:color="auto" w:sz="4" w:space="0"/>
              <w:bottom w:val="single" w:color="auto" w:sz="4" w:space="0"/>
              <w:right w:val="single" w:color="auto" w:sz="4" w:space="0"/>
            </w:tcBorders>
            <w:noWrap w:val="0"/>
            <w:vAlign w:val="center"/>
          </w:tcPr>
          <w:p w14:paraId="46F1CE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587" w:type="dxa"/>
            <w:tcBorders>
              <w:top w:val="single" w:color="auto" w:sz="4" w:space="0"/>
              <w:left w:val="single" w:color="auto" w:sz="4" w:space="0"/>
              <w:bottom w:val="single" w:color="auto" w:sz="4" w:space="0"/>
              <w:right w:val="single" w:color="auto" w:sz="4" w:space="0"/>
            </w:tcBorders>
            <w:noWrap w:val="0"/>
            <w:vAlign w:val="center"/>
          </w:tcPr>
          <w:p w14:paraId="39C2A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03334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37468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482B7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764482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282F6E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3C0FD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c>
          <w:tcPr>
            <w:tcW w:w="341" w:type="dxa"/>
            <w:tcBorders>
              <w:top w:val="single" w:color="auto" w:sz="4" w:space="0"/>
              <w:left w:val="single" w:color="auto" w:sz="4" w:space="0"/>
              <w:bottom w:val="single" w:color="auto" w:sz="4" w:space="0"/>
              <w:right w:val="single" w:color="auto" w:sz="4" w:space="0"/>
            </w:tcBorders>
            <w:noWrap w:val="0"/>
            <w:vAlign w:val="center"/>
          </w:tcPr>
          <w:p w14:paraId="77E3D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vertAlign w:val="baseline"/>
                <w:lang w:eastAsia="zh-CN"/>
              </w:rPr>
            </w:pPr>
          </w:p>
        </w:tc>
      </w:tr>
    </w:tbl>
    <w:p w14:paraId="06F66B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备注：1.本表统计打击非法集资专项行动期间辖区内的防非处非工作情况。</w:t>
      </w:r>
    </w:p>
    <w:p w14:paraId="5B400A3E">
      <w:pPr>
        <w:keepNext w:val="0"/>
        <w:keepLines w:val="0"/>
        <w:pageBreakBefore w:val="0"/>
        <w:widowControl w:val="0"/>
        <w:kinsoku/>
        <w:wordWrap/>
        <w:overflowPunct/>
        <w:topLinePunct w:val="0"/>
        <w:autoSpaceDE/>
        <w:autoSpaceDN/>
        <w:bidi w:val="0"/>
        <w:adjustRightInd/>
        <w:snapToGrid/>
        <w:spacing w:line="240" w:lineRule="exact"/>
        <w:ind w:firstLine="540" w:firstLineChars="300"/>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2.结案数量指打击非法集资专项行动期间办结的存量案件和新发案件数。</w:t>
      </w:r>
    </w:p>
    <w:p w14:paraId="2DD76D0A">
      <w:pPr>
        <w:keepNext w:val="0"/>
        <w:keepLines w:val="0"/>
        <w:pageBreakBefore w:val="0"/>
        <w:widowControl w:val="0"/>
        <w:kinsoku/>
        <w:wordWrap/>
        <w:overflowPunct/>
        <w:topLinePunct w:val="0"/>
        <w:autoSpaceDE/>
        <w:autoSpaceDN/>
        <w:bidi w:val="0"/>
        <w:adjustRightInd/>
        <w:snapToGrid/>
        <w:spacing w:line="240" w:lineRule="exact"/>
        <w:ind w:firstLine="540" w:firstLineChars="300"/>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3.专项行动期间，请每月的</w:t>
      </w:r>
      <w:r>
        <w:rPr>
          <w:rFonts w:hint="eastAsia" w:ascii="仿宋_GB2312" w:hAnsi="仿宋_GB2312" w:eastAsia="仿宋_GB2312" w:cs="仿宋_GB2312"/>
          <w:sz w:val="18"/>
          <w:szCs w:val="18"/>
          <w:vertAlign w:val="baseline"/>
          <w:lang w:val="en-US" w:eastAsia="zh-CN"/>
        </w:rPr>
        <w:t>17</w:t>
      </w:r>
      <w:r>
        <w:rPr>
          <w:rFonts w:hint="eastAsia" w:ascii="仿宋_GB2312" w:hAnsi="仿宋_GB2312" w:eastAsia="仿宋_GB2312" w:cs="仿宋_GB2312"/>
          <w:sz w:val="18"/>
          <w:szCs w:val="18"/>
          <w:vertAlign w:val="baseline"/>
          <w:lang w:eastAsia="zh-CN"/>
        </w:rPr>
        <w:t>日前报送行政处置、刑事打击的相关情况，向市处非工作邮箱（</w:t>
      </w:r>
      <w:r>
        <w:rPr>
          <w:rFonts w:hint="eastAsia" w:ascii="仿宋_GB2312" w:hAnsi="仿宋_GB2312" w:eastAsia="仿宋_GB2312" w:cs="仿宋_GB2312"/>
          <w:sz w:val="18"/>
          <w:szCs w:val="18"/>
          <w:vertAlign w:val="baseline"/>
          <w:lang w:val="en-US" w:eastAsia="zh-CN"/>
        </w:rPr>
        <w:t>fyszyjrzx</w:t>
      </w:r>
      <w:r>
        <w:rPr>
          <w:rFonts w:hint="eastAsia" w:ascii="仿宋_GB2312" w:hAnsi="仿宋_GB2312" w:eastAsia="仿宋_GB2312" w:cs="仿宋_GB2312"/>
          <w:sz w:val="18"/>
          <w:szCs w:val="18"/>
          <w:vertAlign w:val="baseline"/>
          <w:lang w:eastAsia="zh-CN"/>
        </w:rPr>
        <w:t>@163.com）报送本表电子版。</w:t>
      </w:r>
    </w:p>
    <w:p w14:paraId="63BDF552">
      <w:pPr>
        <w:rPr>
          <w:rFonts w:hint="eastAsia"/>
          <w:lang w:eastAsia="zh-CN"/>
        </w:rPr>
        <w:sectPr>
          <w:headerReference r:id="rId5" w:type="default"/>
          <w:footerReference r:id="rId6" w:type="default"/>
          <w:pgSz w:w="16838" w:h="11906" w:orient="landscape"/>
          <w:pgMar w:top="1587" w:right="2098" w:bottom="1474" w:left="1984" w:header="851" w:footer="992" w:gutter="0"/>
          <w:pgNumType w:fmt="numberInDash"/>
          <w:cols w:space="720" w:num="1"/>
          <w:docGrid w:type="lines" w:linePitch="312" w:charSpace="0"/>
        </w:sectPr>
      </w:pPr>
    </w:p>
    <w:p w14:paraId="6029C3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D9D5B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风险线索排查处置情况统计表</w:t>
      </w:r>
    </w:p>
    <w:p w14:paraId="771A6611">
      <w:pPr>
        <w:rPr>
          <w:rFonts w:hint="default"/>
          <w:sz w:val="20"/>
          <w:szCs w:val="22"/>
          <w:lang w:val="en-US" w:eastAsia="zh-CN"/>
        </w:rPr>
      </w:pPr>
      <w:r>
        <w:rPr>
          <w:rFonts w:hint="eastAsia"/>
          <w:sz w:val="20"/>
          <w:szCs w:val="22"/>
          <w:lang w:eastAsia="zh-CN"/>
        </w:rPr>
        <w:t>填报单位：（加盖单位公章）</w:t>
      </w:r>
      <w:r>
        <w:rPr>
          <w:rFonts w:hint="eastAsia"/>
          <w:sz w:val="20"/>
          <w:szCs w:val="22"/>
          <w:lang w:val="en-US" w:eastAsia="zh-CN"/>
        </w:rPr>
        <w:t xml:space="preserve">               填报时间：  年  月  日                填报人：                    联系方式：</w:t>
      </w:r>
    </w:p>
    <w:tbl>
      <w:tblPr>
        <w:tblStyle w:val="10"/>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675"/>
        <w:gridCol w:w="2625"/>
        <w:gridCol w:w="591"/>
        <w:gridCol w:w="741"/>
        <w:gridCol w:w="639"/>
        <w:gridCol w:w="1160"/>
        <w:gridCol w:w="544"/>
        <w:gridCol w:w="969"/>
        <w:gridCol w:w="694"/>
        <w:gridCol w:w="675"/>
        <w:gridCol w:w="656"/>
        <w:gridCol w:w="721"/>
        <w:gridCol w:w="713"/>
        <w:gridCol w:w="676"/>
        <w:gridCol w:w="447"/>
      </w:tblGrid>
      <w:tr w14:paraId="2C3B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72DAF29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序号</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043066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风险主体名称</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7E6070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所属行业领域</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026D7A7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线索来源</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35891F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发现时间（年月日）</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1D3729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是否具备规范条件</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01AA762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提交有关金融管理部门依法审批，备案等情况（含已提交、拟提交）</w:t>
            </w:r>
          </w:p>
        </w:tc>
        <w:tc>
          <w:tcPr>
            <w:tcW w:w="544" w:type="dxa"/>
            <w:tcBorders>
              <w:top w:val="single" w:color="auto" w:sz="4" w:space="0"/>
              <w:left w:val="single" w:color="auto" w:sz="4" w:space="0"/>
              <w:bottom w:val="single" w:color="auto" w:sz="4" w:space="0"/>
              <w:right w:val="single" w:color="auto" w:sz="4" w:space="0"/>
            </w:tcBorders>
            <w:noWrap w:val="0"/>
            <w:vAlign w:val="center"/>
          </w:tcPr>
          <w:p w14:paraId="3C31FA6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是否属于非法集资</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23DE63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eastAsia="zh-CN"/>
              </w:rPr>
              <w:t>拟采取</w:t>
            </w:r>
            <w:r>
              <w:rPr>
                <w:rFonts w:hint="eastAsia" w:ascii="仿宋_GB2312" w:hAnsi="仿宋_GB2312" w:eastAsia="仿宋_GB2312" w:cs="仿宋_GB2312"/>
                <w:sz w:val="15"/>
                <w:szCs w:val="15"/>
                <w:vertAlign w:val="baseline"/>
                <w:lang w:val="en-US" w:eastAsia="zh-CN"/>
              </w:rPr>
              <w:t>/已采取处置路径（行政/刑事）</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E4C23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立案时间（年月日）</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55AF2C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结案时间（年月日）</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2DB8F0D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涉及金额（万元）</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38F18D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涉及人数（人）</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DF9BC3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未兑付金额（万元）</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23D535B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未兑付人数（人）</w:t>
            </w:r>
          </w:p>
        </w:tc>
        <w:tc>
          <w:tcPr>
            <w:tcW w:w="447" w:type="dxa"/>
            <w:tcBorders>
              <w:top w:val="single" w:color="auto" w:sz="4" w:space="0"/>
              <w:left w:val="single" w:color="auto" w:sz="4" w:space="0"/>
              <w:bottom w:val="single" w:color="auto" w:sz="4" w:space="0"/>
              <w:right w:val="single" w:color="auto" w:sz="4" w:space="0"/>
            </w:tcBorders>
            <w:noWrap w:val="0"/>
            <w:vAlign w:val="center"/>
          </w:tcPr>
          <w:p w14:paraId="03599E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备注</w:t>
            </w:r>
          </w:p>
        </w:tc>
      </w:tr>
      <w:tr w14:paraId="2623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31816C5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4D3733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1EF3080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w:t>
            </w:r>
            <w:r>
              <w:rPr>
                <w:rFonts w:hint="eastAsia" w:ascii="仿宋_GB2312" w:hAnsi="仿宋_GB2312" w:eastAsia="仿宋_GB2312" w:cs="仿宋_GB2312"/>
                <w:sz w:val="15"/>
                <w:szCs w:val="15"/>
                <w:vertAlign w:val="baseline"/>
                <w:lang w:val="en-US" w:eastAsia="zh-CN"/>
              </w:rPr>
              <w:t>1</w:t>
            </w:r>
            <w:r>
              <w:rPr>
                <w:rFonts w:hint="eastAsia" w:ascii="仿宋_GB2312" w:hAnsi="仿宋_GB2312" w:eastAsia="仿宋_GB2312" w:cs="仿宋_GB2312"/>
                <w:sz w:val="15"/>
                <w:szCs w:val="15"/>
                <w:vertAlign w:val="baseline"/>
                <w:lang w:eastAsia="zh-CN"/>
              </w:rPr>
              <w:t>）虚拟货币、区块链、互联网金融、支付、征信等领域涉非风险</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5F43AA5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24EDF31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1F9D5BE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19CAA7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5BFC6A3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44915DD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12D6676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5D1DA6D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3E62422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22097EB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1F8B905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7AB7543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3127DF9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r w14:paraId="6A4D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07A9CE2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2</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7B220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3929860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02858ED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24034E7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68A6C99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5EEF89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7C9A7C7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401A3D7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3D33A77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088EBA4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5860C9C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06E8BC3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086AC43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28485A1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4FDE85F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r w14:paraId="519E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7BF71D4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3</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9A4B99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C39B70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eastAsia="zh-CN"/>
              </w:rPr>
              <w:t>（</w:t>
            </w:r>
            <w:r>
              <w:rPr>
                <w:rFonts w:hint="eastAsia" w:ascii="仿宋_GB2312" w:hAnsi="仿宋_GB2312" w:eastAsia="仿宋_GB2312" w:cs="仿宋_GB2312"/>
                <w:sz w:val="15"/>
                <w:szCs w:val="15"/>
                <w:vertAlign w:val="baseline"/>
                <w:lang w:val="en-US" w:eastAsia="zh-CN"/>
              </w:rPr>
              <w:t>2</w:t>
            </w:r>
            <w:r>
              <w:rPr>
                <w:rFonts w:hint="eastAsia" w:ascii="仿宋_GB2312" w:hAnsi="仿宋_GB2312" w:eastAsia="仿宋_GB2312" w:cs="仿宋_GB2312"/>
                <w:sz w:val="15"/>
                <w:szCs w:val="15"/>
                <w:vertAlign w:val="baseline"/>
                <w:lang w:eastAsia="zh-CN"/>
              </w:rPr>
              <w:t>）</w:t>
            </w:r>
            <w:r>
              <w:rPr>
                <w:rFonts w:hint="eastAsia" w:ascii="仿宋_GB2312" w:hAnsi="仿宋_GB2312" w:eastAsia="仿宋_GB2312" w:cs="仿宋_GB2312"/>
                <w:sz w:val="15"/>
                <w:szCs w:val="15"/>
                <w:vertAlign w:val="baseline"/>
                <w:lang w:val="en-US" w:eastAsia="zh-CN"/>
              </w:rPr>
              <w:t>民间投融资、P2P网贷、第三方财富管理公司、非法银行、非法保险等领域涉非风险</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746ABAD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3EB9B06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06488F4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00C31BD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5AAE697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68B38C2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3049DD9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8BAFFD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5CF4E8C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52D1F8D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2AE75C6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1467492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21FE8A0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r w14:paraId="0F30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3C4F593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4</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A62468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617FF14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val="en-US" w:eastAsia="zh-CN"/>
              </w:rPr>
              <w:t>……</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29D53F2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741750D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63B6AF5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22253A1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614D373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4AB1ED4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013FCC3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29B29C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3839323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2B0182B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4BE3318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70B1B04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3370A8C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r w14:paraId="58E1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3D08AAE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5</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6A5E85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CF6AEA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eastAsia="zh-CN"/>
              </w:rPr>
              <w:t>（</w:t>
            </w:r>
            <w:r>
              <w:rPr>
                <w:rFonts w:hint="eastAsia" w:ascii="仿宋_GB2312" w:hAnsi="仿宋_GB2312" w:eastAsia="仿宋_GB2312" w:cs="仿宋_GB2312"/>
                <w:sz w:val="15"/>
                <w:szCs w:val="15"/>
                <w:vertAlign w:val="baseline"/>
                <w:lang w:val="en-US" w:eastAsia="zh-CN"/>
              </w:rPr>
              <w:t>3</w:t>
            </w:r>
            <w:r>
              <w:rPr>
                <w:rFonts w:hint="eastAsia" w:ascii="仿宋_GB2312" w:hAnsi="仿宋_GB2312" w:eastAsia="仿宋_GB2312" w:cs="仿宋_GB2312"/>
                <w:sz w:val="15"/>
                <w:szCs w:val="15"/>
                <w:vertAlign w:val="baseline"/>
                <w:lang w:eastAsia="zh-CN"/>
              </w:rPr>
              <w:t>）私募基金、证券期货、股权众筹、“伪私募”、“伪金交所”、“产登公司”、“拍卖公司”等领域涉非风险</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59DA8B2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420DC1F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27EA30B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305650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3AC4DB4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50E9686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515B739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46A44E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22EA4D2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411192B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18F16EB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05EF824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0464511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r w14:paraId="3444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7964D33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6</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C90315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9D1F02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1B48D9A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0AA3E2F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7204F1E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3F190AE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05309A6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104A1C4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5D8AE95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05C582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5831733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11AEE59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38CE9A7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7E04575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63EBC85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r w14:paraId="09A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2D7D713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7</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59FA99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30D9FE6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w:t>
            </w:r>
            <w:r>
              <w:rPr>
                <w:rFonts w:hint="eastAsia" w:ascii="仿宋_GB2312" w:hAnsi="仿宋_GB2312" w:eastAsia="仿宋_GB2312" w:cs="仿宋_GB2312"/>
                <w:sz w:val="15"/>
                <w:szCs w:val="15"/>
                <w:vertAlign w:val="baseline"/>
                <w:lang w:val="en-US" w:eastAsia="zh-CN"/>
              </w:rPr>
              <w:t>4</w:t>
            </w:r>
            <w:r>
              <w:rPr>
                <w:rFonts w:hint="eastAsia" w:ascii="仿宋_GB2312" w:hAnsi="仿宋_GB2312" w:eastAsia="仿宋_GB2312" w:cs="仿宋_GB2312"/>
                <w:sz w:val="15"/>
                <w:szCs w:val="15"/>
                <w:vertAlign w:val="baseline"/>
                <w:lang w:eastAsia="zh-CN"/>
              </w:rPr>
              <w:t>）小额贷款、融资性担保、典当、融资租赁、商业保理等领域涉非风险</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3DD35E2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18E8897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28FCA29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44B23DF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29819D6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1CF2C2A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1E485EF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698E17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0DA931B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5AB6ABC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039BEF0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784EF44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3D02D21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r w14:paraId="5956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2EAB83F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8</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B0569E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595418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470718D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0B4BEAD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0F12DED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560C245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261F4E4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44A7F5F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5E5BF06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360D01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249CC09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793EE2A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49753FC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252C4BE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2FE2EE9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r w14:paraId="04DE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627E967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9</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47AF7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C319E0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w:t>
            </w:r>
            <w:r>
              <w:rPr>
                <w:rFonts w:hint="eastAsia" w:ascii="仿宋_GB2312" w:hAnsi="仿宋_GB2312" w:eastAsia="仿宋_GB2312" w:cs="仿宋_GB2312"/>
                <w:sz w:val="15"/>
                <w:szCs w:val="15"/>
                <w:vertAlign w:val="baseline"/>
                <w:lang w:val="en-US" w:eastAsia="zh-CN"/>
              </w:rPr>
              <w:t>5</w:t>
            </w:r>
            <w:r>
              <w:rPr>
                <w:rFonts w:hint="eastAsia" w:ascii="仿宋_GB2312" w:hAnsi="仿宋_GB2312" w:eastAsia="仿宋_GB2312" w:cs="仿宋_GB2312"/>
                <w:sz w:val="15"/>
                <w:szCs w:val="15"/>
                <w:vertAlign w:val="baseline"/>
                <w:lang w:eastAsia="zh-CN"/>
              </w:rPr>
              <w:t>）教育、养老、涉农、商贸服务等其他领域涉非风险</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443A5C0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2F3E098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21F2260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5C768C5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08FD19A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55694D7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73630E4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ED3D28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09BC760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2CA0B4F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1DA2FEC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27D262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76D2ECA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r w14:paraId="1994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44A722F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C35BD4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6DA5DF8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2ED8AC8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0A9A9B4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2B71463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59E3E7D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334FE10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1DDB1B6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5271721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065CD44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0A506B9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036231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545EB7A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4442BA6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59D8956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r w14:paraId="64E7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58C9B17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11</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84C3F2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247BA7F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w:t>
            </w:r>
            <w:r>
              <w:rPr>
                <w:rFonts w:hint="eastAsia" w:ascii="仿宋_GB2312" w:hAnsi="仿宋_GB2312" w:eastAsia="仿宋_GB2312" w:cs="仿宋_GB2312"/>
                <w:sz w:val="15"/>
                <w:szCs w:val="15"/>
                <w:vertAlign w:val="baseline"/>
                <w:lang w:val="en-US" w:eastAsia="zh-CN"/>
              </w:rPr>
              <w:t>6</w:t>
            </w:r>
            <w:r>
              <w:rPr>
                <w:rFonts w:hint="eastAsia" w:ascii="仿宋_GB2312" w:hAnsi="仿宋_GB2312" w:eastAsia="仿宋_GB2312" w:cs="仿宋_GB2312"/>
                <w:sz w:val="15"/>
                <w:szCs w:val="15"/>
                <w:vertAlign w:val="baseline"/>
                <w:lang w:eastAsia="zh-CN"/>
              </w:rPr>
              <w:t>）其他</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0DED825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252A3D2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6A06457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A5E52A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36F900C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60A87C2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20BD2F1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FF612D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000C26A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1CA3C67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0F9B67D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2BBE890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6E81540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r w14:paraId="03F7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Borders>
              <w:top w:val="single" w:color="auto" w:sz="4" w:space="0"/>
              <w:left w:val="single" w:color="auto" w:sz="4" w:space="0"/>
              <w:bottom w:val="single" w:color="auto" w:sz="4" w:space="0"/>
              <w:right w:val="single" w:color="auto" w:sz="4" w:space="0"/>
            </w:tcBorders>
            <w:noWrap w:val="0"/>
            <w:vAlign w:val="center"/>
          </w:tcPr>
          <w:p w14:paraId="32CDC8B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F6121F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7823673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r>
              <w:rPr>
                <w:rFonts w:hint="eastAsia" w:ascii="仿宋_GB2312" w:hAnsi="仿宋_GB2312" w:eastAsia="仿宋_GB2312" w:cs="仿宋_GB2312"/>
                <w:sz w:val="15"/>
                <w:szCs w:val="15"/>
                <w:vertAlign w:val="baseline"/>
                <w:lang w:eastAsia="zh-CN"/>
              </w:rPr>
              <w:t>……</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4D94B4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25649C2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4D19021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34C25E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544" w:type="dxa"/>
            <w:tcBorders>
              <w:top w:val="single" w:color="auto" w:sz="4" w:space="0"/>
              <w:left w:val="single" w:color="auto" w:sz="4" w:space="0"/>
              <w:bottom w:val="single" w:color="auto" w:sz="4" w:space="0"/>
              <w:right w:val="single" w:color="auto" w:sz="4" w:space="0"/>
            </w:tcBorders>
            <w:noWrap w:val="0"/>
            <w:vAlign w:val="center"/>
          </w:tcPr>
          <w:p w14:paraId="4888BB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3DF503A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1626483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95A264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6A08721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19A966F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39853DB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7D3DAA4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7FA157E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5"/>
                <w:szCs w:val="15"/>
                <w:vertAlign w:val="baseline"/>
                <w:lang w:eastAsia="zh-CN"/>
              </w:rPr>
            </w:pPr>
          </w:p>
        </w:tc>
      </w:tr>
    </w:tbl>
    <w:p w14:paraId="0A7BFDD5">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备注：</w:t>
      </w:r>
      <w:r>
        <w:rPr>
          <w:rFonts w:hint="eastAsia" w:ascii="仿宋_GB2312" w:hAnsi="仿宋_GB2312" w:eastAsia="仿宋_GB2312" w:cs="仿宋_GB2312"/>
          <w:sz w:val="18"/>
          <w:szCs w:val="18"/>
          <w:vertAlign w:val="baseline"/>
          <w:lang w:val="en-US" w:eastAsia="zh-CN"/>
        </w:rPr>
        <w:t>1.本表统计打击非法集资专项行动期间处置的涉非风险线索，包含专项行动开展前已掌握但尚未刑事或行政立案的涉非风险线索。</w:t>
      </w:r>
    </w:p>
    <w:p w14:paraId="6ACF3FB3">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715" w:leftChars="255" w:hanging="180" w:hangingChars="100"/>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val="en-US" w:eastAsia="zh-CN"/>
        </w:rPr>
        <w:t>2.所属行业领域请按以下6个分类顺序依次填写：</w:t>
      </w:r>
      <w:r>
        <w:rPr>
          <w:rFonts w:hint="eastAsia" w:ascii="仿宋_GB2312" w:hAnsi="仿宋_GB2312" w:eastAsia="仿宋_GB2312" w:cs="仿宋_GB2312"/>
          <w:sz w:val="18"/>
          <w:szCs w:val="18"/>
          <w:vertAlign w:val="baseline"/>
          <w:lang w:eastAsia="zh-CN"/>
        </w:rPr>
        <w:t>（</w:t>
      </w:r>
      <w:r>
        <w:rPr>
          <w:rFonts w:hint="eastAsia" w:ascii="仿宋_GB2312" w:hAnsi="仿宋_GB2312" w:eastAsia="仿宋_GB2312" w:cs="仿宋_GB2312"/>
          <w:sz w:val="18"/>
          <w:szCs w:val="18"/>
          <w:vertAlign w:val="baseline"/>
          <w:lang w:val="en-US" w:eastAsia="zh-CN"/>
        </w:rPr>
        <w:t>1</w:t>
      </w:r>
      <w:r>
        <w:rPr>
          <w:rFonts w:hint="eastAsia" w:ascii="仿宋_GB2312" w:hAnsi="仿宋_GB2312" w:eastAsia="仿宋_GB2312" w:cs="仿宋_GB2312"/>
          <w:sz w:val="18"/>
          <w:szCs w:val="18"/>
          <w:vertAlign w:val="baseline"/>
          <w:lang w:eastAsia="zh-CN"/>
        </w:rPr>
        <w:t>）虚拟货币、区块链、互联网金融、支付、征信等领域涉非风险；（</w:t>
      </w:r>
      <w:r>
        <w:rPr>
          <w:rFonts w:hint="eastAsia" w:ascii="仿宋_GB2312" w:hAnsi="仿宋_GB2312" w:eastAsia="仿宋_GB2312" w:cs="仿宋_GB2312"/>
          <w:sz w:val="18"/>
          <w:szCs w:val="18"/>
          <w:vertAlign w:val="baseline"/>
          <w:lang w:val="en-US" w:eastAsia="zh-CN"/>
        </w:rPr>
        <w:t>2</w:t>
      </w:r>
      <w:r>
        <w:rPr>
          <w:rFonts w:hint="eastAsia" w:ascii="仿宋_GB2312" w:hAnsi="仿宋_GB2312" w:eastAsia="仿宋_GB2312" w:cs="仿宋_GB2312"/>
          <w:sz w:val="18"/>
          <w:szCs w:val="18"/>
          <w:vertAlign w:val="baseline"/>
          <w:lang w:eastAsia="zh-CN"/>
        </w:rPr>
        <w:t>）</w:t>
      </w:r>
      <w:r>
        <w:rPr>
          <w:rFonts w:hint="eastAsia" w:ascii="仿宋_GB2312" w:hAnsi="仿宋_GB2312" w:eastAsia="仿宋_GB2312" w:cs="仿宋_GB2312"/>
          <w:sz w:val="18"/>
          <w:szCs w:val="18"/>
          <w:vertAlign w:val="baseline"/>
          <w:lang w:val="en-US" w:eastAsia="zh-CN"/>
        </w:rPr>
        <w:t>民间投融资、P2P网贷、第三方财富管理公司、非法银行、非法保险等领域涉非风险；</w:t>
      </w:r>
      <w:r>
        <w:rPr>
          <w:rFonts w:hint="eastAsia" w:ascii="仿宋_GB2312" w:hAnsi="仿宋_GB2312" w:eastAsia="仿宋_GB2312" w:cs="仿宋_GB2312"/>
          <w:sz w:val="18"/>
          <w:szCs w:val="18"/>
          <w:vertAlign w:val="baseline"/>
          <w:lang w:eastAsia="zh-CN"/>
        </w:rPr>
        <w:t>（</w:t>
      </w:r>
      <w:r>
        <w:rPr>
          <w:rFonts w:hint="eastAsia" w:ascii="仿宋_GB2312" w:hAnsi="仿宋_GB2312" w:eastAsia="仿宋_GB2312" w:cs="仿宋_GB2312"/>
          <w:sz w:val="18"/>
          <w:szCs w:val="18"/>
          <w:vertAlign w:val="baseline"/>
          <w:lang w:val="en-US" w:eastAsia="zh-CN"/>
        </w:rPr>
        <w:t>3</w:t>
      </w:r>
      <w:r>
        <w:rPr>
          <w:rFonts w:hint="eastAsia" w:ascii="仿宋_GB2312" w:hAnsi="仿宋_GB2312" w:eastAsia="仿宋_GB2312" w:cs="仿宋_GB2312"/>
          <w:sz w:val="18"/>
          <w:szCs w:val="18"/>
          <w:vertAlign w:val="baseline"/>
          <w:lang w:eastAsia="zh-CN"/>
        </w:rPr>
        <w:t>）私募基金、证券期货、股权众筹、“伪私募”、“伪金交所”、“产登公司”、“拍卖公司”等领域涉非风险；（</w:t>
      </w:r>
      <w:r>
        <w:rPr>
          <w:rFonts w:hint="eastAsia" w:ascii="仿宋_GB2312" w:hAnsi="仿宋_GB2312" w:eastAsia="仿宋_GB2312" w:cs="仿宋_GB2312"/>
          <w:sz w:val="18"/>
          <w:szCs w:val="18"/>
          <w:vertAlign w:val="baseline"/>
          <w:lang w:val="en-US" w:eastAsia="zh-CN"/>
        </w:rPr>
        <w:t>4</w:t>
      </w:r>
      <w:r>
        <w:rPr>
          <w:rFonts w:hint="eastAsia" w:ascii="仿宋_GB2312" w:hAnsi="仿宋_GB2312" w:eastAsia="仿宋_GB2312" w:cs="仿宋_GB2312"/>
          <w:sz w:val="18"/>
          <w:szCs w:val="18"/>
          <w:vertAlign w:val="baseline"/>
          <w:lang w:eastAsia="zh-CN"/>
        </w:rPr>
        <w:t>）小额贷款、融资性担保、典当、融资租赁、商业保理等领域涉非风险；（</w:t>
      </w:r>
      <w:r>
        <w:rPr>
          <w:rFonts w:hint="eastAsia" w:ascii="仿宋_GB2312" w:hAnsi="仿宋_GB2312" w:eastAsia="仿宋_GB2312" w:cs="仿宋_GB2312"/>
          <w:sz w:val="18"/>
          <w:szCs w:val="18"/>
          <w:vertAlign w:val="baseline"/>
          <w:lang w:val="en-US" w:eastAsia="zh-CN"/>
        </w:rPr>
        <w:t>5</w:t>
      </w:r>
      <w:r>
        <w:rPr>
          <w:rFonts w:hint="eastAsia" w:ascii="仿宋_GB2312" w:hAnsi="仿宋_GB2312" w:eastAsia="仿宋_GB2312" w:cs="仿宋_GB2312"/>
          <w:sz w:val="18"/>
          <w:szCs w:val="18"/>
          <w:vertAlign w:val="baseline"/>
          <w:lang w:eastAsia="zh-CN"/>
        </w:rPr>
        <w:t>）教育、养老、涉农、商贸服务等其他领域涉非风险；（</w:t>
      </w:r>
      <w:r>
        <w:rPr>
          <w:rFonts w:hint="eastAsia" w:ascii="仿宋_GB2312" w:hAnsi="仿宋_GB2312" w:eastAsia="仿宋_GB2312" w:cs="仿宋_GB2312"/>
          <w:sz w:val="18"/>
          <w:szCs w:val="18"/>
          <w:vertAlign w:val="baseline"/>
          <w:lang w:val="en-US" w:eastAsia="zh-CN"/>
        </w:rPr>
        <w:t>6</w:t>
      </w:r>
      <w:r>
        <w:rPr>
          <w:rFonts w:hint="eastAsia" w:ascii="仿宋_GB2312" w:hAnsi="仿宋_GB2312" w:eastAsia="仿宋_GB2312" w:cs="仿宋_GB2312"/>
          <w:sz w:val="18"/>
          <w:szCs w:val="18"/>
          <w:vertAlign w:val="baseline"/>
          <w:lang w:eastAsia="zh-CN"/>
        </w:rPr>
        <w:t>）其他</w:t>
      </w:r>
    </w:p>
    <w:p w14:paraId="1C6158B9">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540" w:firstLineChars="300"/>
        <w:jc w:val="left"/>
        <w:textAlignment w:val="auto"/>
        <w:rPr>
          <w:rFonts w:hint="eastAsia" w:ascii="仿宋_GB2312" w:hAnsi="仿宋_GB2312" w:eastAsia="仿宋_GB2312" w:cs="仿宋_GB2312"/>
          <w:sz w:val="18"/>
          <w:szCs w:val="18"/>
          <w:vertAlign w:val="baseline"/>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60325</wp:posOffset>
                </wp:positionV>
                <wp:extent cx="476250" cy="695325"/>
                <wp:effectExtent l="0" t="0" r="0" b="0"/>
                <wp:wrapNone/>
                <wp:docPr id="8" name="文本框 8"/>
                <wp:cNvGraphicFramePr/>
                <a:graphic xmlns:a="http://schemas.openxmlformats.org/drawingml/2006/main">
                  <a:graphicData uri="http://schemas.microsoft.com/office/word/2010/wordprocessingShape">
                    <wps:wsp>
                      <wps:cNvSpPr txBox="1"/>
                      <wps:spPr>
                        <a:xfrm>
                          <a:off x="640715" y="5920740"/>
                          <a:ext cx="476250" cy="695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A3A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- 13 -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pt;margin-top:4.75pt;height:54.75pt;width:37.5pt;z-index:251659264;mso-width-relative:page;mso-height-relative:page;" filled="f" stroked="f" coordsize="21600,21600" o:gfxdata="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aP9y21gAAAAkBAAAPAAAAAAAAAAEAIAAA&#10;ACIAAABkcnMvZG93bnJldi54bWxQSwECFAAUAAAACACHTuJAVjd50EcCAAByBAAADgAAAAAAAAAB&#10;ACAAAAAlAQAAZHJzL2Uyb0RvYy54bWxQSwUGAAAAAAYABgBZAQAA3gUAAAAA&#10;">
                <v:fill on="f" focussize="0,0"/>
                <v:stroke on="f" weight="0.5pt"/>
                <v:imagedata o:title=""/>
                <o:lock v:ext="edit" aspectratio="f"/>
                <v:textbox style="layout-flow:vertical-ideographic;">
                  <w:txbxContent>
                    <w:p w14:paraId="209A3A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- 13 -</w:t>
                      </w:r>
                    </w:p>
                  </w:txbxContent>
                </v:textbox>
              </v:shape>
            </w:pict>
          </mc:Fallback>
        </mc:AlternateContent>
      </w:r>
      <w:r>
        <w:rPr>
          <w:rFonts w:hint="eastAsia" w:ascii="仿宋_GB2312" w:hAnsi="仿宋_GB2312" w:eastAsia="仿宋_GB2312" w:cs="仿宋_GB2312"/>
          <w:sz w:val="18"/>
          <w:szCs w:val="18"/>
          <w:vertAlign w:val="baseline"/>
          <w:lang w:val="en-US" w:eastAsia="zh-CN"/>
        </w:rPr>
        <w:t>3.线索来源包含以下3个分类：（1）联席会议交办；（2）自主摸排发现；（3）群众举报。</w:t>
      </w:r>
    </w:p>
    <w:p w14:paraId="54103C8C">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715" w:leftChars="255" w:hanging="180" w:hangingChars="100"/>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提交有关金融部门依法审批、备案等情况（含已提交、拟提交）包含以下5个分类：（1）中国人民银行及其分支机构；（2）金融监管总局及其派出机构；（3）中国证监会及其派出机构；（4）地方金融监管部门；（5）其他。</w:t>
      </w:r>
    </w:p>
    <w:p w14:paraId="22B24D1A">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540" w:firstLineChars="300"/>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5.如先行政处置后刑事打击的，只需填报刑事立案时间。</w:t>
      </w:r>
    </w:p>
    <w:p w14:paraId="3D8B1DE4">
      <w:pPr>
        <w:keepNext w:val="0"/>
        <w:keepLines w:val="0"/>
        <w:pageBreakBefore w:val="0"/>
        <w:widowControl w:val="0"/>
        <w:kinsoku/>
        <w:wordWrap/>
        <w:overflowPunct/>
        <w:topLinePunct w:val="0"/>
        <w:autoSpaceDE/>
        <w:autoSpaceDN/>
        <w:bidi w:val="0"/>
        <w:adjustRightInd/>
        <w:snapToGrid/>
        <w:spacing w:line="200" w:lineRule="exact"/>
        <w:ind w:firstLine="540" w:firstLineChars="300"/>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w:t>
      </w:r>
      <w:r>
        <w:rPr>
          <w:rFonts w:hint="eastAsia" w:ascii="仿宋_GB2312" w:hAnsi="仿宋_GB2312" w:eastAsia="仿宋_GB2312" w:cs="仿宋_GB2312"/>
          <w:sz w:val="18"/>
          <w:szCs w:val="18"/>
          <w:vertAlign w:val="baseline"/>
          <w:lang w:eastAsia="zh-CN"/>
        </w:rPr>
        <w:t>各</w:t>
      </w:r>
      <w:r>
        <w:rPr>
          <w:rFonts w:hint="eastAsia" w:ascii="仿宋_GB2312" w:hAnsi="仿宋_GB2312" w:eastAsia="仿宋_GB2312" w:cs="仿宋_GB2312"/>
          <w:sz w:val="18"/>
          <w:szCs w:val="18"/>
          <w:vertAlign w:val="baseline"/>
          <w:lang w:val="en-US" w:eastAsia="zh-CN"/>
        </w:rPr>
        <w:t>镇（街道）、相关单位</w:t>
      </w:r>
      <w:r>
        <w:rPr>
          <w:rFonts w:hint="eastAsia" w:ascii="仿宋_GB2312" w:hAnsi="仿宋_GB2312" w:eastAsia="仿宋_GB2312" w:cs="仿宋_GB2312"/>
          <w:sz w:val="18"/>
          <w:szCs w:val="18"/>
          <w:vertAlign w:val="baseline"/>
          <w:lang w:eastAsia="zh-CN"/>
        </w:rPr>
        <w:t>请分别于2024年12月1</w:t>
      </w:r>
      <w:r>
        <w:rPr>
          <w:rFonts w:hint="eastAsia" w:ascii="仿宋_GB2312" w:hAnsi="仿宋_GB2312" w:eastAsia="仿宋_GB2312" w:cs="仿宋_GB2312"/>
          <w:sz w:val="18"/>
          <w:szCs w:val="18"/>
          <w:vertAlign w:val="baseline"/>
          <w:lang w:val="en-US" w:eastAsia="zh-CN"/>
        </w:rPr>
        <w:t>5</w:t>
      </w:r>
      <w:r>
        <w:rPr>
          <w:rFonts w:hint="eastAsia" w:ascii="仿宋_GB2312" w:hAnsi="仿宋_GB2312" w:eastAsia="仿宋_GB2312" w:cs="仿宋_GB2312"/>
          <w:sz w:val="18"/>
          <w:szCs w:val="18"/>
          <w:vertAlign w:val="baseline"/>
          <w:lang w:eastAsia="zh-CN"/>
        </w:rPr>
        <w:t>日、2025年6月</w:t>
      </w:r>
      <w:r>
        <w:rPr>
          <w:rFonts w:hint="eastAsia" w:ascii="仿宋_GB2312" w:hAnsi="仿宋_GB2312" w:eastAsia="仿宋_GB2312" w:cs="仿宋_GB2312"/>
          <w:sz w:val="18"/>
          <w:szCs w:val="18"/>
          <w:vertAlign w:val="baseline"/>
          <w:lang w:val="en-US" w:eastAsia="zh-CN"/>
        </w:rPr>
        <w:t>17</w:t>
      </w:r>
      <w:r>
        <w:rPr>
          <w:rFonts w:hint="eastAsia" w:ascii="仿宋_GB2312" w:hAnsi="仿宋_GB2312" w:eastAsia="仿宋_GB2312" w:cs="仿宋_GB2312"/>
          <w:sz w:val="18"/>
          <w:szCs w:val="18"/>
          <w:vertAlign w:val="baseline"/>
          <w:lang w:eastAsia="zh-CN"/>
        </w:rPr>
        <w:t>日、2025年1</w:t>
      </w:r>
      <w:r>
        <w:rPr>
          <w:rFonts w:hint="eastAsia" w:ascii="仿宋_GB2312" w:hAnsi="仿宋_GB2312" w:eastAsia="仿宋_GB2312" w:cs="仿宋_GB2312"/>
          <w:sz w:val="18"/>
          <w:szCs w:val="18"/>
          <w:vertAlign w:val="baseline"/>
          <w:lang w:val="en-US" w:eastAsia="zh-CN"/>
        </w:rPr>
        <w:t>1</w:t>
      </w:r>
      <w:r>
        <w:rPr>
          <w:rFonts w:hint="eastAsia" w:ascii="仿宋_GB2312" w:hAnsi="仿宋_GB2312" w:eastAsia="仿宋_GB2312" w:cs="仿宋_GB2312"/>
          <w:sz w:val="18"/>
          <w:szCs w:val="18"/>
          <w:vertAlign w:val="baseline"/>
          <w:lang w:eastAsia="zh-CN"/>
        </w:rPr>
        <w:t>月</w:t>
      </w:r>
      <w:r>
        <w:rPr>
          <w:rFonts w:hint="eastAsia" w:ascii="仿宋_GB2312" w:hAnsi="仿宋_GB2312" w:eastAsia="仿宋_GB2312" w:cs="仿宋_GB2312"/>
          <w:sz w:val="18"/>
          <w:szCs w:val="18"/>
          <w:vertAlign w:val="baseline"/>
          <w:lang w:val="en-US" w:eastAsia="zh-CN"/>
        </w:rPr>
        <w:t>30</w:t>
      </w:r>
      <w:r>
        <w:rPr>
          <w:rFonts w:hint="eastAsia" w:ascii="仿宋_GB2312" w:hAnsi="仿宋_GB2312" w:eastAsia="仿宋_GB2312" w:cs="仿宋_GB2312"/>
          <w:sz w:val="18"/>
          <w:szCs w:val="18"/>
          <w:vertAlign w:val="baseline"/>
          <w:lang w:eastAsia="zh-CN"/>
        </w:rPr>
        <w:t>日向市处非工作邮箱（</w:t>
      </w:r>
      <w:r>
        <w:rPr>
          <w:rFonts w:hint="eastAsia" w:ascii="仿宋_GB2312" w:hAnsi="仿宋_GB2312" w:eastAsia="仿宋_GB2312" w:cs="仿宋_GB2312"/>
          <w:sz w:val="18"/>
          <w:szCs w:val="18"/>
          <w:vertAlign w:val="baseline"/>
          <w:lang w:val="en-US" w:eastAsia="zh-CN"/>
        </w:rPr>
        <w:t>fyszyjrzx</w:t>
      </w:r>
      <w:r>
        <w:rPr>
          <w:rFonts w:hint="eastAsia" w:ascii="仿宋_GB2312" w:hAnsi="仿宋_GB2312" w:eastAsia="仿宋_GB2312" w:cs="仿宋_GB2312"/>
          <w:sz w:val="18"/>
          <w:szCs w:val="18"/>
          <w:vertAlign w:val="baseline"/>
          <w:lang w:eastAsia="zh-CN"/>
        </w:rPr>
        <w:t>@163.com）报送本表电子版</w:t>
      </w:r>
      <w:r>
        <w:rPr>
          <w:rFonts w:hint="eastAsia" w:ascii="仿宋_GB2312" w:hAnsi="仿宋_GB2312" w:eastAsia="仿宋_GB2312" w:cs="仿宋_GB2312"/>
          <w:sz w:val="18"/>
          <w:szCs w:val="18"/>
          <w:vertAlign w:val="baseline"/>
          <w:lang w:val="en-US" w:eastAsia="zh-CN"/>
        </w:rPr>
        <w:fldChar w:fldCharType="begin"/>
      </w:r>
      <w:r>
        <w:rPr>
          <w:rFonts w:hint="eastAsia" w:ascii="仿宋_GB2312" w:hAnsi="仿宋_GB2312" w:eastAsia="仿宋_GB2312" w:cs="仿宋_GB2312"/>
          <w:sz w:val="18"/>
          <w:szCs w:val="18"/>
          <w:vertAlign w:val="baseline"/>
          <w:lang w:val="en-US" w:eastAsia="zh-CN"/>
        </w:rPr>
        <w:instrText xml:space="preserve"> HYPERLINK "mailto:年12月10日向省委金融办邮箱（sxscfbgs@163.com）报送本表电子版。" </w:instrText>
      </w:r>
      <w:r>
        <w:rPr>
          <w:rFonts w:hint="eastAsia" w:ascii="仿宋_GB2312" w:hAnsi="仿宋_GB2312" w:eastAsia="仿宋_GB2312" w:cs="仿宋_GB2312"/>
          <w:sz w:val="18"/>
          <w:szCs w:val="18"/>
          <w:vertAlign w:val="baseline"/>
          <w:lang w:val="en-US" w:eastAsia="zh-CN"/>
        </w:rPr>
        <w:fldChar w:fldCharType="separate"/>
      </w:r>
      <w:r>
        <w:rPr>
          <w:rFonts w:hint="eastAsia" w:ascii="仿宋_GB2312" w:hAnsi="仿宋_GB2312" w:eastAsia="仿宋_GB2312" w:cs="仿宋_GB2312"/>
          <w:sz w:val="18"/>
          <w:szCs w:val="18"/>
          <w:vertAlign w:val="baseline"/>
          <w:lang w:val="en-US" w:eastAsia="zh-CN"/>
        </w:rPr>
        <w:t>。</w:t>
      </w:r>
    </w:p>
    <w:p w14:paraId="60EAE3E9">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br w:type="page"/>
      </w:r>
      <w:r>
        <w:rPr>
          <w:rFonts w:hint="eastAsia" w:ascii="仿宋_GB2312" w:hAnsi="仿宋_GB2312" w:eastAsia="仿宋_GB2312" w:cs="仿宋_GB2312"/>
          <w:sz w:val="18"/>
          <w:szCs w:val="18"/>
          <w:vertAlign w:val="baseline"/>
          <w:lang w:val="en-US" w:eastAsia="zh-CN"/>
        </w:rPr>
        <w:fldChar w:fldCharType="end"/>
      </w:r>
    </w:p>
    <w:p w14:paraId="6E8C8CAE">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-504825</wp:posOffset>
                </wp:positionH>
                <wp:positionV relativeFrom="paragraph">
                  <wp:posOffset>74295</wp:posOffset>
                </wp:positionV>
                <wp:extent cx="476250" cy="6953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76250" cy="695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58F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- 14 -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75pt;margin-top:5.85pt;height:54.75pt;width:37.5pt;z-index:251660288;mso-width-relative:page;mso-height-relative:page;" filled="f" stroked="f" coordsize="21600,21600" o:gfxdata="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xvkVjXAAAACQEAAA8AAAAAAAAAAQAgAAAAIgAAAGRycy9k&#10;b3ducmV2LnhtbFBLAQIUABQAAAAIAIdO4kDVx4awPAIAAGcEAAAOAAAAAAAAAAEAIAAAACYBAABk&#10;cnMvZTJvRG9jLnhtbFBLBQYAAAAABgAGAFkBAADUBQAAAAA=&#10;">
                <v:fill on="f" focussize="0,0"/>
                <v:stroke on="f" weight="0.5pt"/>
                <v:imagedata o:title=""/>
                <o:lock v:ext="edit" aspectratio="f"/>
                <v:textbox style="layout-flow:vertical-ideographic;">
                  <w:txbxContent>
                    <w:p w14:paraId="51858F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- 14 -</w:t>
                      </w:r>
                    </w:p>
                  </w:txbxContent>
                </v:textbox>
              </v:shape>
            </w:pict>
          </mc:Fallback>
        </mc:AlternateContent>
      </w:r>
      <w:r>
        <w:rPr>
          <w:rFonts w:hint="eastAsia" w:ascii="黑体" w:hAnsi="黑体" w:eastAsia="黑体" w:cs="黑体"/>
          <w:sz w:val="32"/>
          <w:szCs w:val="32"/>
          <w:lang w:val="en-US" w:eastAsia="zh-CN"/>
        </w:rPr>
        <w:t>附件4</w:t>
      </w:r>
    </w:p>
    <w:p w14:paraId="35B3AB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跨省（自治区、直辖市）非法集资案件（风险）办理情况登记统计表</w:t>
      </w:r>
    </w:p>
    <w:p w14:paraId="5BE42720">
      <w:pPr>
        <w:pStyle w:val="4"/>
        <w:rPr>
          <w:rFonts w:hint="eastAsia"/>
          <w:lang w:eastAsia="zh-CN"/>
        </w:rPr>
      </w:pPr>
    </w:p>
    <w:p w14:paraId="58932236">
      <w:pPr>
        <w:rPr>
          <w:rFonts w:hint="default"/>
          <w:sz w:val="21"/>
          <w:szCs w:val="24"/>
          <w:lang w:val="en-US" w:eastAsia="zh-CN"/>
        </w:rPr>
      </w:pPr>
      <w:r>
        <w:rPr>
          <w:rFonts w:hint="eastAsia"/>
          <w:sz w:val="21"/>
          <w:szCs w:val="24"/>
          <w:lang w:eastAsia="zh-CN"/>
        </w:rPr>
        <w:t>填报单位：（加盖单位公章）</w:t>
      </w:r>
      <w:r>
        <w:rPr>
          <w:rFonts w:hint="eastAsia"/>
          <w:sz w:val="21"/>
          <w:szCs w:val="24"/>
          <w:lang w:val="en-US" w:eastAsia="zh-CN"/>
        </w:rPr>
        <w:t xml:space="preserve">               填报时间：  年  月  日                填报人：                    联系方式：</w:t>
      </w:r>
    </w:p>
    <w:tbl>
      <w:tblPr>
        <w:tblStyle w:val="10"/>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026"/>
        <w:gridCol w:w="897"/>
        <w:gridCol w:w="844"/>
        <w:gridCol w:w="919"/>
        <w:gridCol w:w="1250"/>
        <w:gridCol w:w="826"/>
        <w:gridCol w:w="791"/>
        <w:gridCol w:w="946"/>
        <w:gridCol w:w="775"/>
        <w:gridCol w:w="861"/>
        <w:gridCol w:w="861"/>
        <w:gridCol w:w="861"/>
        <w:gridCol w:w="861"/>
        <w:gridCol w:w="861"/>
      </w:tblGrid>
      <w:tr w14:paraId="4E64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dxa"/>
            <w:tcBorders>
              <w:top w:val="single" w:color="auto" w:sz="4" w:space="0"/>
              <w:left w:val="single" w:color="auto" w:sz="4" w:space="0"/>
              <w:bottom w:val="single" w:color="auto" w:sz="4" w:space="0"/>
              <w:right w:val="single" w:color="auto" w:sz="4" w:space="0"/>
            </w:tcBorders>
            <w:noWrap w:val="0"/>
            <w:vAlign w:val="center"/>
          </w:tcPr>
          <w:p w14:paraId="767F46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序号</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8D318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类型（案件/风险）</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24F4EB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案件/风险名称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E4669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发现/立案时间</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56EB3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涉案企业或个人名称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07230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统一信用编码/身份证</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CFE20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涉及金额（万元）</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FB19C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涉案人数（万人）</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02BEBC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当前办理阶段</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F56DD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资金清退率</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7BF28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主办地</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586A4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协办地</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57F2D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注册地</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4DC58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司法管辖意见及主要依据</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C2CCD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6"/>
                <w:szCs w:val="16"/>
                <w:vertAlign w:val="baseline"/>
                <w:lang w:val="en-US" w:eastAsia="zh-CN"/>
              </w:rPr>
            </w:pPr>
            <w:r>
              <w:rPr>
                <w:rFonts w:hint="eastAsia" w:ascii="CESI仿宋-GB2312" w:hAnsi="CESI仿宋-GB2312" w:eastAsia="CESI仿宋-GB2312" w:cs="CESI仿宋-GB2312"/>
                <w:sz w:val="16"/>
                <w:szCs w:val="16"/>
                <w:vertAlign w:val="baseline"/>
                <w:lang w:val="en-US" w:eastAsia="zh-CN"/>
              </w:rPr>
              <w:t>涉稳简要情况</w:t>
            </w:r>
          </w:p>
        </w:tc>
      </w:tr>
      <w:tr w14:paraId="5C69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dxa"/>
            <w:tcBorders>
              <w:top w:val="single" w:color="auto" w:sz="4" w:space="0"/>
              <w:left w:val="single" w:color="auto" w:sz="4" w:space="0"/>
              <w:bottom w:val="single" w:color="auto" w:sz="4" w:space="0"/>
              <w:right w:val="single" w:color="auto" w:sz="4" w:space="0"/>
            </w:tcBorders>
            <w:noWrap w:val="0"/>
            <w:vAlign w:val="center"/>
          </w:tcPr>
          <w:p w14:paraId="54B5FD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r>
              <w:rPr>
                <w:rFonts w:hint="eastAsia" w:ascii="CESI仿宋-GB2312" w:hAnsi="CESI仿宋-GB2312" w:eastAsia="CESI仿宋-GB2312" w:cs="CESI仿宋-GB2312"/>
                <w:sz w:val="15"/>
                <w:szCs w:val="15"/>
                <w:vertAlign w:val="baseline"/>
                <w:lang w:val="en-US" w:eastAsia="zh-CN"/>
              </w:rPr>
              <w:t>1</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6EF35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027B57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396BC7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4DC1F8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EF0AD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3E628E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6E912E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7E7BE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7C8897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737348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602A1F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1DDDF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8C11A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139ACF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r>
      <w:tr w14:paraId="5E2D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dxa"/>
            <w:tcBorders>
              <w:top w:val="single" w:color="auto" w:sz="4" w:space="0"/>
              <w:left w:val="single" w:color="auto" w:sz="4" w:space="0"/>
              <w:bottom w:val="single" w:color="auto" w:sz="4" w:space="0"/>
              <w:right w:val="single" w:color="auto" w:sz="4" w:space="0"/>
            </w:tcBorders>
            <w:noWrap w:val="0"/>
            <w:vAlign w:val="center"/>
          </w:tcPr>
          <w:p w14:paraId="5887C1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r>
              <w:rPr>
                <w:rFonts w:hint="eastAsia" w:ascii="CESI仿宋-GB2312" w:hAnsi="CESI仿宋-GB2312" w:eastAsia="CESI仿宋-GB2312" w:cs="CESI仿宋-GB2312"/>
                <w:sz w:val="15"/>
                <w:szCs w:val="15"/>
                <w:vertAlign w:val="baseline"/>
                <w:lang w:val="en-US" w:eastAsia="zh-CN"/>
              </w:rPr>
              <w:t>2</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C0AED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080BDB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6FF8EB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D1CD8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E99C0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65403D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7FC4E3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6A7B9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0D4E8F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2B9C1F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3751B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6AE2D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25175A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7C4751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r>
      <w:tr w14:paraId="61FB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dxa"/>
            <w:tcBorders>
              <w:top w:val="single" w:color="auto" w:sz="4" w:space="0"/>
              <w:left w:val="single" w:color="auto" w:sz="4" w:space="0"/>
              <w:bottom w:val="single" w:color="auto" w:sz="4" w:space="0"/>
              <w:right w:val="single" w:color="auto" w:sz="4" w:space="0"/>
            </w:tcBorders>
            <w:noWrap w:val="0"/>
            <w:vAlign w:val="center"/>
          </w:tcPr>
          <w:p w14:paraId="417F3F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r>
              <w:rPr>
                <w:rFonts w:hint="eastAsia" w:ascii="CESI仿宋-GB2312" w:hAnsi="CESI仿宋-GB2312" w:eastAsia="CESI仿宋-GB2312" w:cs="CESI仿宋-GB2312"/>
                <w:sz w:val="15"/>
                <w:szCs w:val="15"/>
                <w:vertAlign w:val="baseline"/>
                <w:lang w:val="en-US" w:eastAsia="zh-CN"/>
              </w:rPr>
              <w:t>3</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51F8A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0FBA60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780B34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7286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DDD4A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27EBBF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45C490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F7456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36DDE3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BFE6B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93B52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3A638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1D7391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58D94D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r>
      <w:tr w14:paraId="5AF5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dxa"/>
            <w:tcBorders>
              <w:top w:val="single" w:color="auto" w:sz="4" w:space="0"/>
              <w:left w:val="single" w:color="auto" w:sz="4" w:space="0"/>
              <w:bottom w:val="single" w:color="auto" w:sz="4" w:space="0"/>
              <w:right w:val="single" w:color="auto" w:sz="4" w:space="0"/>
            </w:tcBorders>
            <w:noWrap w:val="0"/>
            <w:vAlign w:val="center"/>
          </w:tcPr>
          <w:p w14:paraId="46CA5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r>
              <w:rPr>
                <w:rFonts w:hint="eastAsia" w:ascii="CESI仿宋-GB2312" w:hAnsi="CESI仿宋-GB2312" w:eastAsia="CESI仿宋-GB2312" w:cs="CESI仿宋-GB2312"/>
                <w:sz w:val="15"/>
                <w:szCs w:val="15"/>
                <w:vertAlign w:val="baseline"/>
                <w:lang w:val="en-US" w:eastAsia="zh-CN"/>
              </w:rPr>
              <w:t>4</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25F6C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7D5324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438E09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5DA26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3A07A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3CEDED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3A150C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023F5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34A7FF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40BCF9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123C4C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730DC0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137EBC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7A3E65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r>
      <w:tr w14:paraId="0969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dxa"/>
            <w:tcBorders>
              <w:top w:val="single" w:color="auto" w:sz="4" w:space="0"/>
              <w:left w:val="single" w:color="auto" w:sz="4" w:space="0"/>
              <w:bottom w:val="single" w:color="auto" w:sz="4" w:space="0"/>
              <w:right w:val="single" w:color="auto" w:sz="4" w:space="0"/>
            </w:tcBorders>
            <w:noWrap w:val="0"/>
            <w:vAlign w:val="center"/>
          </w:tcPr>
          <w:p w14:paraId="64FBCB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r>
              <w:rPr>
                <w:rFonts w:hint="eastAsia" w:ascii="CESI仿宋-GB2312" w:hAnsi="CESI仿宋-GB2312" w:eastAsia="CESI仿宋-GB2312" w:cs="CESI仿宋-GB2312"/>
                <w:sz w:val="15"/>
                <w:szCs w:val="15"/>
                <w:vertAlign w:val="baseline"/>
                <w:lang w:val="en-US" w:eastAsia="zh-CN"/>
              </w:rPr>
              <w:t>5</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7E3D7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75A07E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0B2D4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41333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7429D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59F7A7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547094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9B648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57FBE3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F7972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6D3FA1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064D5F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7E5398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437FDF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r>
      <w:tr w14:paraId="506A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dxa"/>
            <w:tcBorders>
              <w:top w:val="single" w:color="auto" w:sz="4" w:space="0"/>
              <w:left w:val="single" w:color="auto" w:sz="4" w:space="0"/>
              <w:bottom w:val="single" w:color="auto" w:sz="4" w:space="0"/>
              <w:right w:val="single" w:color="auto" w:sz="4" w:space="0"/>
            </w:tcBorders>
            <w:noWrap w:val="0"/>
            <w:vAlign w:val="center"/>
          </w:tcPr>
          <w:p w14:paraId="54F97F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r>
              <w:rPr>
                <w:rFonts w:hint="eastAsia" w:ascii="CESI仿宋-GB2312" w:hAnsi="CESI仿宋-GB2312" w:eastAsia="CESI仿宋-GB2312" w:cs="CESI仿宋-GB2312"/>
                <w:sz w:val="15"/>
                <w:szCs w:val="15"/>
                <w:vertAlign w:val="baseline"/>
                <w:lang w:val="en-US" w:eastAsia="zh-CN"/>
              </w:rPr>
              <w:t>6</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EACA1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68E4CD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4D20C8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B231D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B92A3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4F9507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0C6247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9ACD7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435130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6720D2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34801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5C9524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165C9F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54D9CD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r>
      <w:tr w14:paraId="3491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dxa"/>
            <w:tcBorders>
              <w:top w:val="single" w:color="auto" w:sz="4" w:space="0"/>
              <w:left w:val="single" w:color="auto" w:sz="4" w:space="0"/>
              <w:bottom w:val="single" w:color="auto" w:sz="4" w:space="0"/>
              <w:right w:val="single" w:color="auto" w:sz="4" w:space="0"/>
            </w:tcBorders>
            <w:noWrap w:val="0"/>
            <w:vAlign w:val="center"/>
          </w:tcPr>
          <w:p w14:paraId="70420F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r>
              <w:rPr>
                <w:rFonts w:hint="eastAsia" w:ascii="CESI仿宋-GB2312" w:hAnsi="CESI仿宋-GB2312" w:eastAsia="CESI仿宋-GB2312" w:cs="CESI仿宋-GB2312"/>
                <w:sz w:val="15"/>
                <w:szCs w:val="15"/>
                <w:vertAlign w:val="baseline"/>
                <w:lang w:val="en-US" w:eastAsia="zh-CN"/>
              </w:rPr>
              <w:t>7</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0A5BD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368765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7AF229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D4E0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2E870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1EA193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0A8EA3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F9D6F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7CC0A9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5965B1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24DB8A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011B41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7639D1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556AFE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r>
      <w:tr w14:paraId="368A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dxa"/>
            <w:tcBorders>
              <w:top w:val="single" w:color="auto" w:sz="4" w:space="0"/>
              <w:left w:val="single" w:color="auto" w:sz="4" w:space="0"/>
              <w:bottom w:val="single" w:color="auto" w:sz="4" w:space="0"/>
              <w:right w:val="single" w:color="auto" w:sz="4" w:space="0"/>
            </w:tcBorders>
            <w:noWrap w:val="0"/>
            <w:vAlign w:val="center"/>
          </w:tcPr>
          <w:p w14:paraId="5C1455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r>
              <w:rPr>
                <w:rFonts w:hint="eastAsia" w:ascii="CESI仿宋-GB2312" w:hAnsi="CESI仿宋-GB2312" w:eastAsia="CESI仿宋-GB2312" w:cs="CESI仿宋-GB2312"/>
                <w:sz w:val="15"/>
                <w:szCs w:val="15"/>
                <w:vertAlign w:val="baseline"/>
                <w:lang w:val="en-US" w:eastAsia="zh-CN"/>
              </w:rPr>
              <w:t>8</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58EC9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17A437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55626D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5AB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1AC04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38CEFE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42451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084015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224EF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49FE7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4A9066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2D2F42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CC9B7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5882F0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r>
      <w:tr w14:paraId="2E64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dxa"/>
            <w:tcBorders>
              <w:top w:val="single" w:color="auto" w:sz="4" w:space="0"/>
              <w:left w:val="single" w:color="auto" w:sz="4" w:space="0"/>
              <w:bottom w:val="single" w:color="auto" w:sz="4" w:space="0"/>
              <w:right w:val="single" w:color="auto" w:sz="4" w:space="0"/>
            </w:tcBorders>
            <w:noWrap w:val="0"/>
            <w:vAlign w:val="center"/>
          </w:tcPr>
          <w:p w14:paraId="1A7C24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r>
              <w:rPr>
                <w:rFonts w:hint="eastAsia" w:ascii="CESI仿宋-GB2312" w:hAnsi="CESI仿宋-GB2312" w:eastAsia="CESI仿宋-GB2312" w:cs="CESI仿宋-GB2312"/>
                <w:sz w:val="15"/>
                <w:szCs w:val="15"/>
                <w:vertAlign w:val="baseline"/>
                <w:lang w:val="en-US" w:eastAsia="zh-CN"/>
              </w:rPr>
              <w:t>9</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4482C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39FEA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528F32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FEBF7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B7571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167EF1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65D2D4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581C6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6D15D0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8419E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2CD7B3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4D03BF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2650C1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3D109E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sz w:val="15"/>
                <w:szCs w:val="15"/>
                <w:vertAlign w:val="baseline"/>
                <w:lang w:val="en-US" w:eastAsia="zh-CN"/>
              </w:rPr>
            </w:pPr>
          </w:p>
        </w:tc>
      </w:tr>
    </w:tbl>
    <w:p w14:paraId="2AFA6B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备注：1.各地根据金融监管总局等四部门联合印发的《关于进一步加强跨省非法集资案件处置工作的通知》相关要求，梳理统计辖内跨省案件（风险）情况。</w:t>
      </w:r>
    </w:p>
    <w:p w14:paraId="6704D6C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540" w:firstLineChars="300"/>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2.司法管辖意见及主要依据填写各地初步摸清风险底数基础上，初步研判后对跨省案件司法管辖提出意见和依据。</w:t>
      </w:r>
    </w:p>
    <w:p w14:paraId="4E6421C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540" w:firstLineChars="300"/>
        <w:jc w:val="left"/>
        <w:textAlignment w:val="auto"/>
        <w:rPr>
          <w:rFonts w:hint="eastAsia" w:ascii="仿宋_GB2312" w:hAnsi="仿宋_GB2312" w:eastAsia="仿宋_GB2312" w:cs="仿宋_GB2312"/>
          <w:sz w:val="18"/>
          <w:szCs w:val="18"/>
          <w:vertAlign w:val="baseline"/>
          <w:lang w:val="en-US" w:eastAsia="zh-CN"/>
        </w:rPr>
        <w:sectPr>
          <w:headerReference r:id="rId7" w:type="default"/>
          <w:footerReference r:id="rId8" w:type="default"/>
          <w:pgSz w:w="16838" w:h="11906" w:orient="landscape"/>
          <w:pgMar w:top="1587" w:right="2098" w:bottom="1474" w:left="1984" w:header="851" w:footer="992" w:gutter="0"/>
          <w:pgNumType w:fmt="numberInDash"/>
          <w:cols w:space="720" w:num="1"/>
          <w:docGrid w:type="lines" w:linePitch="312" w:charSpace="0"/>
        </w:sectPr>
      </w:pPr>
      <w:r>
        <w:rPr>
          <w:rFonts w:hint="eastAsia" w:ascii="仿宋_GB2312" w:hAnsi="仿宋_GB2312" w:eastAsia="仿宋_GB2312" w:cs="仿宋_GB2312"/>
          <w:sz w:val="18"/>
          <w:szCs w:val="18"/>
          <w:vertAlign w:val="baseline"/>
          <w:lang w:val="en-US" w:eastAsia="zh-CN"/>
        </w:rPr>
        <w:t>3.涉稳简要情况简要填报该案件（风险）重大信访涉稳情况，如平稳则填无。</w:t>
      </w:r>
    </w:p>
    <w:p w14:paraId="0FBDE05F">
      <w:pPr>
        <w:pStyle w:val="2"/>
        <w:rPr>
          <w:rFonts w:hint="eastAsia"/>
        </w:rPr>
        <w:sectPr>
          <w:pgSz w:w="11906" w:h="16838"/>
          <w:pgMar w:top="2098" w:right="1474" w:bottom="1984" w:left="1587" w:header="851" w:footer="992" w:gutter="0"/>
          <w:pgNumType w:fmt="numberInDash"/>
          <w:cols w:space="720" w:num="1"/>
          <w:docGrid w:type="lines" w:linePitch="312" w:charSpace="0"/>
        </w:sectPr>
      </w:pPr>
    </w:p>
    <w:p w14:paraId="306E066A">
      <w:pPr>
        <w:rPr>
          <w:rFonts w:hint="eastAsia"/>
        </w:rPr>
      </w:pPr>
    </w:p>
    <w:p w14:paraId="7A2ED0A9">
      <w:pPr>
        <w:pStyle w:val="2"/>
        <w:rPr>
          <w:rFonts w:hint="eastAsia"/>
        </w:rPr>
      </w:pPr>
    </w:p>
    <w:p w14:paraId="2DDB47B5">
      <w:pPr>
        <w:rPr>
          <w:rFonts w:hint="eastAsia"/>
        </w:rPr>
      </w:pPr>
    </w:p>
    <w:p w14:paraId="521578B2">
      <w:pPr>
        <w:pStyle w:val="2"/>
        <w:rPr>
          <w:rFonts w:hint="eastAsia"/>
        </w:rPr>
      </w:pPr>
    </w:p>
    <w:p w14:paraId="7D721B07">
      <w:pPr>
        <w:rPr>
          <w:rFonts w:hint="eastAsia"/>
        </w:rPr>
      </w:pPr>
    </w:p>
    <w:p w14:paraId="074B0EE6">
      <w:pPr>
        <w:pStyle w:val="2"/>
        <w:rPr>
          <w:rFonts w:hint="eastAsia"/>
        </w:rPr>
      </w:pPr>
    </w:p>
    <w:p w14:paraId="2C7D6B7D">
      <w:pPr>
        <w:rPr>
          <w:rFonts w:hint="eastAsia"/>
        </w:rPr>
      </w:pPr>
    </w:p>
    <w:p w14:paraId="734A63F1">
      <w:pPr>
        <w:pStyle w:val="2"/>
        <w:rPr>
          <w:rFonts w:hint="eastAsia"/>
        </w:rPr>
      </w:pPr>
    </w:p>
    <w:p w14:paraId="5DE6FA66">
      <w:pPr>
        <w:rPr>
          <w:rFonts w:hint="eastAsia"/>
        </w:rPr>
      </w:pPr>
    </w:p>
    <w:p w14:paraId="5EA57737">
      <w:pPr>
        <w:pStyle w:val="2"/>
        <w:rPr>
          <w:rFonts w:hint="eastAsia"/>
        </w:rPr>
      </w:pPr>
    </w:p>
    <w:p w14:paraId="681C2DB9">
      <w:pPr>
        <w:rPr>
          <w:rFonts w:hint="eastAsia"/>
        </w:rPr>
      </w:pPr>
    </w:p>
    <w:p w14:paraId="42E4BEA7">
      <w:pPr>
        <w:pStyle w:val="2"/>
        <w:rPr>
          <w:rFonts w:hint="eastAsia"/>
        </w:rPr>
      </w:pPr>
    </w:p>
    <w:p w14:paraId="1D394549">
      <w:pPr>
        <w:rPr>
          <w:rFonts w:hint="eastAsia"/>
        </w:rPr>
      </w:pPr>
    </w:p>
    <w:p w14:paraId="076ECDE2">
      <w:pPr>
        <w:pStyle w:val="2"/>
        <w:rPr>
          <w:rFonts w:hint="eastAsia"/>
        </w:rPr>
      </w:pPr>
    </w:p>
    <w:p w14:paraId="787BE571">
      <w:pPr>
        <w:rPr>
          <w:rFonts w:hint="eastAsia"/>
        </w:rPr>
      </w:pPr>
    </w:p>
    <w:p w14:paraId="65C15523">
      <w:pPr>
        <w:pStyle w:val="2"/>
        <w:rPr>
          <w:rFonts w:hint="eastAsia"/>
        </w:rPr>
      </w:pPr>
    </w:p>
    <w:p w14:paraId="05400BCB">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000000"/>
          <w:sz w:val="28"/>
          <w:szCs w:val="28"/>
          <w:u w:val="thick"/>
        </w:rPr>
      </w:pPr>
    </w:p>
    <w:p w14:paraId="07175FF3">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000000"/>
          <w:sz w:val="28"/>
          <w:szCs w:val="28"/>
          <w:u w:val="thick"/>
        </w:rPr>
      </w:pPr>
    </w:p>
    <w:p w14:paraId="633E8E05">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000000"/>
          <w:sz w:val="28"/>
          <w:szCs w:val="28"/>
          <w:u w:val="thick"/>
        </w:rPr>
      </w:pPr>
    </w:p>
    <w:p w14:paraId="2D35E2E1">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000000"/>
          <w:sz w:val="28"/>
          <w:szCs w:val="28"/>
          <w:u w:val="thick"/>
        </w:rPr>
      </w:pPr>
    </w:p>
    <w:p w14:paraId="1AE9A13A">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000000"/>
          <w:sz w:val="28"/>
          <w:szCs w:val="28"/>
          <w:u w:val="thick"/>
        </w:rPr>
      </w:pPr>
    </w:p>
    <w:p w14:paraId="02B30A97">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000000"/>
          <w:sz w:val="28"/>
          <w:szCs w:val="28"/>
          <w:u w:val="thick"/>
        </w:rPr>
      </w:pPr>
    </w:p>
    <w:p w14:paraId="0E745875">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000000"/>
          <w:sz w:val="28"/>
          <w:szCs w:val="28"/>
          <w:u w:val="thick"/>
        </w:rPr>
      </w:pPr>
    </w:p>
    <w:p w14:paraId="3AF96A76">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000000"/>
          <w:sz w:val="28"/>
          <w:szCs w:val="28"/>
          <w:u w:val="thick"/>
        </w:rPr>
      </w:pPr>
    </w:p>
    <w:p w14:paraId="311388F3">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000000"/>
          <w:spacing w:val="-7"/>
          <w:sz w:val="28"/>
          <w:szCs w:val="28"/>
          <w:u w:val="thick"/>
        </w:rPr>
      </w:pPr>
      <w:r>
        <w:rPr>
          <w:rFonts w:hint="eastAsia" w:ascii="仿宋_GB2312" w:hAnsi="仿宋_GB2312" w:eastAsia="仿宋_GB2312" w:cs="仿宋_GB2312"/>
          <w:color w:val="000000"/>
          <w:sz w:val="28"/>
          <w:szCs w:val="28"/>
          <w:u w:val="thick"/>
        </w:rPr>
        <w:t xml:space="preserve">          </w:t>
      </w:r>
      <w:r>
        <w:rPr>
          <w:rFonts w:hint="eastAsia" w:ascii="仿宋_GB2312" w:hAnsi="仿宋_GB2312" w:eastAsia="仿宋_GB2312" w:cs="仿宋_GB2312"/>
          <w:color w:val="000000"/>
          <w:spacing w:val="-7"/>
          <w:sz w:val="28"/>
          <w:szCs w:val="28"/>
          <w:u w:val="thick"/>
        </w:rPr>
        <w:t xml:space="preserve">                                                              </w:t>
      </w:r>
    </w:p>
    <w:p w14:paraId="7C9F18C9">
      <w:pPr>
        <w:keepNext w:val="0"/>
        <w:keepLines w:val="0"/>
        <w:pageBreakBefore w:val="0"/>
        <w:widowControl/>
        <w:kinsoku/>
        <w:wordWrap/>
        <w:overflowPunct/>
        <w:topLinePunct w:val="0"/>
        <w:autoSpaceDE/>
        <w:autoSpaceDN/>
        <w:bidi w:val="0"/>
        <w:adjustRightInd/>
        <w:snapToGrid/>
        <w:spacing w:line="560" w:lineRule="exact"/>
        <w:ind w:left="262" w:hanging="266" w:hangingChars="100"/>
        <w:textAlignment w:val="baseline"/>
        <w:rPr>
          <w:rFonts w:hint="eastAsia" w:ascii="仿宋_GB2312" w:hAnsi="仿宋_GB2312" w:eastAsia="仿宋_GB2312" w:cs="仿宋_GB2312"/>
          <w:color w:val="000000"/>
          <w:spacing w:val="-7"/>
          <w:sz w:val="28"/>
          <w:szCs w:val="28"/>
        </w:rPr>
      </w:pPr>
      <w:r>
        <w:rPr>
          <w:rFonts w:hint="eastAsia" w:ascii="仿宋_GB2312" w:hAnsi="仿宋_GB2312" w:eastAsia="仿宋_GB2312" w:cs="仿宋_GB2312"/>
          <w:color w:val="000000"/>
          <w:spacing w:val="-7"/>
          <w:sz w:val="28"/>
          <w:szCs w:val="28"/>
        </w:rPr>
        <w:t xml:space="preserve">  抄送：市委办公室及市委各部门，市人大常委会办公室，市政协办公室,</w:t>
      </w:r>
    </w:p>
    <w:p w14:paraId="79488BCF">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000000"/>
          <w:spacing w:val="-7"/>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spacing w:val="-7"/>
          <w:sz w:val="28"/>
          <w:szCs w:val="28"/>
          <w:u w:val="single"/>
        </w:rPr>
        <w:t xml:space="preserve">市纪委监委，市法院，市检察院。                                      </w:t>
      </w:r>
    </w:p>
    <w:p w14:paraId="02838DB8">
      <w:pPr>
        <w:rPr>
          <w:rFonts w:hint="eastAsia"/>
        </w:rPr>
      </w:pPr>
      <w:r>
        <w:rPr>
          <w:rFonts w:hint="eastAsia" w:ascii="仿宋_GB2312" w:hAnsi="仿宋_GB2312" w:eastAsia="仿宋_GB2312" w:cs="仿宋_GB2312"/>
          <w:color w:val="000000"/>
          <w:sz w:val="28"/>
          <w:szCs w:val="28"/>
          <w:u w:val="thick"/>
        </w:rPr>
        <w:t xml:space="preserve">  汾阳市人民政府办公室　     　     </w:t>
      </w:r>
      <w:r>
        <w:rPr>
          <w:rFonts w:hint="eastAsia" w:ascii="仿宋_GB2312" w:hAnsi="仿宋_GB2312" w:eastAsia="仿宋_GB2312" w:cs="仿宋_GB2312"/>
          <w:color w:val="000000"/>
          <w:sz w:val="28"/>
          <w:szCs w:val="28"/>
          <w:u w:val="thick"/>
          <w:lang w:val="en-US" w:eastAsia="zh-CN"/>
        </w:rPr>
        <w:t xml:space="preserve"> </w:t>
      </w:r>
      <w:r>
        <w:rPr>
          <w:rFonts w:hint="eastAsia" w:ascii="仿宋_GB2312" w:hAnsi="仿宋_GB2312" w:eastAsia="仿宋_GB2312" w:cs="仿宋_GB2312"/>
          <w:color w:val="000000"/>
          <w:sz w:val="28"/>
          <w:szCs w:val="28"/>
          <w:u w:val="thick"/>
        </w:rPr>
        <w:t xml:space="preserve">    </w:t>
      </w:r>
      <w:r>
        <w:rPr>
          <w:rFonts w:hint="eastAsia" w:ascii="仿宋_GB2312" w:hAnsi="仿宋_GB2312" w:eastAsia="仿宋_GB2312" w:cs="仿宋_GB2312"/>
          <w:color w:val="000000"/>
          <w:sz w:val="28"/>
          <w:szCs w:val="28"/>
          <w:u w:val="thick"/>
          <w:lang w:val="en-US" w:eastAsia="zh-CN"/>
        </w:rPr>
        <w:t xml:space="preserve">  </w:t>
      </w:r>
      <w:r>
        <w:rPr>
          <w:rFonts w:hint="eastAsia" w:ascii="仿宋_GB2312" w:hAnsi="仿宋_GB2312" w:eastAsia="仿宋_GB2312" w:cs="仿宋_GB2312"/>
          <w:color w:val="000000"/>
          <w:sz w:val="28"/>
          <w:szCs w:val="28"/>
          <w:u w:val="thick"/>
        </w:rPr>
        <w:t>202</w:t>
      </w:r>
      <w:r>
        <w:rPr>
          <w:rFonts w:hint="eastAsia" w:ascii="仿宋_GB2312" w:hAnsi="仿宋_GB2312" w:eastAsia="仿宋_GB2312" w:cs="仿宋_GB2312"/>
          <w:color w:val="000000"/>
          <w:sz w:val="28"/>
          <w:szCs w:val="28"/>
          <w:u w:val="thick"/>
          <w:lang w:val="en-US" w:eastAsia="zh-CN"/>
        </w:rPr>
        <w:t>4</w:t>
      </w:r>
      <w:r>
        <w:rPr>
          <w:rFonts w:hint="eastAsia" w:ascii="仿宋_GB2312" w:hAnsi="仿宋_GB2312" w:eastAsia="仿宋_GB2312" w:cs="仿宋_GB2312"/>
          <w:color w:val="000000"/>
          <w:sz w:val="28"/>
          <w:szCs w:val="28"/>
          <w:u w:val="thick"/>
        </w:rPr>
        <w:t>年</w:t>
      </w:r>
      <w:r>
        <w:rPr>
          <w:rFonts w:hint="eastAsia" w:ascii="仿宋_GB2312" w:hAnsi="仿宋_GB2312" w:eastAsia="仿宋_GB2312" w:cs="仿宋_GB2312"/>
          <w:color w:val="000000"/>
          <w:sz w:val="28"/>
          <w:szCs w:val="28"/>
          <w:u w:val="thick"/>
          <w:lang w:val="en-US" w:eastAsia="zh-CN"/>
        </w:rPr>
        <w:t>7</w:t>
      </w:r>
      <w:r>
        <w:rPr>
          <w:rFonts w:hint="eastAsia" w:ascii="仿宋_GB2312" w:hAnsi="仿宋_GB2312" w:eastAsia="仿宋_GB2312" w:cs="仿宋_GB2312"/>
          <w:color w:val="000000"/>
          <w:sz w:val="28"/>
          <w:szCs w:val="28"/>
          <w:u w:val="thick"/>
        </w:rPr>
        <w:t>月</w:t>
      </w:r>
      <w:r>
        <w:rPr>
          <w:rFonts w:hint="eastAsia" w:ascii="仿宋_GB2312" w:hAnsi="仿宋_GB2312" w:eastAsia="仿宋_GB2312" w:cs="仿宋_GB2312"/>
          <w:color w:val="000000"/>
          <w:sz w:val="28"/>
          <w:szCs w:val="28"/>
          <w:u w:val="thick"/>
          <w:lang w:val="en-US" w:eastAsia="zh-CN"/>
        </w:rPr>
        <w:t>11</w:t>
      </w:r>
      <w:r>
        <w:rPr>
          <w:rFonts w:hint="eastAsia" w:ascii="仿宋_GB2312" w:hAnsi="仿宋_GB2312" w:eastAsia="仿宋_GB2312" w:cs="仿宋_GB2312"/>
          <w:color w:val="000000"/>
          <w:sz w:val="28"/>
          <w:szCs w:val="28"/>
          <w:u w:val="thick"/>
        </w:rPr>
        <w:t xml:space="preserve">日印发 </w:t>
      </w:r>
      <w:r>
        <w:rPr>
          <w:rFonts w:hint="eastAsia" w:ascii="仿宋_GB2312" w:hAnsi="仿宋_GB2312" w:eastAsia="仿宋_GB2312" w:cs="仿宋_GB2312"/>
          <w:color w:val="000000"/>
          <w:sz w:val="28"/>
          <w:szCs w:val="28"/>
          <w:u w:val="thick"/>
          <w:lang w:val="en-US" w:eastAsia="zh-CN"/>
        </w:rPr>
        <w:t xml:space="preserve">   </w:t>
      </w: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9686F4-A930-4C17-8D52-84B232DE17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6EAEE80-6DD0-4CC0-B18D-5559E136305C}"/>
  </w:font>
  <w:font w:name="方正小标宋简体">
    <w:panose1 w:val="03000509000000000000"/>
    <w:charset w:val="86"/>
    <w:family w:val="auto"/>
    <w:pitch w:val="default"/>
    <w:sig w:usb0="00000001" w:usb1="080E0000" w:usb2="00000000" w:usb3="00000000" w:csb0="00040000" w:csb1="00000000"/>
    <w:embedRegular r:id="rId3" w:fontKey="{714F88F1-5DF1-416A-9F8A-4208186679C7}"/>
  </w:font>
  <w:font w:name="仿宋">
    <w:panose1 w:val="02010609060101010101"/>
    <w:charset w:val="86"/>
    <w:family w:val="auto"/>
    <w:pitch w:val="default"/>
    <w:sig w:usb0="800002BF" w:usb1="38CF7CFA" w:usb2="00000016" w:usb3="00000000" w:csb0="00040001" w:csb1="00000000"/>
    <w:embedRegular r:id="rId4" w:fontKey="{72CB6C05-3A05-417A-BBF6-69F2B04B77FA}"/>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00"/>
    <w:family w:val="auto"/>
    <w:pitch w:val="default"/>
    <w:sig w:usb0="00000000" w:usb1="00000000" w:usb2="00000010" w:usb3="00000000" w:csb0="0004000F" w:csb1="00000000"/>
    <w:embedRegular r:id="rId5" w:fontKey="{AA5B5062-4D0A-435B-878F-DD465014C5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F3299">
    <w:pPr>
      <w:pStyle w:val="6"/>
    </w:pPr>
    <w:r>
      <w:rPr>
        <w:sz w:val="18"/>
      </w:rPr>
      <mc:AlternateContent>
        <mc:Choice Requires="wps">
          <w:drawing>
            <wp:anchor distT="0" distB="0" distL="114300" distR="114300" simplePos="0" relativeHeight="251661312" behindDoc="0" locked="0" layoutInCell="1" allowOverlap="1">
              <wp:simplePos x="0" y="0"/>
              <wp:positionH relativeFrom="margin">
                <wp:posOffset>-388620</wp:posOffset>
              </wp:positionH>
              <wp:positionV relativeFrom="paragraph">
                <wp:posOffset>-892810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186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0.6pt;margin-top:-70.3pt;height:144pt;width:144pt;mso-position-horizontal-relative:margin;mso-wrap-style:none;rotation:5898240f;z-index:251661312;mso-width-relative:page;mso-height-relative:page;" filled="f" stroked="f" coordsize="21600,21600" o:gfxdata="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Wodn3XAAAADAEAAA8AAAAAAAAAAQAgAAAAIgAAAGRycy9kb3du&#10;cmV2LnhtbFBLAQIUABQAAAAIAIdO4kD2mLHQOQIAAG8EAAAOAAAAAAAAAAEAIAAAACYBAABkcnMv&#10;ZTJvRG9jLnhtbFBLBQYAAAAABgAGAFkBAADRBQAAAAA=&#10;">
              <v:fill on="f" focussize="0,0"/>
              <v:stroke on="f" weight="0.5pt"/>
              <v:imagedata o:title=""/>
              <o:lock v:ext="edit" aspectratio="f"/>
              <v:textbox inset="0mm,0mm,0mm,0mm" style="mso-fit-shape-to-text:t;">
                <w:txbxContent>
                  <w:p w14:paraId="7C14186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F00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61E5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DAD99">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FC88">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-411480</wp:posOffset>
              </wp:positionH>
              <wp:positionV relativeFrom="paragraph">
                <wp:posOffset>512445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07ED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2.4pt;margin-top:40.35pt;height:144pt;width:144pt;mso-position-horizontal-relative:margin;mso-wrap-style:none;rotation:5898240f;z-index:251660288;mso-width-relative:page;mso-height-relative:page;" filled="f" stroked="f" coordsize="21600,21600" o:gfxdata="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LPAfO2AAAAAoBAAAPAAAAAAAAAAEAIAAAACIAAABkcnMvZG93&#10;bnJldi54bWxQSwECFAAUAAAACACHTuJAMEWZgzkCAABvBAAADgAAAAAAAAABACAAAAAnAQAAZHJz&#10;L2Uyb0RvYy54bWxQSwUGAAAAAAYABgBZAQAA0gUAAAAA&#10;">
              <v:fill on="f" focussize="0,0"/>
              <v:stroke on="f" weight="0.5pt"/>
              <v:imagedata o:title=""/>
              <o:lock v:ext="edit" aspectratio="f"/>
              <v:textbox inset="0mm,0mm,0mm,0mm" style="mso-fit-shape-to-text:t;">
                <w:txbxContent>
                  <w:p w14:paraId="79807ED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CB3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ZTk3YWIxMDc2YmE4NjgzODE2MGU4MmVhYWIzMmYifQ=="/>
  </w:docVars>
  <w:rsids>
    <w:rsidRoot w:val="729B7391"/>
    <w:rsid w:val="0A7855D6"/>
    <w:rsid w:val="13B0352D"/>
    <w:rsid w:val="188C7657"/>
    <w:rsid w:val="196A1E12"/>
    <w:rsid w:val="1CA36282"/>
    <w:rsid w:val="1D7D1FB1"/>
    <w:rsid w:val="1E860A28"/>
    <w:rsid w:val="22805882"/>
    <w:rsid w:val="2D8C14A7"/>
    <w:rsid w:val="32F975AB"/>
    <w:rsid w:val="3709681E"/>
    <w:rsid w:val="472B284C"/>
    <w:rsid w:val="4BFC3CE5"/>
    <w:rsid w:val="57ED1C1A"/>
    <w:rsid w:val="5EFE034D"/>
    <w:rsid w:val="6F5C5B20"/>
    <w:rsid w:val="729B7391"/>
    <w:rsid w:val="76131CA2"/>
    <w:rsid w:val="7C806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59" w:beforeLines="0" w:after="153" w:afterLines="0" w:line="554" w:lineRule="atLeast"/>
      <w:jc w:val="center"/>
      <w:textAlignment w:val="bottom"/>
      <w:outlineLvl w:val="0"/>
    </w:pPr>
    <w:rPr>
      <w:rFonts w:ascii="Arial" w:hAnsi="Arial" w:eastAsia="黑体"/>
      <w:color w:val="000000"/>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adjustRightInd w:val="0"/>
      <w:spacing w:after="120" w:line="315" w:lineRule="atLeast"/>
      <w:jc w:val="left"/>
      <w:textAlignment w:val="baseline"/>
    </w:pPr>
    <w:rPr>
      <w:rFonts w:ascii="宋体" w:hAnsi="Times New Roman" w:eastAsia="宋体" w:cs="Times New Roman"/>
      <w:kern w:val="0"/>
      <w:sz w:val="21"/>
      <w:szCs w:val="21"/>
      <w:lang w:val="en-US" w:eastAsia="zh-CN" w:bidi="ar-SA"/>
    </w:rPr>
  </w:style>
  <w:style w:type="paragraph" w:styleId="4">
    <w:name w:val="Normal Indent"/>
    <w:basedOn w:val="1"/>
    <w:qFormat/>
    <w:uiPriority w:val="0"/>
    <w:pPr>
      <w:ind w:firstLine="200" w:firstLineChars="200"/>
    </w:pPr>
    <w:rPr>
      <w:rFonts w:ascii="Times New Roman" w:hAnsi="Times New Roman" w:eastAsia="宋体" w:cs="Times New Roman"/>
    </w:rPr>
  </w:style>
  <w:style w:type="paragraph" w:styleId="5">
    <w:name w:val="Body Text Indent"/>
    <w:basedOn w:val="1"/>
    <w:qFormat/>
    <w:uiPriority w:val="0"/>
    <w:pPr>
      <w:spacing w:after="120"/>
      <w:ind w:left="200" w:left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spacing w:after="0" w:line="600" w:lineRule="exact"/>
      <w:ind w:left="0" w:leftChars="0" w:firstLine="200" w:firstLineChars="200"/>
    </w:pPr>
    <w:rPr>
      <w:rFonts w:ascii="Calibri" w:hAnsi="Calibri" w:eastAsia="宋体" w:cs="Times New Roman"/>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paragraph" w:customStyle="1" w:styleId="15">
    <w:name w:val="样式1"/>
    <w:basedOn w:val="1"/>
    <w:qFormat/>
    <w:uiPriority w:val="0"/>
    <w:rPr>
      <w:rFonts w:ascii="Calibri" w:hAnsi="Calibri" w:eastAsia="宋体" w:cs="Times New Roman"/>
      <w:b/>
      <w:color w:val="538135"/>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6760</Words>
  <Characters>6924</Characters>
  <Lines>0</Lines>
  <Paragraphs>0</Paragraphs>
  <TotalTime>4</TotalTime>
  <ScaleCrop>false</ScaleCrop>
  <LinksUpToDate>false</LinksUpToDate>
  <CharactersWithSpaces>7267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2024-07-03T01:31:00Z</dcterms:created>
  <dc:creator>Lenovo</dc:creator>
  <cp:lastModifiedBy>Administrator</cp:lastModifiedBy>
  <cp:lastPrinted>2024-07-11T01:57:00Z</cp:lastPrinted>
  <dcterms:modified xsi:type="dcterms:W3CDTF">2024-09-23T08:13:19Z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B1B1AC1720A541D9825F7262F19847E0_13</vt:lpwstr>
  </property>
</Properties>
</file>