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800" w:type="dxa"/>
        <w:jc w:val="center"/>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881"/>
        <w:gridCol w:w="1049"/>
        <w:gridCol w:w="2846"/>
        <w:gridCol w:w="5730"/>
        <w:gridCol w:w="748"/>
        <w:gridCol w:w="1988"/>
        <w:gridCol w:w="1558"/>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544" w:hRule="atLeast"/>
          <w:jc w:val="center"/>
        </w:trPr>
        <w:tc>
          <w:tcPr>
            <w:tcW w:w="88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b/>
                <w:bCs/>
                <w:sz w:val="21"/>
                <w:szCs w:val="21"/>
              </w:rPr>
            </w:pPr>
            <w:r>
              <w:rPr>
                <w:rFonts w:hint="eastAsia" w:ascii="仿宋" w:hAnsi="仿宋" w:eastAsia="仿宋"/>
                <w:b/>
                <w:bCs/>
                <w:sz w:val="21"/>
                <w:szCs w:val="21"/>
              </w:rPr>
              <w:t>指标</w:t>
            </w:r>
          </w:p>
          <w:p>
            <w:pPr>
              <w:spacing w:line="240" w:lineRule="exact"/>
              <w:jc w:val="center"/>
              <w:rPr>
                <w:rFonts w:ascii="仿宋" w:hAnsi="仿宋" w:eastAsia="仿宋"/>
                <w:b/>
                <w:bCs/>
                <w:sz w:val="21"/>
                <w:szCs w:val="21"/>
              </w:rPr>
            </w:pPr>
            <w:r>
              <w:rPr>
                <w:rFonts w:hint="eastAsia" w:ascii="仿宋" w:hAnsi="仿宋" w:eastAsia="仿宋"/>
                <w:b/>
                <w:bCs/>
                <w:sz w:val="21"/>
                <w:szCs w:val="21"/>
              </w:rPr>
              <w:t>分类</w:t>
            </w:r>
          </w:p>
        </w:tc>
        <w:tc>
          <w:tcPr>
            <w:tcW w:w="1049" w:type="dxa"/>
            <w:tcBorders>
              <w:top w:val="single" w:color="000000" w:sz="4" w:space="0"/>
              <w:left w:val="nil"/>
              <w:bottom w:val="single" w:color="000000" w:sz="4" w:space="0"/>
              <w:right w:val="single" w:color="000000" w:sz="4" w:space="0"/>
            </w:tcBorders>
            <w:vAlign w:val="center"/>
          </w:tcPr>
          <w:p>
            <w:pPr>
              <w:spacing w:line="240" w:lineRule="exact"/>
              <w:jc w:val="center"/>
              <w:rPr>
                <w:rFonts w:ascii="仿宋" w:hAnsi="仿宋" w:eastAsia="仿宋"/>
                <w:b/>
                <w:bCs/>
                <w:sz w:val="21"/>
                <w:szCs w:val="21"/>
              </w:rPr>
            </w:pPr>
            <w:r>
              <w:rPr>
                <w:rFonts w:hint="eastAsia" w:ascii="仿宋" w:hAnsi="仿宋" w:eastAsia="仿宋"/>
                <w:b/>
                <w:bCs/>
                <w:sz w:val="21"/>
                <w:szCs w:val="21"/>
              </w:rPr>
              <w:t>指标</w:t>
            </w:r>
          </w:p>
          <w:p>
            <w:pPr>
              <w:spacing w:line="240" w:lineRule="exact"/>
              <w:jc w:val="center"/>
              <w:rPr>
                <w:rFonts w:ascii="仿宋" w:hAnsi="仿宋" w:eastAsia="仿宋"/>
                <w:b/>
                <w:bCs/>
                <w:sz w:val="21"/>
                <w:szCs w:val="21"/>
              </w:rPr>
            </w:pPr>
            <w:r>
              <w:rPr>
                <w:rFonts w:hint="eastAsia" w:ascii="仿宋" w:hAnsi="仿宋" w:eastAsia="仿宋"/>
                <w:b/>
                <w:bCs/>
                <w:sz w:val="21"/>
                <w:szCs w:val="21"/>
              </w:rPr>
              <w:t>内容</w:t>
            </w:r>
          </w:p>
        </w:tc>
        <w:tc>
          <w:tcPr>
            <w:tcW w:w="2846" w:type="dxa"/>
            <w:tcBorders>
              <w:top w:val="single" w:color="000000" w:sz="4" w:space="0"/>
              <w:left w:val="nil"/>
              <w:bottom w:val="single" w:color="000000" w:sz="4" w:space="0"/>
              <w:right w:val="single" w:color="000000" w:sz="4" w:space="0"/>
            </w:tcBorders>
            <w:vAlign w:val="center"/>
          </w:tcPr>
          <w:p>
            <w:pPr>
              <w:spacing w:line="240" w:lineRule="exact"/>
              <w:jc w:val="center"/>
              <w:rPr>
                <w:rFonts w:ascii="仿宋" w:hAnsi="仿宋" w:eastAsia="仿宋"/>
                <w:b/>
                <w:bCs/>
                <w:sz w:val="21"/>
                <w:szCs w:val="21"/>
              </w:rPr>
            </w:pPr>
            <w:r>
              <w:rPr>
                <w:rFonts w:hint="eastAsia" w:ascii="仿宋" w:hAnsi="仿宋" w:eastAsia="仿宋"/>
                <w:b/>
                <w:bCs/>
                <w:sz w:val="21"/>
                <w:szCs w:val="21"/>
              </w:rPr>
              <w:t>指标要求</w:t>
            </w:r>
          </w:p>
        </w:tc>
        <w:tc>
          <w:tcPr>
            <w:tcW w:w="5730" w:type="dxa"/>
            <w:tcBorders>
              <w:top w:val="single" w:color="000000" w:sz="4" w:space="0"/>
              <w:left w:val="nil"/>
              <w:bottom w:val="single" w:color="000000" w:sz="4" w:space="0"/>
              <w:right w:val="single" w:color="000000" w:sz="4" w:space="0"/>
            </w:tcBorders>
            <w:vAlign w:val="center"/>
          </w:tcPr>
          <w:p>
            <w:pPr>
              <w:spacing w:line="240" w:lineRule="exact"/>
              <w:jc w:val="center"/>
              <w:rPr>
                <w:rFonts w:ascii="仿宋" w:hAnsi="仿宋" w:eastAsia="仿宋"/>
                <w:b/>
                <w:bCs/>
                <w:sz w:val="21"/>
                <w:szCs w:val="21"/>
              </w:rPr>
            </w:pPr>
            <w:r>
              <w:rPr>
                <w:rFonts w:hint="eastAsia" w:ascii="仿宋" w:hAnsi="仿宋" w:eastAsia="仿宋"/>
                <w:b/>
                <w:bCs/>
                <w:sz w:val="21"/>
                <w:szCs w:val="21"/>
              </w:rPr>
              <w:t>赋分标准</w:t>
            </w:r>
          </w:p>
        </w:tc>
        <w:tc>
          <w:tcPr>
            <w:tcW w:w="748" w:type="dxa"/>
            <w:tcBorders>
              <w:top w:val="single" w:color="000000" w:sz="4" w:space="0"/>
              <w:left w:val="nil"/>
              <w:bottom w:val="single" w:color="000000" w:sz="4" w:space="0"/>
              <w:right w:val="single" w:color="000000" w:sz="4" w:space="0"/>
            </w:tcBorders>
            <w:vAlign w:val="center"/>
          </w:tcPr>
          <w:p>
            <w:pPr>
              <w:spacing w:line="240" w:lineRule="exact"/>
              <w:jc w:val="center"/>
              <w:rPr>
                <w:rFonts w:ascii="仿宋" w:hAnsi="仿宋" w:eastAsia="仿宋"/>
                <w:b/>
                <w:bCs/>
                <w:sz w:val="21"/>
                <w:szCs w:val="21"/>
              </w:rPr>
            </w:pPr>
            <w:r>
              <w:rPr>
                <w:rFonts w:hint="eastAsia" w:ascii="仿宋" w:hAnsi="仿宋" w:eastAsia="仿宋"/>
                <w:b/>
                <w:bCs/>
                <w:sz w:val="21"/>
                <w:szCs w:val="21"/>
              </w:rPr>
              <w:t>权重分值</w:t>
            </w:r>
          </w:p>
        </w:tc>
        <w:tc>
          <w:tcPr>
            <w:tcW w:w="1988" w:type="dxa"/>
            <w:tcBorders>
              <w:top w:val="single" w:color="000000" w:sz="4" w:space="0"/>
              <w:left w:val="nil"/>
              <w:bottom w:val="single" w:color="000000" w:sz="4" w:space="0"/>
              <w:right w:val="single" w:color="000000" w:sz="4" w:space="0"/>
            </w:tcBorders>
            <w:vAlign w:val="center"/>
          </w:tcPr>
          <w:p>
            <w:pPr>
              <w:spacing w:line="240" w:lineRule="exact"/>
              <w:jc w:val="center"/>
              <w:rPr>
                <w:rFonts w:ascii="仿宋" w:hAnsi="仿宋" w:eastAsia="仿宋"/>
                <w:b/>
                <w:bCs/>
                <w:sz w:val="21"/>
                <w:szCs w:val="21"/>
              </w:rPr>
            </w:pPr>
            <w:r>
              <w:rPr>
                <w:rFonts w:hint="eastAsia" w:ascii="仿宋" w:hAnsi="仿宋" w:eastAsia="仿宋"/>
                <w:b/>
                <w:bCs/>
                <w:sz w:val="21"/>
                <w:szCs w:val="21"/>
              </w:rPr>
              <w:t>评价办法</w:t>
            </w:r>
          </w:p>
        </w:tc>
        <w:tc>
          <w:tcPr>
            <w:tcW w:w="1558" w:type="dxa"/>
            <w:tcBorders>
              <w:top w:val="single" w:color="000000" w:sz="4" w:space="0"/>
              <w:left w:val="nil"/>
              <w:bottom w:val="single" w:color="000000" w:sz="4" w:space="0"/>
              <w:right w:val="single" w:color="000000" w:sz="4" w:space="0"/>
            </w:tcBorders>
            <w:vAlign w:val="center"/>
          </w:tcPr>
          <w:p>
            <w:pPr>
              <w:spacing w:line="240" w:lineRule="exact"/>
              <w:jc w:val="center"/>
              <w:rPr>
                <w:rFonts w:ascii="仿宋" w:hAnsi="仿宋" w:eastAsia="仿宋"/>
                <w:b/>
                <w:bCs/>
                <w:sz w:val="21"/>
                <w:szCs w:val="21"/>
              </w:rPr>
            </w:pPr>
            <w:r>
              <w:rPr>
                <w:rFonts w:hint="eastAsia" w:ascii="仿宋" w:hAnsi="仿宋" w:eastAsia="仿宋"/>
                <w:b/>
                <w:bCs/>
                <w:sz w:val="21"/>
                <w:szCs w:val="21"/>
              </w:rPr>
              <w:t>责任单位</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544" w:hRule="atLeast"/>
          <w:jc w:val="center"/>
        </w:trPr>
        <w:tc>
          <w:tcPr>
            <w:tcW w:w="881" w:type="dxa"/>
            <w:vMerge w:val="restart"/>
            <w:tcBorders>
              <w:top w:val="nil"/>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一、政策完善（45分）</w:t>
            </w:r>
          </w:p>
        </w:tc>
        <w:tc>
          <w:tcPr>
            <w:tcW w:w="1049" w:type="dxa"/>
            <w:vMerge w:val="restart"/>
            <w:tcBorders>
              <w:top w:val="nil"/>
              <w:left w:val="nil"/>
              <w:bottom w:val="single" w:color="000000" w:sz="4" w:space="0"/>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（一）发挥政府主导作用，建立多部门协作联动机制。（25分）</w:t>
            </w:r>
          </w:p>
        </w:tc>
        <w:tc>
          <w:tcPr>
            <w:tcW w:w="2846" w:type="dxa"/>
            <w:vMerge w:val="restart"/>
            <w:tcBorders>
              <w:top w:val="nil"/>
              <w:left w:val="nil"/>
              <w:bottom w:val="single" w:color="000000" w:sz="4" w:space="0"/>
              <w:right w:val="single" w:color="000000" w:sz="4" w:space="0"/>
            </w:tcBorders>
            <w:vAlign w:val="center"/>
          </w:tcPr>
          <w:p>
            <w:pPr>
              <w:spacing w:line="240" w:lineRule="exact"/>
              <w:rPr>
                <w:rFonts w:ascii="仿宋" w:hAnsi="仿宋" w:eastAsia="仿宋"/>
                <w:sz w:val="21"/>
                <w:szCs w:val="21"/>
              </w:rPr>
            </w:pPr>
            <w:r>
              <w:rPr>
                <w:rFonts w:hint="eastAsia" w:ascii="仿宋" w:hAnsi="仿宋" w:eastAsia="仿宋"/>
                <w:sz w:val="21"/>
                <w:szCs w:val="21"/>
              </w:rPr>
              <w:t>1.辖区政府成立创建国家级慢性病综合防控示范区工作领导组，明确部门职责，建立完善的信息反馈沟通制度。（组织保障）</w:t>
            </w:r>
          </w:p>
        </w:tc>
        <w:tc>
          <w:tcPr>
            <w:tcW w:w="5730" w:type="dxa"/>
            <w:tcBorders>
              <w:top w:val="single" w:color="000000" w:sz="4" w:space="0"/>
              <w:left w:val="nil"/>
              <w:bottom w:val="single" w:color="000000" w:sz="4" w:space="0"/>
              <w:right w:val="single" w:color="000000" w:sz="4" w:space="0"/>
            </w:tcBorders>
            <w:vAlign w:val="center"/>
          </w:tcPr>
          <w:p>
            <w:pPr>
              <w:spacing w:line="240" w:lineRule="exact"/>
              <w:rPr>
                <w:rFonts w:ascii="仿宋" w:hAnsi="仿宋" w:eastAsia="仿宋"/>
                <w:sz w:val="21"/>
                <w:szCs w:val="21"/>
              </w:rPr>
            </w:pPr>
            <w:r>
              <w:rPr>
                <w:rFonts w:hint="eastAsia" w:ascii="仿宋" w:hAnsi="仿宋" w:eastAsia="仿宋"/>
                <w:sz w:val="21"/>
                <w:szCs w:val="21"/>
              </w:rPr>
              <w:t>（1）成立辖区创建国家级慢性病综合防控示范区工作领导组，政府主要领导任组长，明确各部门职责，4分。</w:t>
            </w:r>
          </w:p>
        </w:tc>
        <w:tc>
          <w:tcPr>
            <w:tcW w:w="748" w:type="dxa"/>
            <w:vMerge w:val="restart"/>
            <w:tcBorders>
              <w:top w:val="nil"/>
              <w:left w:val="nil"/>
              <w:bottom w:val="single" w:color="000000" w:sz="4" w:space="0"/>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10</w:t>
            </w:r>
          </w:p>
        </w:tc>
        <w:tc>
          <w:tcPr>
            <w:tcW w:w="1988" w:type="dxa"/>
            <w:vMerge w:val="restart"/>
            <w:tcBorders>
              <w:top w:val="nil"/>
              <w:left w:val="nil"/>
              <w:bottom w:val="single" w:color="000000" w:sz="4" w:space="0"/>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查阅资料，现场询问。</w:t>
            </w:r>
          </w:p>
        </w:tc>
        <w:tc>
          <w:tcPr>
            <w:tcW w:w="1558" w:type="dxa"/>
            <w:vMerge w:val="restart"/>
            <w:tcBorders>
              <w:top w:val="nil"/>
              <w:left w:val="nil"/>
              <w:bottom w:val="single" w:color="000000" w:sz="4" w:space="0"/>
              <w:right w:val="single" w:color="000000" w:sz="4" w:space="0"/>
            </w:tcBorders>
            <w:vAlign w:val="center"/>
          </w:tcPr>
          <w:p>
            <w:pPr>
              <w:spacing w:line="240" w:lineRule="exact"/>
              <w:jc w:val="both"/>
              <w:rPr>
                <w:rFonts w:ascii="仿宋" w:hAnsi="仿宋" w:eastAsia="仿宋"/>
                <w:sz w:val="21"/>
                <w:szCs w:val="21"/>
              </w:rPr>
            </w:pPr>
            <w:r>
              <w:rPr>
                <w:rFonts w:hint="eastAsia" w:ascii="仿宋" w:hAnsi="仿宋" w:eastAsia="仿宋"/>
                <w:sz w:val="21"/>
                <w:szCs w:val="21"/>
              </w:rPr>
              <w:t>市政府办</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544" w:hRule="atLeast"/>
          <w:jc w:val="center"/>
        </w:trPr>
        <w:tc>
          <w:tcPr>
            <w:tcW w:w="881" w:type="dxa"/>
            <w:vMerge w:val="continue"/>
            <w:tcBorders>
              <w:top w:val="nil"/>
              <w:left w:val="single" w:color="000000" w:sz="4" w:space="0"/>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1049" w:type="dxa"/>
            <w:vMerge w:val="continue"/>
            <w:tcBorders>
              <w:top w:val="nil"/>
              <w:left w:val="nil"/>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2846" w:type="dxa"/>
            <w:vMerge w:val="continue"/>
            <w:tcBorders>
              <w:top w:val="nil"/>
              <w:left w:val="nil"/>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5730" w:type="dxa"/>
            <w:tcBorders>
              <w:top w:val="single" w:color="000000" w:sz="4" w:space="0"/>
              <w:left w:val="nil"/>
              <w:bottom w:val="single" w:color="000000" w:sz="4" w:space="0"/>
              <w:right w:val="single" w:color="000000" w:sz="4" w:space="0"/>
            </w:tcBorders>
            <w:vAlign w:val="center"/>
          </w:tcPr>
          <w:p>
            <w:pPr>
              <w:spacing w:line="240" w:lineRule="exact"/>
              <w:rPr>
                <w:rFonts w:ascii="仿宋" w:hAnsi="仿宋" w:eastAsia="仿宋"/>
                <w:sz w:val="21"/>
                <w:szCs w:val="21"/>
              </w:rPr>
            </w:pPr>
            <w:r>
              <w:rPr>
                <w:rFonts w:hint="eastAsia" w:ascii="仿宋" w:hAnsi="仿宋" w:eastAsia="仿宋"/>
                <w:sz w:val="21"/>
                <w:szCs w:val="21"/>
              </w:rPr>
              <w:t>（2）设立市创建国家级慢性病综合防控示范区工作领导组办公室，2分。</w:t>
            </w:r>
          </w:p>
        </w:tc>
        <w:tc>
          <w:tcPr>
            <w:tcW w:w="748" w:type="dxa"/>
            <w:vMerge w:val="continue"/>
            <w:tcBorders>
              <w:top w:val="nil"/>
              <w:left w:val="nil"/>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1988" w:type="dxa"/>
            <w:vMerge w:val="continue"/>
            <w:tcBorders>
              <w:top w:val="nil"/>
              <w:left w:val="nil"/>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1558" w:type="dxa"/>
            <w:vMerge w:val="continue"/>
            <w:tcBorders>
              <w:top w:val="nil"/>
              <w:left w:val="nil"/>
              <w:bottom w:val="single" w:color="000000" w:sz="4" w:space="0"/>
              <w:right w:val="single" w:color="000000" w:sz="4" w:space="0"/>
            </w:tcBorders>
            <w:vAlign w:val="center"/>
          </w:tcPr>
          <w:p>
            <w:pPr>
              <w:widowControl/>
              <w:spacing w:line="24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261" w:hRule="atLeast"/>
          <w:jc w:val="center"/>
        </w:trPr>
        <w:tc>
          <w:tcPr>
            <w:tcW w:w="881" w:type="dxa"/>
            <w:vMerge w:val="continue"/>
            <w:tcBorders>
              <w:top w:val="nil"/>
              <w:left w:val="single" w:color="000000" w:sz="4" w:space="0"/>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1049" w:type="dxa"/>
            <w:vMerge w:val="continue"/>
            <w:tcBorders>
              <w:top w:val="nil"/>
              <w:left w:val="nil"/>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2846" w:type="dxa"/>
            <w:vMerge w:val="continue"/>
            <w:tcBorders>
              <w:top w:val="nil"/>
              <w:left w:val="nil"/>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5730" w:type="dxa"/>
            <w:tcBorders>
              <w:top w:val="single" w:color="000000" w:sz="4" w:space="0"/>
              <w:left w:val="nil"/>
              <w:bottom w:val="single" w:color="000000" w:sz="4" w:space="0"/>
              <w:right w:val="single" w:color="000000" w:sz="4" w:space="0"/>
            </w:tcBorders>
            <w:vAlign w:val="center"/>
          </w:tcPr>
          <w:p>
            <w:pPr>
              <w:spacing w:line="240" w:lineRule="exact"/>
              <w:rPr>
                <w:rFonts w:ascii="仿宋" w:hAnsi="仿宋" w:eastAsia="仿宋"/>
                <w:sz w:val="21"/>
                <w:szCs w:val="21"/>
              </w:rPr>
            </w:pPr>
            <w:r>
              <w:rPr>
                <w:rFonts w:hint="eastAsia" w:ascii="仿宋" w:hAnsi="仿宋" w:eastAsia="仿宋"/>
                <w:sz w:val="21"/>
                <w:szCs w:val="21"/>
              </w:rPr>
              <w:t>（3）每年召开一次及以上领导小组工作会议，2分。</w:t>
            </w:r>
          </w:p>
        </w:tc>
        <w:tc>
          <w:tcPr>
            <w:tcW w:w="748" w:type="dxa"/>
            <w:vMerge w:val="continue"/>
            <w:tcBorders>
              <w:top w:val="nil"/>
              <w:left w:val="nil"/>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1988" w:type="dxa"/>
            <w:vMerge w:val="continue"/>
            <w:tcBorders>
              <w:top w:val="nil"/>
              <w:left w:val="nil"/>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1558" w:type="dxa"/>
            <w:vMerge w:val="continue"/>
            <w:tcBorders>
              <w:top w:val="nil"/>
              <w:left w:val="nil"/>
              <w:bottom w:val="single" w:color="000000" w:sz="4" w:space="0"/>
              <w:right w:val="single" w:color="000000" w:sz="4" w:space="0"/>
            </w:tcBorders>
            <w:vAlign w:val="center"/>
          </w:tcPr>
          <w:p>
            <w:pPr>
              <w:widowControl/>
              <w:spacing w:line="24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261" w:hRule="atLeast"/>
          <w:jc w:val="center"/>
        </w:trPr>
        <w:tc>
          <w:tcPr>
            <w:tcW w:w="881" w:type="dxa"/>
            <w:vMerge w:val="continue"/>
            <w:tcBorders>
              <w:top w:val="nil"/>
              <w:left w:val="single" w:color="000000" w:sz="4" w:space="0"/>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1049" w:type="dxa"/>
            <w:vMerge w:val="continue"/>
            <w:tcBorders>
              <w:top w:val="nil"/>
              <w:left w:val="nil"/>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2846" w:type="dxa"/>
            <w:vMerge w:val="continue"/>
            <w:tcBorders>
              <w:top w:val="nil"/>
              <w:left w:val="nil"/>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5730" w:type="dxa"/>
            <w:tcBorders>
              <w:top w:val="single" w:color="000000" w:sz="4" w:space="0"/>
              <w:left w:val="nil"/>
              <w:bottom w:val="single" w:color="000000" w:sz="4" w:space="0"/>
              <w:right w:val="single" w:color="000000" w:sz="4" w:space="0"/>
            </w:tcBorders>
            <w:vAlign w:val="center"/>
          </w:tcPr>
          <w:p>
            <w:pPr>
              <w:spacing w:line="240" w:lineRule="exact"/>
              <w:rPr>
                <w:rFonts w:ascii="仿宋" w:hAnsi="仿宋" w:eastAsia="仿宋"/>
                <w:sz w:val="21"/>
                <w:szCs w:val="21"/>
              </w:rPr>
            </w:pPr>
            <w:r>
              <w:rPr>
                <w:rFonts w:hint="eastAsia" w:ascii="仿宋" w:hAnsi="仿宋" w:eastAsia="仿宋"/>
                <w:sz w:val="21"/>
                <w:szCs w:val="21"/>
              </w:rPr>
              <w:t>（4）根据实际工作需要及时召开联络员会议，2分。</w:t>
            </w:r>
          </w:p>
        </w:tc>
        <w:tc>
          <w:tcPr>
            <w:tcW w:w="748" w:type="dxa"/>
            <w:vMerge w:val="continue"/>
            <w:tcBorders>
              <w:top w:val="nil"/>
              <w:left w:val="nil"/>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1988" w:type="dxa"/>
            <w:vMerge w:val="continue"/>
            <w:tcBorders>
              <w:top w:val="nil"/>
              <w:left w:val="nil"/>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1558" w:type="dxa"/>
            <w:vMerge w:val="continue"/>
            <w:tcBorders>
              <w:top w:val="nil"/>
              <w:left w:val="nil"/>
              <w:bottom w:val="single" w:color="000000" w:sz="4" w:space="0"/>
              <w:right w:val="single" w:color="000000" w:sz="4" w:space="0"/>
            </w:tcBorders>
            <w:vAlign w:val="center"/>
          </w:tcPr>
          <w:p>
            <w:pPr>
              <w:widowControl/>
              <w:spacing w:line="24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651" w:hRule="atLeast"/>
          <w:jc w:val="center"/>
        </w:trPr>
        <w:tc>
          <w:tcPr>
            <w:tcW w:w="881" w:type="dxa"/>
            <w:vMerge w:val="continue"/>
            <w:tcBorders>
              <w:top w:val="single" w:color="auto" w:sz="0" w:space="0"/>
              <w:left w:val="single" w:color="000000" w:sz="4" w:space="0"/>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1049" w:type="dxa"/>
            <w:vMerge w:val="continue"/>
            <w:tcBorders>
              <w:top w:val="single" w:color="auto" w:sz="0" w:space="0"/>
              <w:left w:val="single" w:color="auto" w:sz="0" w:space="0"/>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2846" w:type="dxa"/>
            <w:vMerge w:val="restart"/>
            <w:tcBorders>
              <w:top w:val="single" w:color="auto" w:sz="0" w:space="0"/>
              <w:left w:val="single" w:color="auto" w:sz="0" w:space="0"/>
              <w:bottom w:val="single" w:color="000000" w:sz="4" w:space="0"/>
              <w:right w:val="single" w:color="000000" w:sz="4" w:space="0"/>
            </w:tcBorders>
            <w:vAlign w:val="center"/>
          </w:tcPr>
          <w:p>
            <w:pPr>
              <w:spacing w:line="240" w:lineRule="exact"/>
              <w:jc w:val="both"/>
              <w:rPr>
                <w:rFonts w:ascii="仿宋" w:hAnsi="仿宋" w:eastAsia="仿宋"/>
                <w:sz w:val="21"/>
                <w:szCs w:val="21"/>
              </w:rPr>
            </w:pPr>
            <w:r>
              <w:rPr>
                <w:rFonts w:hint="eastAsia" w:ascii="仿宋" w:hAnsi="仿宋" w:eastAsia="仿宋"/>
                <w:sz w:val="21"/>
                <w:szCs w:val="21"/>
              </w:rPr>
              <w:t>2.辖</w:t>
            </w:r>
            <w:r>
              <w:rPr>
                <w:rFonts w:hint="eastAsia" w:ascii="仿宋" w:hAnsi="仿宋" w:eastAsia="仿宋"/>
                <w:spacing w:val="-6"/>
                <w:sz w:val="21"/>
                <w:szCs w:val="21"/>
              </w:rPr>
              <w:t>区政府将</w:t>
            </w:r>
            <w:r>
              <w:rPr>
                <w:rFonts w:hint="eastAsia" w:ascii="仿宋" w:hAnsi="仿宋" w:eastAsia="仿宋"/>
                <w:sz w:val="21"/>
                <w:szCs w:val="21"/>
              </w:rPr>
              <w:t>创建国家级慢性病综合防控示范区工作</w:t>
            </w:r>
            <w:r>
              <w:rPr>
                <w:rFonts w:hint="eastAsia" w:ascii="仿宋" w:hAnsi="仿宋" w:eastAsia="仿宋"/>
                <w:spacing w:val="-6"/>
                <w:sz w:val="21"/>
                <w:szCs w:val="21"/>
              </w:rPr>
              <w:t>纳入当地政府经济社会发展规划。（政府层面的政府保障</w:t>
            </w:r>
            <w:r>
              <w:rPr>
                <w:rFonts w:hint="eastAsia" w:ascii="仿宋" w:hAnsi="仿宋" w:eastAsia="仿宋"/>
                <w:sz w:val="21"/>
                <w:szCs w:val="21"/>
              </w:rPr>
              <w:t>）</w:t>
            </w:r>
          </w:p>
        </w:tc>
        <w:tc>
          <w:tcPr>
            <w:tcW w:w="5730" w:type="dxa"/>
            <w:tcBorders>
              <w:top w:val="single" w:color="000000" w:sz="4" w:space="0"/>
              <w:left w:val="single" w:color="auto" w:sz="0" w:space="0"/>
              <w:bottom w:val="single" w:color="auto" w:sz="4" w:space="0"/>
              <w:right w:val="single" w:color="000000" w:sz="4" w:space="0"/>
            </w:tcBorders>
            <w:vAlign w:val="center"/>
          </w:tcPr>
          <w:p>
            <w:pPr>
              <w:spacing w:line="240" w:lineRule="exact"/>
              <w:rPr>
                <w:rFonts w:ascii="仿宋" w:hAnsi="仿宋" w:eastAsia="仿宋"/>
                <w:sz w:val="21"/>
                <w:szCs w:val="21"/>
              </w:rPr>
            </w:pPr>
            <w:r>
              <w:rPr>
                <w:rFonts w:hint="eastAsia" w:ascii="仿宋" w:hAnsi="仿宋" w:eastAsia="仿宋"/>
                <w:sz w:val="21"/>
                <w:szCs w:val="21"/>
              </w:rPr>
              <w:t>（1）慢性病综合防控工作纳入政府社会经济发展规划，3分。</w:t>
            </w:r>
          </w:p>
        </w:tc>
        <w:tc>
          <w:tcPr>
            <w:tcW w:w="748" w:type="dxa"/>
            <w:vMerge w:val="restart"/>
            <w:tcBorders>
              <w:top w:val="single" w:color="auto" w:sz="0" w:space="0"/>
              <w:left w:val="single" w:color="auto" w:sz="0" w:space="0"/>
              <w:bottom w:val="inset" w:color="auto" w:sz="6" w:space="0"/>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5</w:t>
            </w:r>
          </w:p>
        </w:tc>
        <w:tc>
          <w:tcPr>
            <w:tcW w:w="1988" w:type="dxa"/>
            <w:vMerge w:val="restart"/>
            <w:tcBorders>
              <w:top w:val="single" w:color="auto" w:sz="0" w:space="0"/>
              <w:left w:val="single" w:color="auto" w:sz="0" w:space="0"/>
              <w:bottom w:val="inset" w:color="auto" w:sz="6" w:space="0"/>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查阅资料。</w:t>
            </w:r>
          </w:p>
        </w:tc>
        <w:tc>
          <w:tcPr>
            <w:tcW w:w="1558" w:type="dxa"/>
            <w:tcBorders>
              <w:top w:val="single" w:color="auto" w:sz="4" w:space="0"/>
              <w:left w:val="single" w:color="auto" w:sz="0" w:space="0"/>
              <w:bottom w:val="single" w:color="auto" w:sz="4" w:space="0"/>
              <w:right w:val="thinThickSmallGap" w:color="000000" w:sz="4" w:space="0"/>
            </w:tcBorders>
            <w:vAlign w:val="center"/>
          </w:tcPr>
          <w:p>
            <w:pPr>
              <w:spacing w:line="240" w:lineRule="exact"/>
              <w:jc w:val="both"/>
              <w:rPr>
                <w:rFonts w:ascii="仿宋" w:hAnsi="仿宋" w:eastAsia="仿宋"/>
                <w:sz w:val="21"/>
                <w:szCs w:val="21"/>
              </w:rPr>
            </w:pPr>
            <w:r>
              <w:rPr>
                <w:rFonts w:hint="eastAsia" w:ascii="仿宋" w:hAnsi="仿宋" w:eastAsia="仿宋"/>
                <w:sz w:val="21"/>
                <w:szCs w:val="21"/>
              </w:rPr>
              <w:t>市发改局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518" w:hRule="atLeast"/>
          <w:jc w:val="center"/>
        </w:trPr>
        <w:tc>
          <w:tcPr>
            <w:tcW w:w="881" w:type="dxa"/>
            <w:vMerge w:val="continue"/>
            <w:tcBorders>
              <w:top w:val="single" w:color="auto" w:sz="0" w:space="0"/>
              <w:left w:val="single" w:color="000000" w:sz="4" w:space="0"/>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1049" w:type="dxa"/>
            <w:vMerge w:val="continue"/>
            <w:tcBorders>
              <w:top w:val="single" w:color="auto" w:sz="0" w:space="0"/>
              <w:left w:val="single" w:color="auto" w:sz="0" w:space="0"/>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2846" w:type="dxa"/>
            <w:vMerge w:val="continue"/>
            <w:tcBorders>
              <w:top w:val="single" w:color="auto" w:sz="0" w:space="0"/>
              <w:left w:val="single" w:color="auto" w:sz="0" w:space="0"/>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5730" w:type="dxa"/>
            <w:tcBorders>
              <w:top w:val="single" w:color="auto" w:sz="4" w:space="0"/>
              <w:left w:val="single" w:color="auto" w:sz="0" w:space="0"/>
              <w:bottom w:val="single" w:color="000000" w:sz="4" w:space="0"/>
              <w:right w:val="single" w:color="000000" w:sz="4" w:space="0"/>
            </w:tcBorders>
            <w:vAlign w:val="center"/>
          </w:tcPr>
          <w:p>
            <w:pPr>
              <w:spacing w:line="240" w:lineRule="exact"/>
              <w:jc w:val="both"/>
              <w:rPr>
                <w:rFonts w:ascii="仿宋" w:hAnsi="仿宋" w:eastAsia="仿宋"/>
                <w:sz w:val="21"/>
                <w:szCs w:val="21"/>
              </w:rPr>
            </w:pPr>
            <w:r>
              <w:rPr>
                <w:rFonts w:hint="eastAsia" w:ascii="仿宋" w:hAnsi="仿宋" w:eastAsia="仿宋"/>
                <w:sz w:val="21"/>
                <w:szCs w:val="21"/>
              </w:rPr>
              <w:t>（2）政府制定创建国家级慢性病综合防控示范区工作实施方案，2分。</w:t>
            </w:r>
          </w:p>
        </w:tc>
        <w:tc>
          <w:tcPr>
            <w:tcW w:w="748" w:type="dxa"/>
            <w:vMerge w:val="continue"/>
            <w:tcBorders>
              <w:top w:val="single" w:color="auto" w:sz="0" w:space="0"/>
              <w:left w:val="single" w:color="auto" w:sz="0" w:space="0"/>
              <w:bottom w:val="inset" w:color="auto" w:sz="6" w:space="0"/>
              <w:right w:val="single" w:color="000000" w:sz="4" w:space="0"/>
            </w:tcBorders>
            <w:vAlign w:val="center"/>
          </w:tcPr>
          <w:p>
            <w:pPr>
              <w:widowControl/>
              <w:spacing w:line="240" w:lineRule="exact"/>
              <w:rPr>
                <w:rFonts w:ascii="仿宋" w:hAnsi="仿宋" w:eastAsia="仿宋"/>
                <w:sz w:val="21"/>
                <w:szCs w:val="21"/>
              </w:rPr>
            </w:pPr>
          </w:p>
        </w:tc>
        <w:tc>
          <w:tcPr>
            <w:tcW w:w="1988" w:type="dxa"/>
            <w:vMerge w:val="continue"/>
            <w:tcBorders>
              <w:top w:val="single" w:color="auto" w:sz="0" w:space="0"/>
              <w:left w:val="single" w:color="auto" w:sz="0" w:space="0"/>
              <w:bottom w:val="inset" w:color="auto" w:sz="6" w:space="0"/>
              <w:right w:val="single" w:color="000000" w:sz="4" w:space="0"/>
            </w:tcBorders>
            <w:vAlign w:val="center"/>
          </w:tcPr>
          <w:p>
            <w:pPr>
              <w:widowControl/>
              <w:spacing w:line="240" w:lineRule="exact"/>
              <w:rPr>
                <w:rFonts w:ascii="仿宋" w:hAnsi="仿宋" w:eastAsia="仿宋"/>
                <w:sz w:val="21"/>
                <w:szCs w:val="21"/>
              </w:rPr>
            </w:pPr>
          </w:p>
        </w:tc>
        <w:tc>
          <w:tcPr>
            <w:tcW w:w="1558" w:type="dxa"/>
            <w:tcBorders>
              <w:top w:val="single" w:color="auto" w:sz="4" w:space="0"/>
              <w:left w:val="single" w:color="auto" w:sz="0" w:space="0"/>
              <w:bottom w:val="single" w:color="auto" w:sz="4" w:space="0"/>
              <w:right w:val="thinThickSmallGap" w:color="000000" w:sz="4" w:space="0"/>
            </w:tcBorders>
            <w:vAlign w:val="center"/>
          </w:tcPr>
          <w:p>
            <w:pPr>
              <w:spacing w:line="240" w:lineRule="exact"/>
              <w:jc w:val="both"/>
              <w:rPr>
                <w:rFonts w:ascii="仿宋" w:hAnsi="仿宋" w:eastAsia="仿宋"/>
                <w:sz w:val="21"/>
                <w:szCs w:val="21"/>
              </w:rPr>
            </w:pPr>
            <w:r>
              <w:rPr>
                <w:rFonts w:hint="eastAsia" w:ascii="仿宋" w:hAnsi="仿宋" w:eastAsia="仿宋"/>
                <w:sz w:val="21"/>
                <w:szCs w:val="21"/>
              </w:rPr>
              <w:t>市政府办</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549" w:hRule="atLeast"/>
          <w:jc w:val="center"/>
        </w:trPr>
        <w:tc>
          <w:tcPr>
            <w:tcW w:w="881" w:type="dxa"/>
            <w:vMerge w:val="continue"/>
            <w:tcBorders>
              <w:top w:val="single" w:color="auto" w:sz="0" w:space="0"/>
              <w:left w:val="single" w:color="000000" w:sz="4" w:space="0"/>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1049" w:type="dxa"/>
            <w:vMerge w:val="continue"/>
            <w:tcBorders>
              <w:top w:val="single" w:color="auto" w:sz="0" w:space="0"/>
              <w:left w:val="single" w:color="auto" w:sz="0" w:space="0"/>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2846" w:type="dxa"/>
            <w:vMerge w:val="restart"/>
            <w:tcBorders>
              <w:top w:val="single" w:color="auto" w:sz="0" w:space="0"/>
              <w:left w:val="single" w:color="auto" w:sz="0" w:space="0"/>
              <w:bottom w:val="single" w:color="000000" w:sz="4" w:space="0"/>
              <w:right w:val="single" w:color="000000" w:sz="4" w:space="0"/>
            </w:tcBorders>
            <w:vAlign w:val="center"/>
          </w:tcPr>
          <w:p>
            <w:pPr>
              <w:spacing w:line="240" w:lineRule="exact"/>
              <w:rPr>
                <w:rFonts w:ascii="仿宋" w:hAnsi="仿宋" w:eastAsia="仿宋"/>
                <w:sz w:val="21"/>
                <w:szCs w:val="21"/>
              </w:rPr>
            </w:pPr>
            <w:r>
              <w:rPr>
                <w:rFonts w:hint="eastAsia" w:ascii="仿宋" w:hAnsi="仿宋" w:eastAsia="仿宋"/>
                <w:sz w:val="21"/>
                <w:szCs w:val="21"/>
              </w:rPr>
              <w:t>3.慢性病综合防控融入各部门政策规章制度，有烟草控制、降低有害饮酒、减盐、控油、控制体重、全民健身等慢性病危险因素干预、疾病管理相关的政策规章制度。（各部门层面的政策支持）</w:t>
            </w:r>
          </w:p>
        </w:tc>
        <w:tc>
          <w:tcPr>
            <w:tcW w:w="5730" w:type="dxa"/>
            <w:tcBorders>
              <w:top w:val="single" w:color="000000" w:sz="4" w:space="0"/>
              <w:left w:val="single" w:color="auto" w:sz="0" w:space="0"/>
              <w:bottom w:val="single" w:color="000000" w:sz="4" w:space="0"/>
              <w:right w:val="single" w:color="000000" w:sz="4" w:space="0"/>
            </w:tcBorders>
            <w:vAlign w:val="center"/>
          </w:tcPr>
          <w:p>
            <w:pPr>
              <w:spacing w:line="240" w:lineRule="exact"/>
              <w:rPr>
                <w:rFonts w:ascii="仿宋" w:hAnsi="仿宋" w:eastAsia="仿宋"/>
                <w:sz w:val="21"/>
                <w:szCs w:val="21"/>
              </w:rPr>
            </w:pPr>
            <w:r>
              <w:rPr>
                <w:rFonts w:hint="eastAsia" w:ascii="仿宋" w:hAnsi="仿宋" w:eastAsia="仿宋"/>
                <w:sz w:val="21"/>
                <w:szCs w:val="21"/>
              </w:rPr>
              <w:t>抽查5个部门制度落实相关健康政策情况。</w:t>
            </w:r>
          </w:p>
        </w:tc>
        <w:tc>
          <w:tcPr>
            <w:tcW w:w="748" w:type="dxa"/>
            <w:vMerge w:val="restart"/>
            <w:tcBorders>
              <w:top w:val="single" w:color="auto" w:sz="0" w:space="0"/>
              <w:left w:val="single" w:color="auto" w:sz="0" w:space="0"/>
              <w:bottom w:val="single" w:color="000000" w:sz="4" w:space="0"/>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5</w:t>
            </w:r>
          </w:p>
        </w:tc>
        <w:tc>
          <w:tcPr>
            <w:tcW w:w="1988" w:type="dxa"/>
            <w:vMerge w:val="restart"/>
            <w:tcBorders>
              <w:top w:val="single" w:color="auto" w:sz="0" w:space="0"/>
              <w:left w:val="single" w:color="auto" w:sz="0" w:space="0"/>
              <w:bottom w:val="single" w:color="000000" w:sz="4" w:space="0"/>
              <w:right w:val="single" w:color="000000" w:sz="4" w:space="0"/>
            </w:tcBorders>
            <w:vAlign w:val="center"/>
          </w:tcPr>
          <w:p>
            <w:pPr>
              <w:spacing w:line="240" w:lineRule="exact"/>
              <w:rPr>
                <w:rFonts w:ascii="仿宋" w:hAnsi="仿宋" w:eastAsia="仿宋"/>
                <w:sz w:val="21"/>
                <w:szCs w:val="21"/>
              </w:rPr>
            </w:pPr>
            <w:r>
              <w:rPr>
                <w:rFonts w:hint="eastAsia" w:ascii="仿宋" w:hAnsi="仿宋" w:eastAsia="仿宋"/>
                <w:sz w:val="21"/>
                <w:szCs w:val="21"/>
              </w:rPr>
              <w:t>随机抽查5个部门年度工作计划体现制度落实相关健康政策情况（总结）；抽查2个部门员工，简单问询对本部门该政策的知晓与落实情况。</w:t>
            </w:r>
          </w:p>
        </w:tc>
        <w:tc>
          <w:tcPr>
            <w:tcW w:w="1558" w:type="dxa"/>
            <w:vMerge w:val="restart"/>
            <w:tcBorders>
              <w:top w:val="single" w:color="auto" w:sz="0" w:space="0"/>
              <w:left w:val="single" w:color="auto" w:sz="0" w:space="0"/>
              <w:bottom w:val="inset" w:color="auto" w:sz="6" w:space="0"/>
              <w:right w:val="single" w:color="000000" w:sz="4" w:space="0"/>
            </w:tcBorders>
            <w:vAlign w:val="center"/>
          </w:tcPr>
          <w:p>
            <w:pPr>
              <w:spacing w:line="240" w:lineRule="exact"/>
              <w:jc w:val="both"/>
              <w:rPr>
                <w:rFonts w:ascii="仿宋" w:hAnsi="仿宋" w:eastAsia="仿宋"/>
                <w:sz w:val="21"/>
                <w:szCs w:val="21"/>
              </w:rPr>
            </w:pPr>
            <w:r>
              <w:rPr>
                <w:rFonts w:hint="eastAsia" w:ascii="仿宋" w:hAnsi="仿宋" w:eastAsia="仿宋"/>
                <w:sz w:val="21"/>
                <w:szCs w:val="21"/>
              </w:rPr>
              <w:t>各成员单位</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549" w:hRule="atLeast"/>
          <w:jc w:val="center"/>
        </w:trPr>
        <w:tc>
          <w:tcPr>
            <w:tcW w:w="881" w:type="dxa"/>
            <w:vMerge w:val="continue"/>
            <w:tcBorders>
              <w:top w:val="single" w:color="auto" w:sz="0" w:space="0"/>
              <w:left w:val="single" w:color="000000" w:sz="4" w:space="0"/>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1049" w:type="dxa"/>
            <w:vMerge w:val="continue"/>
            <w:tcBorders>
              <w:top w:val="single" w:color="auto" w:sz="0" w:space="0"/>
              <w:left w:val="single" w:color="auto" w:sz="0" w:space="0"/>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2846" w:type="dxa"/>
            <w:vMerge w:val="continue"/>
            <w:tcBorders>
              <w:top w:val="single" w:color="auto" w:sz="0" w:space="0"/>
              <w:left w:val="single" w:color="auto" w:sz="0" w:space="0"/>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5730" w:type="dxa"/>
            <w:tcBorders>
              <w:top w:val="single" w:color="000000" w:sz="4" w:space="0"/>
              <w:left w:val="single" w:color="auto" w:sz="0" w:space="0"/>
              <w:bottom w:val="single" w:color="000000" w:sz="4" w:space="0"/>
              <w:right w:val="single" w:color="000000" w:sz="4" w:space="0"/>
            </w:tcBorders>
            <w:vAlign w:val="center"/>
          </w:tcPr>
          <w:p>
            <w:pPr>
              <w:spacing w:line="240" w:lineRule="exact"/>
              <w:rPr>
                <w:rFonts w:ascii="仿宋" w:hAnsi="仿宋" w:eastAsia="仿宋"/>
                <w:sz w:val="21"/>
                <w:szCs w:val="21"/>
              </w:rPr>
            </w:pPr>
            <w:r>
              <w:rPr>
                <w:rFonts w:hint="eastAsia" w:ascii="仿宋" w:hAnsi="仿宋" w:eastAsia="仿宋"/>
                <w:sz w:val="21"/>
                <w:szCs w:val="21"/>
              </w:rPr>
              <w:t>（1）凡制定并落实，每个部门得1分，满分5分。</w:t>
            </w:r>
          </w:p>
        </w:tc>
        <w:tc>
          <w:tcPr>
            <w:tcW w:w="748" w:type="dxa"/>
            <w:vMerge w:val="continue"/>
            <w:tcBorders>
              <w:top w:val="single" w:color="auto" w:sz="0" w:space="0"/>
              <w:left w:val="single" w:color="auto" w:sz="0" w:space="0"/>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1988" w:type="dxa"/>
            <w:vMerge w:val="continue"/>
            <w:tcBorders>
              <w:top w:val="single" w:color="auto" w:sz="0" w:space="0"/>
              <w:left w:val="single" w:color="auto" w:sz="0" w:space="0"/>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1558" w:type="dxa"/>
            <w:vMerge w:val="continue"/>
            <w:tcBorders>
              <w:top w:val="single" w:color="auto" w:sz="0" w:space="0"/>
              <w:left w:val="single" w:color="auto" w:sz="0" w:space="0"/>
              <w:bottom w:val="inset" w:color="auto" w:sz="6" w:space="0"/>
              <w:right w:val="single" w:color="000000" w:sz="4" w:space="0"/>
            </w:tcBorders>
            <w:vAlign w:val="center"/>
          </w:tcPr>
          <w:p>
            <w:pPr>
              <w:widowControl/>
              <w:spacing w:line="24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101" w:hRule="atLeast"/>
          <w:jc w:val="center"/>
        </w:trPr>
        <w:tc>
          <w:tcPr>
            <w:tcW w:w="881" w:type="dxa"/>
            <w:vMerge w:val="continue"/>
            <w:tcBorders>
              <w:top w:val="single" w:color="auto" w:sz="0" w:space="0"/>
              <w:left w:val="single" w:color="000000" w:sz="4" w:space="0"/>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1049" w:type="dxa"/>
            <w:vMerge w:val="continue"/>
            <w:tcBorders>
              <w:top w:val="single" w:color="auto" w:sz="0" w:space="0"/>
              <w:left w:val="single" w:color="auto" w:sz="0" w:space="0"/>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2846" w:type="dxa"/>
            <w:vMerge w:val="continue"/>
            <w:tcBorders>
              <w:top w:val="single" w:color="auto" w:sz="0" w:space="0"/>
              <w:left w:val="single" w:color="auto" w:sz="0" w:space="0"/>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5730" w:type="dxa"/>
            <w:tcBorders>
              <w:top w:val="single" w:color="000000" w:sz="4" w:space="0"/>
              <w:left w:val="single" w:color="auto" w:sz="0" w:space="0"/>
              <w:bottom w:val="single" w:color="000000" w:sz="4" w:space="0"/>
              <w:right w:val="single" w:color="000000" w:sz="4" w:space="0"/>
            </w:tcBorders>
            <w:vAlign w:val="center"/>
          </w:tcPr>
          <w:p>
            <w:pPr>
              <w:spacing w:line="240" w:lineRule="exact"/>
              <w:rPr>
                <w:rFonts w:ascii="仿宋" w:hAnsi="仿宋" w:eastAsia="仿宋"/>
                <w:sz w:val="21"/>
                <w:szCs w:val="21"/>
              </w:rPr>
            </w:pPr>
            <w:r>
              <w:rPr>
                <w:rFonts w:hint="eastAsia" w:ascii="仿宋" w:hAnsi="仿宋" w:eastAsia="仿宋"/>
                <w:sz w:val="21"/>
                <w:szCs w:val="21"/>
              </w:rPr>
              <w:t>（2）制定但没有落实，每个部门得0.5分。</w:t>
            </w:r>
          </w:p>
        </w:tc>
        <w:tc>
          <w:tcPr>
            <w:tcW w:w="748" w:type="dxa"/>
            <w:vMerge w:val="continue"/>
            <w:tcBorders>
              <w:top w:val="single" w:color="auto" w:sz="0" w:space="0"/>
              <w:left w:val="single" w:color="auto" w:sz="0" w:space="0"/>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1988" w:type="dxa"/>
            <w:vMerge w:val="continue"/>
            <w:tcBorders>
              <w:top w:val="single" w:color="auto" w:sz="0" w:space="0"/>
              <w:left w:val="single" w:color="auto" w:sz="0" w:space="0"/>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1558" w:type="dxa"/>
            <w:vMerge w:val="continue"/>
            <w:tcBorders>
              <w:top w:val="single" w:color="auto" w:sz="0" w:space="0"/>
              <w:left w:val="single" w:color="auto" w:sz="0" w:space="0"/>
              <w:bottom w:val="inset" w:color="auto" w:sz="6" w:space="0"/>
              <w:right w:val="single" w:color="000000" w:sz="4" w:space="0"/>
            </w:tcBorders>
            <w:vAlign w:val="center"/>
          </w:tcPr>
          <w:p>
            <w:pPr>
              <w:widowControl/>
              <w:spacing w:line="24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195" w:hRule="atLeast"/>
          <w:jc w:val="center"/>
        </w:trPr>
        <w:tc>
          <w:tcPr>
            <w:tcW w:w="881" w:type="dxa"/>
            <w:vMerge w:val="continue"/>
            <w:tcBorders>
              <w:top w:val="nil"/>
              <w:left w:val="single" w:color="000000" w:sz="4" w:space="0"/>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1049" w:type="dxa"/>
            <w:vMerge w:val="continue"/>
            <w:tcBorders>
              <w:top w:val="nil"/>
              <w:left w:val="nil"/>
              <w:bottom w:val="single" w:color="000000" w:sz="4" w:space="0"/>
              <w:right w:val="single" w:color="000000" w:sz="4" w:space="0"/>
            </w:tcBorders>
            <w:vAlign w:val="center"/>
          </w:tcPr>
          <w:p>
            <w:pPr>
              <w:widowControl/>
              <w:spacing w:line="240" w:lineRule="exact"/>
              <w:rPr>
                <w:rFonts w:ascii="仿宋" w:hAnsi="仿宋" w:eastAsia="仿宋"/>
                <w:sz w:val="21"/>
                <w:szCs w:val="21"/>
              </w:rPr>
            </w:pPr>
          </w:p>
        </w:tc>
        <w:tc>
          <w:tcPr>
            <w:tcW w:w="2846" w:type="dxa"/>
            <w:tcBorders>
              <w:top w:val="single" w:color="000000" w:sz="4" w:space="0"/>
              <w:left w:val="nil"/>
              <w:bottom w:val="single" w:color="000000" w:sz="4" w:space="0"/>
              <w:right w:val="single" w:color="000000" w:sz="4" w:space="0"/>
            </w:tcBorders>
            <w:vAlign w:val="center"/>
          </w:tcPr>
          <w:p>
            <w:pPr>
              <w:spacing w:line="240" w:lineRule="exact"/>
              <w:rPr>
                <w:rFonts w:ascii="仿宋" w:hAnsi="仿宋" w:eastAsia="仿宋"/>
                <w:sz w:val="21"/>
                <w:szCs w:val="21"/>
              </w:rPr>
            </w:pPr>
            <w:r>
              <w:rPr>
                <w:rFonts w:hint="eastAsia" w:ascii="仿宋" w:hAnsi="仿宋" w:eastAsia="仿宋"/>
                <w:sz w:val="21"/>
                <w:szCs w:val="21"/>
              </w:rPr>
              <w:t>4.创建国家级慢性病综合防控示范区工作领导组建立工作监督制度，开展示范区建设的多部门联合督导。（督导机制）</w:t>
            </w:r>
          </w:p>
        </w:tc>
        <w:tc>
          <w:tcPr>
            <w:tcW w:w="5730" w:type="dxa"/>
            <w:tcBorders>
              <w:top w:val="single" w:color="000000" w:sz="4" w:space="0"/>
              <w:left w:val="nil"/>
              <w:bottom w:val="single" w:color="000000" w:sz="4" w:space="0"/>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（1）每年组织2次由5个及以上部门参与的联合督导，每次得1分；低于5个部门参与得0.5分。</w:t>
            </w:r>
          </w:p>
        </w:tc>
        <w:tc>
          <w:tcPr>
            <w:tcW w:w="748" w:type="dxa"/>
            <w:tcBorders>
              <w:top w:val="single" w:color="000000" w:sz="4" w:space="0"/>
              <w:left w:val="nil"/>
              <w:bottom w:val="single" w:color="000000" w:sz="4" w:space="0"/>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5</w:t>
            </w:r>
          </w:p>
        </w:tc>
        <w:tc>
          <w:tcPr>
            <w:tcW w:w="1988" w:type="dxa"/>
            <w:tcBorders>
              <w:top w:val="single" w:color="auto" w:sz="4" w:space="0"/>
              <w:left w:val="nil"/>
              <w:bottom w:val="single" w:color="000000" w:sz="4" w:space="0"/>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查阅资料。</w:t>
            </w:r>
          </w:p>
        </w:tc>
        <w:tc>
          <w:tcPr>
            <w:tcW w:w="1558" w:type="dxa"/>
            <w:tcBorders>
              <w:top w:val="single" w:color="auto" w:sz="4" w:space="0"/>
              <w:left w:val="nil"/>
              <w:bottom w:val="single" w:color="auto" w:sz="4" w:space="0"/>
              <w:right w:val="single" w:color="000000" w:sz="4" w:space="0"/>
            </w:tcBorders>
            <w:vAlign w:val="center"/>
          </w:tcPr>
          <w:p>
            <w:pPr>
              <w:spacing w:line="240" w:lineRule="exact"/>
              <w:jc w:val="both"/>
              <w:rPr>
                <w:rFonts w:ascii="仿宋" w:hAnsi="仿宋" w:eastAsia="仿宋"/>
                <w:sz w:val="21"/>
                <w:szCs w:val="21"/>
              </w:rPr>
            </w:pPr>
            <w:r>
              <w:rPr>
                <w:rFonts w:hint="eastAsia" w:ascii="仿宋" w:hAnsi="仿宋" w:eastAsia="仿宋"/>
                <w:sz w:val="21"/>
                <w:szCs w:val="21"/>
              </w:rPr>
              <w:t>市政府办、示范区领导组办公室</w:t>
            </w:r>
          </w:p>
        </w:tc>
      </w:tr>
    </w:tbl>
    <w:p>
      <w:pPr>
        <w:sectPr>
          <w:pgSz w:w="16838" w:h="11906" w:orient="landscape"/>
          <w:pgMar w:top="1800" w:right="1440" w:bottom="1800" w:left="1440" w:header="851" w:footer="992" w:gutter="0"/>
          <w:cols w:space="425" w:num="1"/>
          <w:docGrid w:type="lines" w:linePitch="312" w:charSpace="0"/>
        </w:sectPr>
      </w:pPr>
    </w:p>
    <w:tbl>
      <w:tblPr>
        <w:tblStyle w:val="6"/>
        <w:tblW w:w="15363" w:type="dxa"/>
        <w:jc w:val="center"/>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914"/>
        <w:gridCol w:w="1088"/>
        <w:gridCol w:w="2955"/>
        <w:gridCol w:w="5948"/>
        <w:gridCol w:w="776"/>
        <w:gridCol w:w="2064"/>
        <w:gridCol w:w="1618"/>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583"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b/>
                <w:bCs/>
                <w:sz w:val="21"/>
                <w:szCs w:val="21"/>
              </w:rPr>
            </w:pPr>
            <w:r>
              <w:rPr>
                <w:rFonts w:hint="eastAsia" w:ascii="仿宋" w:hAnsi="仿宋" w:eastAsia="仿宋"/>
                <w:b/>
                <w:bCs/>
                <w:sz w:val="21"/>
                <w:szCs w:val="21"/>
              </w:rPr>
              <w:t>指标</w:t>
            </w:r>
          </w:p>
          <w:p>
            <w:pPr>
              <w:spacing w:line="240" w:lineRule="exact"/>
              <w:jc w:val="center"/>
              <w:rPr>
                <w:rFonts w:ascii="仿宋" w:hAnsi="仿宋" w:eastAsia="仿宋"/>
                <w:b/>
                <w:bCs/>
                <w:sz w:val="21"/>
                <w:szCs w:val="21"/>
              </w:rPr>
            </w:pPr>
            <w:r>
              <w:rPr>
                <w:rFonts w:hint="eastAsia" w:ascii="仿宋" w:hAnsi="仿宋" w:eastAsia="仿宋"/>
                <w:b/>
                <w:bCs/>
                <w:sz w:val="21"/>
                <w:szCs w:val="21"/>
              </w:rPr>
              <w:t>分类</w:t>
            </w:r>
          </w:p>
        </w:tc>
        <w:tc>
          <w:tcPr>
            <w:tcW w:w="1088" w:type="dxa"/>
            <w:tcBorders>
              <w:top w:val="single" w:color="000000" w:sz="4" w:space="0"/>
              <w:left w:val="nil"/>
              <w:bottom w:val="single" w:color="000000" w:sz="4" w:space="0"/>
              <w:right w:val="single" w:color="000000" w:sz="4" w:space="0"/>
            </w:tcBorders>
            <w:vAlign w:val="center"/>
          </w:tcPr>
          <w:p>
            <w:pPr>
              <w:spacing w:line="240" w:lineRule="exact"/>
              <w:jc w:val="center"/>
              <w:rPr>
                <w:rFonts w:ascii="仿宋" w:hAnsi="仿宋" w:eastAsia="仿宋"/>
                <w:b/>
                <w:bCs/>
                <w:sz w:val="21"/>
                <w:szCs w:val="21"/>
              </w:rPr>
            </w:pPr>
            <w:r>
              <w:rPr>
                <w:rFonts w:hint="eastAsia" w:ascii="仿宋" w:hAnsi="仿宋" w:eastAsia="仿宋"/>
                <w:b/>
                <w:bCs/>
                <w:sz w:val="21"/>
                <w:szCs w:val="21"/>
              </w:rPr>
              <w:t>指标</w:t>
            </w:r>
          </w:p>
          <w:p>
            <w:pPr>
              <w:spacing w:line="240" w:lineRule="exact"/>
              <w:jc w:val="center"/>
              <w:rPr>
                <w:rFonts w:ascii="仿宋" w:hAnsi="仿宋" w:eastAsia="仿宋"/>
                <w:b/>
                <w:bCs/>
                <w:sz w:val="21"/>
                <w:szCs w:val="21"/>
              </w:rPr>
            </w:pPr>
            <w:r>
              <w:rPr>
                <w:rFonts w:hint="eastAsia" w:ascii="仿宋" w:hAnsi="仿宋" w:eastAsia="仿宋"/>
                <w:b/>
                <w:bCs/>
                <w:sz w:val="21"/>
                <w:szCs w:val="21"/>
              </w:rPr>
              <w:t>内容</w:t>
            </w:r>
          </w:p>
        </w:tc>
        <w:tc>
          <w:tcPr>
            <w:tcW w:w="2955" w:type="dxa"/>
            <w:tcBorders>
              <w:top w:val="single" w:color="000000" w:sz="4" w:space="0"/>
              <w:left w:val="nil"/>
              <w:bottom w:val="single" w:color="000000" w:sz="4" w:space="0"/>
              <w:right w:val="single" w:color="000000" w:sz="4" w:space="0"/>
            </w:tcBorders>
            <w:vAlign w:val="center"/>
          </w:tcPr>
          <w:p>
            <w:pPr>
              <w:spacing w:line="240" w:lineRule="exact"/>
              <w:jc w:val="center"/>
              <w:rPr>
                <w:rFonts w:ascii="仿宋" w:hAnsi="仿宋" w:eastAsia="仿宋"/>
                <w:b/>
                <w:bCs/>
                <w:sz w:val="21"/>
                <w:szCs w:val="21"/>
              </w:rPr>
            </w:pPr>
            <w:r>
              <w:rPr>
                <w:rFonts w:hint="eastAsia" w:ascii="仿宋" w:hAnsi="仿宋" w:eastAsia="仿宋"/>
                <w:b/>
                <w:bCs/>
                <w:sz w:val="21"/>
                <w:szCs w:val="21"/>
              </w:rPr>
              <w:t>指标要求</w:t>
            </w:r>
          </w:p>
        </w:tc>
        <w:tc>
          <w:tcPr>
            <w:tcW w:w="5948" w:type="dxa"/>
            <w:tcBorders>
              <w:top w:val="single" w:color="000000" w:sz="4" w:space="0"/>
              <w:left w:val="nil"/>
              <w:bottom w:val="single" w:color="000000" w:sz="4" w:space="0"/>
              <w:right w:val="single" w:color="000000" w:sz="4" w:space="0"/>
            </w:tcBorders>
            <w:vAlign w:val="center"/>
          </w:tcPr>
          <w:p>
            <w:pPr>
              <w:spacing w:line="240" w:lineRule="exact"/>
              <w:jc w:val="center"/>
              <w:rPr>
                <w:rFonts w:ascii="仿宋" w:hAnsi="仿宋" w:eastAsia="仿宋"/>
                <w:b/>
                <w:bCs/>
                <w:sz w:val="21"/>
                <w:szCs w:val="21"/>
              </w:rPr>
            </w:pPr>
            <w:r>
              <w:rPr>
                <w:rFonts w:hint="eastAsia" w:ascii="仿宋" w:hAnsi="仿宋" w:eastAsia="仿宋"/>
                <w:b/>
                <w:bCs/>
                <w:sz w:val="21"/>
                <w:szCs w:val="21"/>
              </w:rPr>
              <w:t>赋分标准</w:t>
            </w: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center"/>
              <w:rPr>
                <w:rFonts w:ascii="仿宋" w:hAnsi="仿宋" w:eastAsia="仿宋"/>
                <w:b/>
                <w:bCs/>
                <w:sz w:val="21"/>
                <w:szCs w:val="21"/>
              </w:rPr>
            </w:pPr>
            <w:r>
              <w:rPr>
                <w:rFonts w:hint="eastAsia" w:ascii="仿宋" w:hAnsi="仿宋" w:eastAsia="仿宋"/>
                <w:b/>
                <w:bCs/>
                <w:sz w:val="21"/>
                <w:szCs w:val="21"/>
              </w:rPr>
              <w:t>权重分值</w:t>
            </w:r>
          </w:p>
        </w:tc>
        <w:tc>
          <w:tcPr>
            <w:tcW w:w="2064" w:type="dxa"/>
            <w:tcBorders>
              <w:top w:val="single" w:color="000000" w:sz="4" w:space="0"/>
              <w:left w:val="nil"/>
              <w:bottom w:val="single" w:color="000000" w:sz="4" w:space="0"/>
              <w:right w:val="single" w:color="000000" w:sz="4" w:space="0"/>
            </w:tcBorders>
            <w:vAlign w:val="center"/>
          </w:tcPr>
          <w:p>
            <w:pPr>
              <w:spacing w:line="240" w:lineRule="exact"/>
              <w:jc w:val="center"/>
              <w:rPr>
                <w:rFonts w:ascii="仿宋" w:hAnsi="仿宋" w:eastAsia="仿宋"/>
                <w:b/>
                <w:bCs/>
                <w:sz w:val="21"/>
                <w:szCs w:val="21"/>
              </w:rPr>
            </w:pPr>
            <w:r>
              <w:rPr>
                <w:rFonts w:hint="eastAsia" w:ascii="仿宋" w:hAnsi="仿宋" w:eastAsia="仿宋"/>
                <w:b/>
                <w:bCs/>
                <w:sz w:val="21"/>
                <w:szCs w:val="21"/>
              </w:rPr>
              <w:t>评价办法</w:t>
            </w:r>
          </w:p>
        </w:tc>
        <w:tc>
          <w:tcPr>
            <w:tcW w:w="1618" w:type="dxa"/>
            <w:tcBorders>
              <w:top w:val="single" w:color="auto" w:sz="4" w:space="0"/>
              <w:left w:val="nil"/>
              <w:bottom w:val="single" w:color="000000" w:sz="4" w:space="0"/>
              <w:right w:val="single" w:color="000000" w:sz="4" w:space="0"/>
            </w:tcBorders>
            <w:vAlign w:val="center"/>
          </w:tcPr>
          <w:p>
            <w:pPr>
              <w:spacing w:line="240" w:lineRule="exact"/>
              <w:jc w:val="center"/>
              <w:rPr>
                <w:rFonts w:ascii="仿宋" w:hAnsi="仿宋" w:eastAsia="仿宋"/>
                <w:b/>
                <w:bCs/>
                <w:sz w:val="21"/>
                <w:szCs w:val="21"/>
              </w:rPr>
            </w:pPr>
            <w:r>
              <w:rPr>
                <w:rFonts w:hint="eastAsia" w:ascii="仿宋" w:hAnsi="仿宋" w:eastAsia="仿宋"/>
                <w:b/>
                <w:bCs/>
                <w:sz w:val="21"/>
                <w:szCs w:val="21"/>
              </w:rPr>
              <w:t>责任单位</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2022" w:hRule="atLeast"/>
          <w:jc w:val="center"/>
        </w:trPr>
        <w:tc>
          <w:tcPr>
            <w:tcW w:w="914" w:type="dxa"/>
            <w:vMerge w:val="restart"/>
            <w:tcBorders>
              <w:top w:val="single" w:color="000000" w:sz="4" w:space="0"/>
              <w:left w:val="single" w:color="000000" w:sz="4" w:space="0"/>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一、政策完善（45分）</w:t>
            </w:r>
          </w:p>
        </w:tc>
        <w:tc>
          <w:tcPr>
            <w:tcW w:w="1088" w:type="dxa"/>
            <w:tcBorders>
              <w:top w:val="single" w:color="000000" w:sz="4" w:space="0"/>
              <w:left w:val="nil"/>
              <w:bottom w:val="single" w:color="000000" w:sz="4" w:space="0"/>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（一）发挥政府主导作用，建立多部门协作联动机制。（25分）</w:t>
            </w:r>
          </w:p>
        </w:tc>
        <w:tc>
          <w:tcPr>
            <w:tcW w:w="2955" w:type="dxa"/>
            <w:tcBorders>
              <w:top w:val="single" w:color="000000" w:sz="4" w:space="0"/>
              <w:left w:val="nil"/>
              <w:bottom w:val="single" w:color="000000" w:sz="4" w:space="0"/>
              <w:right w:val="single" w:color="000000" w:sz="4" w:space="0"/>
            </w:tcBorders>
            <w:vAlign w:val="center"/>
          </w:tcPr>
          <w:p>
            <w:pPr>
              <w:spacing w:line="240" w:lineRule="exact"/>
              <w:jc w:val="both"/>
              <w:rPr>
                <w:rFonts w:ascii="仿宋" w:hAnsi="仿宋" w:eastAsia="仿宋"/>
                <w:sz w:val="21"/>
                <w:szCs w:val="21"/>
              </w:rPr>
            </w:pPr>
            <w:r>
              <w:rPr>
                <w:rFonts w:hint="eastAsia" w:ascii="仿宋" w:hAnsi="仿宋" w:eastAsia="仿宋"/>
                <w:sz w:val="21"/>
                <w:szCs w:val="21"/>
              </w:rPr>
              <w:t>4.创建国家级慢性病综合防控示范区工作领导组建立工作监督制度，开展创建国家级慢性病综合防控示范区工作的多部门联合督导。（督导机制）</w:t>
            </w:r>
          </w:p>
        </w:tc>
        <w:tc>
          <w:tcPr>
            <w:tcW w:w="5948" w:type="dxa"/>
            <w:tcBorders>
              <w:top w:val="single" w:color="000000" w:sz="4" w:space="0"/>
              <w:left w:val="nil"/>
              <w:bottom w:val="single" w:color="000000" w:sz="4" w:space="0"/>
              <w:right w:val="single" w:color="000000" w:sz="4" w:space="0"/>
            </w:tcBorders>
            <w:vAlign w:val="center"/>
          </w:tcPr>
          <w:p>
            <w:pPr>
              <w:spacing w:line="240" w:lineRule="exact"/>
              <w:jc w:val="both"/>
              <w:rPr>
                <w:rFonts w:ascii="仿宋" w:hAnsi="仿宋" w:eastAsia="仿宋"/>
                <w:sz w:val="21"/>
                <w:szCs w:val="21"/>
              </w:rPr>
            </w:pPr>
            <w:r>
              <w:rPr>
                <w:rFonts w:hint="eastAsia" w:ascii="仿宋" w:hAnsi="仿宋" w:eastAsia="仿宋"/>
                <w:sz w:val="21"/>
                <w:szCs w:val="21"/>
              </w:rPr>
              <w:t>（2）联合督导内容主要包括部门合作建立的信息沟通共享、激励问责、质量控制等3个基本运行机制情况，每个机制分值为1分。</w:t>
            </w: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center"/>
              <w:rPr>
                <w:rFonts w:ascii="仿宋" w:hAnsi="仿宋" w:eastAsia="仿宋"/>
                <w:sz w:val="21"/>
                <w:szCs w:val="21"/>
              </w:rPr>
            </w:pPr>
          </w:p>
          <w:p>
            <w:pPr>
              <w:spacing w:line="240" w:lineRule="exact"/>
              <w:jc w:val="center"/>
              <w:rPr>
                <w:rFonts w:hint="eastAsia" w:ascii="仿宋" w:hAnsi="仿宋" w:eastAsia="仿宋"/>
                <w:sz w:val="21"/>
                <w:szCs w:val="21"/>
              </w:rPr>
            </w:pPr>
          </w:p>
          <w:p>
            <w:pPr>
              <w:spacing w:line="240" w:lineRule="exact"/>
              <w:jc w:val="center"/>
              <w:rPr>
                <w:rFonts w:hint="eastAsia" w:ascii="仿宋" w:hAnsi="仿宋" w:eastAsia="仿宋"/>
                <w:sz w:val="21"/>
                <w:szCs w:val="21"/>
              </w:rPr>
            </w:pPr>
          </w:p>
          <w:p>
            <w:pPr>
              <w:spacing w:line="240" w:lineRule="exact"/>
              <w:jc w:val="center"/>
              <w:rPr>
                <w:rFonts w:ascii="仿宋" w:hAnsi="仿宋" w:eastAsia="仿宋"/>
                <w:sz w:val="21"/>
                <w:szCs w:val="21"/>
              </w:rPr>
            </w:pPr>
            <w:r>
              <w:rPr>
                <w:rFonts w:hint="eastAsia" w:ascii="仿宋" w:hAnsi="仿宋" w:eastAsia="仿宋"/>
                <w:sz w:val="21"/>
                <w:szCs w:val="21"/>
              </w:rPr>
              <w:t>5</w:t>
            </w:r>
          </w:p>
        </w:tc>
        <w:tc>
          <w:tcPr>
            <w:tcW w:w="2064" w:type="dxa"/>
            <w:tcBorders>
              <w:top w:val="single" w:color="000000" w:sz="4" w:space="0"/>
              <w:left w:val="nil"/>
              <w:bottom w:val="single" w:color="000000" w:sz="4" w:space="0"/>
              <w:right w:val="single" w:color="000000" w:sz="4" w:space="0"/>
            </w:tcBorders>
            <w:vAlign w:val="center"/>
          </w:tcPr>
          <w:p>
            <w:pPr>
              <w:spacing w:line="240" w:lineRule="exact"/>
              <w:jc w:val="center"/>
              <w:rPr>
                <w:rFonts w:ascii="仿宋" w:hAnsi="仿宋" w:eastAsia="仿宋"/>
                <w:sz w:val="21"/>
                <w:szCs w:val="21"/>
              </w:rPr>
            </w:pPr>
          </w:p>
          <w:p>
            <w:pPr>
              <w:spacing w:line="240" w:lineRule="exact"/>
              <w:jc w:val="center"/>
              <w:rPr>
                <w:rFonts w:ascii="仿宋" w:hAnsi="仿宋" w:eastAsia="仿宋"/>
                <w:sz w:val="21"/>
                <w:szCs w:val="21"/>
              </w:rPr>
            </w:pPr>
            <w:r>
              <w:rPr>
                <w:rFonts w:hint="eastAsia" w:ascii="仿宋" w:hAnsi="仿宋" w:eastAsia="仿宋"/>
                <w:sz w:val="21"/>
                <w:szCs w:val="21"/>
              </w:rPr>
              <w:t>随机抽取1-2个参与合作部门的职能科室负责人，询问3项基本机制的落实情况。</w:t>
            </w:r>
          </w:p>
        </w:tc>
        <w:tc>
          <w:tcPr>
            <w:tcW w:w="1618" w:type="dxa"/>
            <w:tcBorders>
              <w:top w:val="single" w:color="000000" w:sz="4" w:space="0"/>
              <w:left w:val="nil"/>
              <w:bottom w:val="single" w:color="000000" w:sz="4" w:space="0"/>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市政府办</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495" w:hRule="atLeast"/>
          <w:jc w:val="center"/>
        </w:trPr>
        <w:tc>
          <w:tcPr>
            <w:tcW w:w="914" w:type="dxa"/>
            <w:vMerge w:val="continue"/>
            <w:tcBorders>
              <w:left w:val="single" w:color="000000" w:sz="4" w:space="0"/>
              <w:right w:val="single" w:color="000000" w:sz="4" w:space="0"/>
            </w:tcBorders>
            <w:vAlign w:val="center"/>
          </w:tcPr>
          <w:p>
            <w:pPr>
              <w:spacing w:line="240" w:lineRule="exact"/>
              <w:jc w:val="center"/>
              <w:rPr>
                <w:rFonts w:ascii="仿宋" w:hAnsi="仿宋" w:eastAsia="仿宋"/>
                <w:sz w:val="21"/>
                <w:szCs w:val="21"/>
              </w:rPr>
            </w:pPr>
          </w:p>
        </w:tc>
        <w:tc>
          <w:tcPr>
            <w:tcW w:w="1088" w:type="dxa"/>
            <w:vMerge w:val="restart"/>
            <w:tcBorders>
              <w:top w:val="single" w:color="000000" w:sz="4" w:space="0"/>
              <w:left w:val="nil"/>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（二）保障慢性病防控经费。（10分）</w:t>
            </w:r>
          </w:p>
        </w:tc>
        <w:tc>
          <w:tcPr>
            <w:tcW w:w="2955" w:type="dxa"/>
            <w:vMerge w:val="restart"/>
            <w:tcBorders>
              <w:top w:val="single" w:color="000000" w:sz="4" w:space="0"/>
              <w:left w:val="nil"/>
              <w:right w:val="single" w:color="000000" w:sz="4" w:space="0"/>
            </w:tcBorders>
            <w:vAlign w:val="center"/>
          </w:tcPr>
          <w:p>
            <w:pPr>
              <w:spacing w:line="240" w:lineRule="exact"/>
              <w:jc w:val="both"/>
              <w:rPr>
                <w:rFonts w:ascii="仿宋" w:hAnsi="仿宋" w:eastAsia="仿宋"/>
                <w:sz w:val="21"/>
                <w:szCs w:val="21"/>
              </w:rPr>
            </w:pPr>
            <w:r>
              <w:rPr>
                <w:rFonts w:hint="eastAsia" w:ascii="仿宋" w:hAnsi="仿宋" w:eastAsia="仿宋"/>
                <w:sz w:val="21"/>
                <w:szCs w:val="21"/>
              </w:rPr>
              <w:t>1.慢性病防控工作经费纳入政府年度预算、决算管理。</w:t>
            </w:r>
          </w:p>
        </w:tc>
        <w:tc>
          <w:tcPr>
            <w:tcW w:w="5948" w:type="dxa"/>
            <w:tcBorders>
              <w:top w:val="single" w:color="000000" w:sz="4" w:space="0"/>
              <w:left w:val="nil"/>
              <w:bottom w:val="single" w:color="000000" w:sz="4" w:space="0"/>
              <w:right w:val="single" w:color="000000" w:sz="4" w:space="0"/>
            </w:tcBorders>
            <w:vAlign w:val="center"/>
          </w:tcPr>
          <w:p>
            <w:pPr>
              <w:spacing w:line="240" w:lineRule="exact"/>
              <w:jc w:val="both"/>
              <w:rPr>
                <w:rFonts w:ascii="仿宋" w:hAnsi="仿宋" w:eastAsia="仿宋"/>
                <w:sz w:val="21"/>
                <w:szCs w:val="21"/>
              </w:rPr>
            </w:pPr>
            <w:r>
              <w:rPr>
                <w:rFonts w:hint="eastAsia" w:ascii="仿宋" w:hAnsi="仿宋" w:eastAsia="仿宋"/>
                <w:sz w:val="21"/>
                <w:szCs w:val="21"/>
              </w:rPr>
              <w:t>（1）慢性病防控工作经费纳入政府预算、决算管理，各1分。</w:t>
            </w:r>
          </w:p>
        </w:tc>
        <w:tc>
          <w:tcPr>
            <w:tcW w:w="776" w:type="dxa"/>
            <w:vMerge w:val="restart"/>
            <w:tcBorders>
              <w:top w:val="single" w:color="000000" w:sz="4" w:space="0"/>
              <w:left w:val="nil"/>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3</w:t>
            </w:r>
          </w:p>
        </w:tc>
        <w:tc>
          <w:tcPr>
            <w:tcW w:w="2064" w:type="dxa"/>
            <w:vMerge w:val="restart"/>
            <w:tcBorders>
              <w:top w:val="single" w:color="000000" w:sz="4" w:space="0"/>
              <w:left w:val="nil"/>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提供拨款文件或财务凭证。</w:t>
            </w:r>
          </w:p>
        </w:tc>
        <w:tc>
          <w:tcPr>
            <w:tcW w:w="1618" w:type="dxa"/>
            <w:vMerge w:val="restart"/>
            <w:tcBorders>
              <w:top w:val="single" w:color="000000" w:sz="4" w:space="0"/>
              <w:left w:val="nil"/>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市财政局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310" w:hRule="atLeast"/>
          <w:jc w:val="center"/>
        </w:trPr>
        <w:tc>
          <w:tcPr>
            <w:tcW w:w="914" w:type="dxa"/>
            <w:vMerge w:val="continue"/>
            <w:tcBorders>
              <w:left w:val="single" w:color="000000" w:sz="4" w:space="0"/>
              <w:right w:val="single" w:color="000000" w:sz="4" w:space="0"/>
            </w:tcBorders>
            <w:vAlign w:val="center"/>
          </w:tcPr>
          <w:p>
            <w:pPr>
              <w:spacing w:line="240" w:lineRule="exact"/>
              <w:jc w:val="center"/>
              <w:rPr>
                <w:rFonts w:ascii="仿宋" w:hAnsi="仿宋" w:eastAsia="仿宋"/>
                <w:sz w:val="21"/>
                <w:szCs w:val="21"/>
              </w:rPr>
            </w:pPr>
          </w:p>
        </w:tc>
        <w:tc>
          <w:tcPr>
            <w:tcW w:w="1088" w:type="dxa"/>
            <w:vMerge w:val="continue"/>
            <w:tcBorders>
              <w:left w:val="nil"/>
              <w:right w:val="single" w:color="000000" w:sz="4" w:space="0"/>
            </w:tcBorders>
            <w:vAlign w:val="center"/>
          </w:tcPr>
          <w:p>
            <w:pPr>
              <w:spacing w:line="240" w:lineRule="exact"/>
              <w:jc w:val="center"/>
              <w:rPr>
                <w:rFonts w:ascii="仿宋" w:hAnsi="仿宋" w:eastAsia="仿宋"/>
                <w:sz w:val="21"/>
                <w:szCs w:val="21"/>
              </w:rPr>
            </w:pPr>
          </w:p>
        </w:tc>
        <w:tc>
          <w:tcPr>
            <w:tcW w:w="2955" w:type="dxa"/>
            <w:vMerge w:val="continue"/>
            <w:tcBorders>
              <w:left w:val="nil"/>
              <w:bottom w:val="single" w:color="000000" w:sz="4" w:space="0"/>
              <w:right w:val="single" w:color="000000" w:sz="4" w:space="0"/>
            </w:tcBorders>
            <w:vAlign w:val="center"/>
          </w:tcPr>
          <w:p>
            <w:pPr>
              <w:spacing w:line="240" w:lineRule="exact"/>
              <w:jc w:val="both"/>
              <w:rPr>
                <w:rFonts w:ascii="仿宋" w:hAnsi="仿宋" w:eastAsia="仿宋"/>
                <w:sz w:val="21"/>
                <w:szCs w:val="21"/>
              </w:rPr>
            </w:pPr>
          </w:p>
        </w:tc>
        <w:tc>
          <w:tcPr>
            <w:tcW w:w="5948" w:type="dxa"/>
            <w:tcBorders>
              <w:top w:val="single" w:color="000000" w:sz="4" w:space="0"/>
              <w:left w:val="nil"/>
              <w:bottom w:val="single" w:color="000000" w:sz="4" w:space="0"/>
              <w:right w:val="single" w:color="000000" w:sz="4" w:space="0"/>
            </w:tcBorders>
            <w:vAlign w:val="center"/>
          </w:tcPr>
          <w:p>
            <w:pPr>
              <w:spacing w:line="240" w:lineRule="exact"/>
              <w:jc w:val="both"/>
              <w:rPr>
                <w:rFonts w:ascii="仿宋" w:hAnsi="仿宋" w:eastAsia="仿宋"/>
                <w:sz w:val="21"/>
                <w:szCs w:val="21"/>
              </w:rPr>
            </w:pPr>
            <w:r>
              <w:rPr>
                <w:rFonts w:hint="eastAsia" w:ascii="仿宋" w:hAnsi="仿宋" w:eastAsia="仿宋"/>
                <w:sz w:val="21"/>
                <w:szCs w:val="21"/>
              </w:rPr>
              <w:t>（2）经费预算执行率100%，1分。</w:t>
            </w:r>
          </w:p>
        </w:tc>
        <w:tc>
          <w:tcPr>
            <w:tcW w:w="776" w:type="dxa"/>
            <w:vMerge w:val="continue"/>
            <w:tcBorders>
              <w:left w:val="nil"/>
              <w:bottom w:val="single" w:color="000000" w:sz="4" w:space="0"/>
              <w:right w:val="single" w:color="000000" w:sz="4" w:space="0"/>
            </w:tcBorders>
            <w:vAlign w:val="center"/>
          </w:tcPr>
          <w:p>
            <w:pPr>
              <w:spacing w:line="240" w:lineRule="exact"/>
              <w:jc w:val="center"/>
              <w:rPr>
                <w:rFonts w:ascii="仿宋" w:hAnsi="仿宋" w:eastAsia="仿宋"/>
                <w:sz w:val="21"/>
                <w:szCs w:val="21"/>
              </w:rPr>
            </w:pPr>
          </w:p>
        </w:tc>
        <w:tc>
          <w:tcPr>
            <w:tcW w:w="2064" w:type="dxa"/>
            <w:vMerge w:val="continue"/>
            <w:tcBorders>
              <w:left w:val="nil"/>
              <w:bottom w:val="single" w:color="000000" w:sz="4" w:space="0"/>
              <w:right w:val="single" w:color="000000" w:sz="4" w:space="0"/>
            </w:tcBorders>
            <w:vAlign w:val="center"/>
          </w:tcPr>
          <w:p>
            <w:pPr>
              <w:spacing w:line="240" w:lineRule="exact"/>
              <w:jc w:val="center"/>
              <w:rPr>
                <w:rFonts w:ascii="仿宋" w:hAnsi="仿宋" w:eastAsia="仿宋"/>
                <w:sz w:val="21"/>
                <w:szCs w:val="21"/>
              </w:rPr>
            </w:pPr>
          </w:p>
        </w:tc>
        <w:tc>
          <w:tcPr>
            <w:tcW w:w="1618" w:type="dxa"/>
            <w:vMerge w:val="continue"/>
            <w:tcBorders>
              <w:left w:val="nil"/>
              <w:right w:val="single" w:color="000000" w:sz="4" w:space="0"/>
            </w:tcBorders>
            <w:vAlign w:val="center"/>
          </w:tcPr>
          <w:p>
            <w:pPr>
              <w:spacing w:line="240" w:lineRule="exact"/>
              <w:jc w:val="center"/>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601" w:hRule="atLeast"/>
          <w:jc w:val="center"/>
        </w:trPr>
        <w:tc>
          <w:tcPr>
            <w:tcW w:w="914" w:type="dxa"/>
            <w:vMerge w:val="continue"/>
            <w:tcBorders>
              <w:left w:val="single" w:color="000000" w:sz="4" w:space="0"/>
              <w:right w:val="single" w:color="000000" w:sz="4" w:space="0"/>
            </w:tcBorders>
            <w:vAlign w:val="center"/>
          </w:tcPr>
          <w:p>
            <w:pPr>
              <w:spacing w:line="240" w:lineRule="exact"/>
              <w:jc w:val="center"/>
              <w:rPr>
                <w:rFonts w:ascii="仿宋" w:hAnsi="仿宋" w:eastAsia="仿宋"/>
                <w:sz w:val="21"/>
                <w:szCs w:val="21"/>
              </w:rPr>
            </w:pPr>
          </w:p>
        </w:tc>
        <w:tc>
          <w:tcPr>
            <w:tcW w:w="1088" w:type="dxa"/>
            <w:vMerge w:val="continue"/>
            <w:tcBorders>
              <w:left w:val="nil"/>
              <w:right w:val="single" w:color="000000" w:sz="4" w:space="0"/>
            </w:tcBorders>
            <w:vAlign w:val="center"/>
          </w:tcPr>
          <w:p>
            <w:pPr>
              <w:spacing w:line="240" w:lineRule="exact"/>
              <w:jc w:val="center"/>
              <w:rPr>
                <w:rFonts w:ascii="仿宋" w:hAnsi="仿宋" w:eastAsia="仿宋"/>
                <w:sz w:val="21"/>
                <w:szCs w:val="21"/>
              </w:rPr>
            </w:pPr>
          </w:p>
        </w:tc>
        <w:tc>
          <w:tcPr>
            <w:tcW w:w="2955" w:type="dxa"/>
            <w:vMerge w:val="restart"/>
            <w:tcBorders>
              <w:top w:val="single" w:color="000000" w:sz="4" w:space="0"/>
              <w:left w:val="nil"/>
              <w:right w:val="single" w:color="000000" w:sz="4" w:space="0"/>
            </w:tcBorders>
            <w:vAlign w:val="center"/>
          </w:tcPr>
          <w:p>
            <w:pPr>
              <w:spacing w:line="240" w:lineRule="exact"/>
              <w:jc w:val="both"/>
              <w:rPr>
                <w:rFonts w:ascii="仿宋" w:hAnsi="仿宋" w:eastAsia="仿宋"/>
                <w:sz w:val="21"/>
                <w:szCs w:val="21"/>
              </w:rPr>
            </w:pPr>
            <w:r>
              <w:rPr>
                <w:rFonts w:hint="eastAsia" w:ascii="仿宋" w:hAnsi="仿宋" w:eastAsia="仿宋"/>
                <w:sz w:val="21"/>
                <w:szCs w:val="21"/>
              </w:rPr>
              <w:t>2.辖区政府按规划、计划提供示范区建设专项工作经费，专款专用。</w:t>
            </w:r>
          </w:p>
        </w:tc>
        <w:tc>
          <w:tcPr>
            <w:tcW w:w="5948" w:type="dxa"/>
            <w:tcBorders>
              <w:top w:val="single" w:color="000000" w:sz="4" w:space="0"/>
              <w:left w:val="nil"/>
              <w:bottom w:val="single" w:color="000000" w:sz="4" w:space="0"/>
              <w:right w:val="single" w:color="000000" w:sz="4" w:space="0"/>
            </w:tcBorders>
            <w:vAlign w:val="center"/>
          </w:tcPr>
          <w:p>
            <w:pPr>
              <w:spacing w:line="240" w:lineRule="exact"/>
              <w:jc w:val="both"/>
              <w:rPr>
                <w:rFonts w:ascii="仿宋" w:hAnsi="仿宋" w:eastAsia="仿宋"/>
                <w:sz w:val="21"/>
                <w:szCs w:val="21"/>
              </w:rPr>
            </w:pPr>
            <w:r>
              <w:rPr>
                <w:rFonts w:hint="eastAsia" w:ascii="仿宋" w:hAnsi="仿宋" w:eastAsia="仿宋"/>
                <w:sz w:val="21"/>
                <w:szCs w:val="21"/>
              </w:rPr>
              <w:t>（1）辖区提供示范区建设专项工作经费，3分。</w:t>
            </w:r>
          </w:p>
        </w:tc>
        <w:tc>
          <w:tcPr>
            <w:tcW w:w="776" w:type="dxa"/>
            <w:vMerge w:val="restart"/>
            <w:tcBorders>
              <w:top w:val="single" w:color="000000" w:sz="4" w:space="0"/>
              <w:left w:val="nil"/>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5</w:t>
            </w:r>
          </w:p>
        </w:tc>
        <w:tc>
          <w:tcPr>
            <w:tcW w:w="2064" w:type="dxa"/>
            <w:vMerge w:val="restart"/>
            <w:tcBorders>
              <w:top w:val="single" w:color="000000" w:sz="4" w:space="0"/>
              <w:left w:val="nil"/>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提供拨款文件或财务凭证。</w:t>
            </w:r>
          </w:p>
        </w:tc>
        <w:tc>
          <w:tcPr>
            <w:tcW w:w="1618" w:type="dxa"/>
            <w:vMerge w:val="continue"/>
            <w:tcBorders>
              <w:left w:val="nil"/>
              <w:right w:val="single" w:color="000000" w:sz="4" w:space="0"/>
            </w:tcBorders>
            <w:vAlign w:val="center"/>
          </w:tcPr>
          <w:p>
            <w:pPr>
              <w:spacing w:line="240" w:lineRule="exact"/>
              <w:jc w:val="center"/>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541" w:hRule="atLeast"/>
          <w:jc w:val="center"/>
        </w:trPr>
        <w:tc>
          <w:tcPr>
            <w:tcW w:w="914" w:type="dxa"/>
            <w:vMerge w:val="continue"/>
            <w:tcBorders>
              <w:left w:val="single" w:color="000000" w:sz="4" w:space="0"/>
              <w:right w:val="single" w:color="000000" w:sz="4" w:space="0"/>
            </w:tcBorders>
            <w:vAlign w:val="center"/>
          </w:tcPr>
          <w:p>
            <w:pPr>
              <w:spacing w:line="240" w:lineRule="exact"/>
              <w:jc w:val="center"/>
              <w:rPr>
                <w:rFonts w:ascii="仿宋" w:hAnsi="仿宋" w:eastAsia="仿宋"/>
                <w:sz w:val="21"/>
                <w:szCs w:val="21"/>
              </w:rPr>
            </w:pPr>
          </w:p>
        </w:tc>
        <w:tc>
          <w:tcPr>
            <w:tcW w:w="1088" w:type="dxa"/>
            <w:vMerge w:val="continue"/>
            <w:tcBorders>
              <w:left w:val="nil"/>
              <w:right w:val="single" w:color="000000" w:sz="4" w:space="0"/>
            </w:tcBorders>
            <w:vAlign w:val="center"/>
          </w:tcPr>
          <w:p>
            <w:pPr>
              <w:spacing w:line="240" w:lineRule="exact"/>
              <w:jc w:val="center"/>
              <w:rPr>
                <w:rFonts w:ascii="仿宋" w:hAnsi="仿宋" w:eastAsia="仿宋"/>
                <w:sz w:val="21"/>
                <w:szCs w:val="21"/>
              </w:rPr>
            </w:pPr>
          </w:p>
        </w:tc>
        <w:tc>
          <w:tcPr>
            <w:tcW w:w="2955" w:type="dxa"/>
            <w:vMerge w:val="continue"/>
            <w:tcBorders>
              <w:left w:val="nil"/>
              <w:bottom w:val="single" w:color="000000" w:sz="4" w:space="0"/>
              <w:right w:val="single" w:color="000000" w:sz="4" w:space="0"/>
            </w:tcBorders>
            <w:vAlign w:val="center"/>
          </w:tcPr>
          <w:p>
            <w:pPr>
              <w:spacing w:line="240" w:lineRule="exact"/>
              <w:jc w:val="both"/>
              <w:rPr>
                <w:rFonts w:ascii="仿宋" w:hAnsi="仿宋" w:eastAsia="仿宋"/>
                <w:sz w:val="21"/>
                <w:szCs w:val="21"/>
              </w:rPr>
            </w:pPr>
          </w:p>
        </w:tc>
        <w:tc>
          <w:tcPr>
            <w:tcW w:w="5948" w:type="dxa"/>
            <w:tcBorders>
              <w:top w:val="single" w:color="000000" w:sz="4" w:space="0"/>
              <w:left w:val="nil"/>
              <w:bottom w:val="single" w:color="000000" w:sz="4" w:space="0"/>
              <w:right w:val="single" w:color="000000" w:sz="4" w:space="0"/>
            </w:tcBorders>
            <w:vAlign w:val="center"/>
          </w:tcPr>
          <w:p>
            <w:pPr>
              <w:spacing w:line="240" w:lineRule="exact"/>
              <w:jc w:val="both"/>
              <w:rPr>
                <w:rFonts w:ascii="仿宋" w:hAnsi="仿宋" w:eastAsia="仿宋"/>
                <w:sz w:val="21"/>
                <w:szCs w:val="21"/>
              </w:rPr>
            </w:pPr>
            <w:r>
              <w:rPr>
                <w:rFonts w:hint="eastAsia" w:ascii="仿宋" w:hAnsi="仿宋" w:eastAsia="仿宋"/>
                <w:sz w:val="21"/>
                <w:szCs w:val="21"/>
              </w:rPr>
              <w:t>（2）慢性病防控经费专项管理，确保专款专用，2分。</w:t>
            </w:r>
          </w:p>
        </w:tc>
        <w:tc>
          <w:tcPr>
            <w:tcW w:w="776" w:type="dxa"/>
            <w:vMerge w:val="continue"/>
            <w:tcBorders>
              <w:left w:val="nil"/>
              <w:bottom w:val="single" w:color="000000" w:sz="4" w:space="0"/>
              <w:right w:val="single" w:color="000000" w:sz="4" w:space="0"/>
            </w:tcBorders>
            <w:vAlign w:val="center"/>
          </w:tcPr>
          <w:p>
            <w:pPr>
              <w:spacing w:line="240" w:lineRule="exact"/>
              <w:jc w:val="center"/>
              <w:rPr>
                <w:rFonts w:ascii="仿宋" w:hAnsi="仿宋" w:eastAsia="仿宋"/>
                <w:sz w:val="21"/>
                <w:szCs w:val="21"/>
              </w:rPr>
            </w:pPr>
          </w:p>
        </w:tc>
        <w:tc>
          <w:tcPr>
            <w:tcW w:w="2064" w:type="dxa"/>
            <w:vMerge w:val="continue"/>
            <w:tcBorders>
              <w:left w:val="nil"/>
              <w:bottom w:val="single" w:color="000000" w:sz="4" w:space="0"/>
              <w:right w:val="single" w:color="000000" w:sz="4" w:space="0"/>
            </w:tcBorders>
            <w:vAlign w:val="center"/>
          </w:tcPr>
          <w:p>
            <w:pPr>
              <w:spacing w:line="240" w:lineRule="exact"/>
              <w:jc w:val="center"/>
              <w:rPr>
                <w:rFonts w:ascii="仿宋" w:hAnsi="仿宋" w:eastAsia="仿宋"/>
                <w:sz w:val="21"/>
                <w:szCs w:val="21"/>
              </w:rPr>
            </w:pPr>
          </w:p>
        </w:tc>
        <w:tc>
          <w:tcPr>
            <w:tcW w:w="1618" w:type="dxa"/>
            <w:vMerge w:val="continue"/>
            <w:tcBorders>
              <w:left w:val="nil"/>
              <w:right w:val="single" w:color="000000" w:sz="4" w:space="0"/>
            </w:tcBorders>
            <w:vAlign w:val="center"/>
          </w:tcPr>
          <w:p>
            <w:pPr>
              <w:spacing w:line="240" w:lineRule="exact"/>
              <w:jc w:val="center"/>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601" w:hRule="atLeast"/>
          <w:jc w:val="center"/>
        </w:trPr>
        <w:tc>
          <w:tcPr>
            <w:tcW w:w="914" w:type="dxa"/>
            <w:vMerge w:val="continue"/>
            <w:tcBorders>
              <w:left w:val="single" w:color="000000" w:sz="4" w:space="0"/>
              <w:right w:val="single" w:color="000000" w:sz="4" w:space="0"/>
            </w:tcBorders>
            <w:vAlign w:val="center"/>
          </w:tcPr>
          <w:p>
            <w:pPr>
              <w:spacing w:line="240" w:lineRule="exact"/>
              <w:jc w:val="center"/>
              <w:rPr>
                <w:rFonts w:ascii="仿宋" w:hAnsi="仿宋" w:eastAsia="仿宋"/>
                <w:sz w:val="21"/>
                <w:szCs w:val="21"/>
              </w:rPr>
            </w:pPr>
          </w:p>
        </w:tc>
        <w:tc>
          <w:tcPr>
            <w:tcW w:w="1088" w:type="dxa"/>
            <w:vMerge w:val="continue"/>
            <w:tcBorders>
              <w:left w:val="nil"/>
              <w:bottom w:val="single" w:color="000000" w:sz="4" w:space="0"/>
              <w:right w:val="single" w:color="000000" w:sz="4" w:space="0"/>
            </w:tcBorders>
            <w:vAlign w:val="center"/>
          </w:tcPr>
          <w:p>
            <w:pPr>
              <w:spacing w:line="240" w:lineRule="exact"/>
              <w:jc w:val="center"/>
              <w:rPr>
                <w:rFonts w:ascii="仿宋" w:hAnsi="仿宋" w:eastAsia="仿宋"/>
                <w:sz w:val="21"/>
                <w:szCs w:val="21"/>
              </w:rPr>
            </w:pPr>
          </w:p>
        </w:tc>
        <w:tc>
          <w:tcPr>
            <w:tcW w:w="2955" w:type="dxa"/>
            <w:tcBorders>
              <w:top w:val="single" w:color="000000" w:sz="4" w:space="0"/>
              <w:left w:val="nil"/>
              <w:bottom w:val="single" w:color="000000" w:sz="4" w:space="0"/>
              <w:right w:val="single" w:color="000000" w:sz="4" w:space="0"/>
            </w:tcBorders>
            <w:vAlign w:val="center"/>
          </w:tcPr>
          <w:p>
            <w:pPr>
              <w:spacing w:line="240" w:lineRule="exact"/>
              <w:jc w:val="both"/>
              <w:rPr>
                <w:rFonts w:ascii="仿宋" w:hAnsi="仿宋" w:eastAsia="仿宋"/>
                <w:sz w:val="21"/>
                <w:szCs w:val="21"/>
              </w:rPr>
            </w:pPr>
            <w:r>
              <w:rPr>
                <w:rFonts w:hint="eastAsia" w:ascii="仿宋" w:hAnsi="仿宋" w:eastAsia="仿宋"/>
                <w:sz w:val="21"/>
                <w:szCs w:val="21"/>
              </w:rPr>
              <w:t>3.保障疾控机构的慢性病防控工作经费。</w:t>
            </w:r>
          </w:p>
        </w:tc>
        <w:tc>
          <w:tcPr>
            <w:tcW w:w="5948" w:type="dxa"/>
            <w:tcBorders>
              <w:top w:val="single" w:color="000000" w:sz="4" w:space="0"/>
              <w:left w:val="nil"/>
              <w:bottom w:val="single" w:color="000000" w:sz="4" w:space="0"/>
              <w:right w:val="single" w:color="000000" w:sz="4" w:space="0"/>
            </w:tcBorders>
            <w:vAlign w:val="center"/>
          </w:tcPr>
          <w:p>
            <w:pPr>
              <w:spacing w:line="240" w:lineRule="exact"/>
              <w:jc w:val="both"/>
              <w:rPr>
                <w:rFonts w:ascii="仿宋" w:hAnsi="仿宋" w:eastAsia="仿宋"/>
                <w:sz w:val="21"/>
                <w:szCs w:val="21"/>
              </w:rPr>
            </w:pPr>
            <w:r>
              <w:rPr>
                <w:rFonts w:hint="eastAsia" w:ascii="仿宋" w:hAnsi="仿宋" w:eastAsia="仿宋"/>
                <w:sz w:val="21"/>
                <w:szCs w:val="21"/>
              </w:rPr>
              <w:t>慢性病防控工作经费占疾控机构业务总经费的比例&gt;10%，2分；10%，1分；10%以下不得分。</w:t>
            </w: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2</w:t>
            </w:r>
          </w:p>
        </w:tc>
        <w:tc>
          <w:tcPr>
            <w:tcW w:w="2064" w:type="dxa"/>
            <w:tcBorders>
              <w:top w:val="single" w:color="000000" w:sz="4" w:space="0"/>
              <w:left w:val="nil"/>
              <w:bottom w:val="single" w:color="000000" w:sz="4" w:space="0"/>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查阅资料。</w:t>
            </w:r>
          </w:p>
        </w:tc>
        <w:tc>
          <w:tcPr>
            <w:tcW w:w="1618" w:type="dxa"/>
            <w:vMerge w:val="continue"/>
            <w:tcBorders>
              <w:left w:val="nil"/>
              <w:bottom w:val="single" w:color="000000" w:sz="4" w:space="0"/>
              <w:right w:val="single" w:color="000000" w:sz="4" w:space="0"/>
            </w:tcBorders>
            <w:vAlign w:val="center"/>
          </w:tcPr>
          <w:p>
            <w:pPr>
              <w:spacing w:line="240" w:lineRule="exact"/>
              <w:jc w:val="center"/>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385" w:hRule="atLeast"/>
          <w:jc w:val="center"/>
        </w:trPr>
        <w:tc>
          <w:tcPr>
            <w:tcW w:w="914" w:type="dxa"/>
            <w:vMerge w:val="continue"/>
            <w:tcBorders>
              <w:left w:val="single" w:color="000000" w:sz="4" w:space="0"/>
              <w:right w:val="single" w:color="000000" w:sz="4" w:space="0"/>
            </w:tcBorders>
            <w:vAlign w:val="center"/>
          </w:tcPr>
          <w:p>
            <w:pPr>
              <w:spacing w:line="240" w:lineRule="exact"/>
              <w:jc w:val="center"/>
              <w:rPr>
                <w:rFonts w:ascii="仿宋" w:hAnsi="仿宋" w:eastAsia="仿宋"/>
                <w:sz w:val="21"/>
                <w:szCs w:val="21"/>
              </w:rPr>
            </w:pPr>
          </w:p>
        </w:tc>
        <w:tc>
          <w:tcPr>
            <w:tcW w:w="1088" w:type="dxa"/>
            <w:vMerge w:val="restart"/>
            <w:tcBorders>
              <w:top w:val="single" w:color="000000" w:sz="4" w:space="0"/>
              <w:left w:val="nil"/>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（三）建立有效的绩效管理及评价机制。（10分）</w:t>
            </w:r>
          </w:p>
        </w:tc>
        <w:tc>
          <w:tcPr>
            <w:tcW w:w="2955" w:type="dxa"/>
            <w:vMerge w:val="restart"/>
            <w:tcBorders>
              <w:top w:val="single" w:color="000000" w:sz="4" w:space="0"/>
              <w:left w:val="nil"/>
              <w:right w:val="single" w:color="000000" w:sz="4" w:space="0"/>
            </w:tcBorders>
            <w:vAlign w:val="center"/>
          </w:tcPr>
          <w:p>
            <w:pPr>
              <w:spacing w:line="240" w:lineRule="exact"/>
              <w:jc w:val="both"/>
              <w:rPr>
                <w:rFonts w:ascii="仿宋" w:hAnsi="仿宋" w:eastAsia="仿宋"/>
                <w:sz w:val="21"/>
                <w:szCs w:val="21"/>
              </w:rPr>
            </w:pPr>
            <w:r>
              <w:rPr>
                <w:rFonts w:hint="eastAsia" w:ascii="仿宋" w:hAnsi="仿宋" w:eastAsia="仿宋"/>
                <w:sz w:val="21"/>
                <w:szCs w:val="21"/>
              </w:rPr>
              <w:t>1.辖区政府将创建国家级慢性病综合防控示范区工作实施方案相关工作纳入各相关部门年度目标管理。</w:t>
            </w:r>
          </w:p>
        </w:tc>
        <w:tc>
          <w:tcPr>
            <w:tcW w:w="5948" w:type="dxa"/>
            <w:tcBorders>
              <w:top w:val="single" w:color="000000" w:sz="4" w:space="0"/>
              <w:left w:val="nil"/>
              <w:bottom w:val="single" w:color="000000" w:sz="4" w:space="0"/>
              <w:right w:val="single" w:color="000000" w:sz="4" w:space="0"/>
            </w:tcBorders>
            <w:vAlign w:val="center"/>
          </w:tcPr>
          <w:p>
            <w:pPr>
              <w:spacing w:line="240" w:lineRule="exact"/>
              <w:jc w:val="both"/>
              <w:rPr>
                <w:rFonts w:ascii="仿宋" w:hAnsi="仿宋" w:eastAsia="仿宋"/>
                <w:sz w:val="21"/>
                <w:szCs w:val="21"/>
              </w:rPr>
            </w:pPr>
            <w:r>
              <w:rPr>
                <w:rFonts w:hint="eastAsia" w:ascii="仿宋" w:hAnsi="仿宋" w:eastAsia="仿宋"/>
                <w:sz w:val="21"/>
                <w:szCs w:val="21"/>
              </w:rPr>
              <w:t>（1）辖区政府将创建国家级慢性病综合防控示范区工作纳入各相关部门年度目标管理，纳入绩效考核目标工作，2分。</w:t>
            </w:r>
          </w:p>
        </w:tc>
        <w:tc>
          <w:tcPr>
            <w:tcW w:w="776" w:type="dxa"/>
            <w:vMerge w:val="restart"/>
            <w:tcBorders>
              <w:top w:val="single" w:color="000000" w:sz="4" w:space="0"/>
              <w:left w:val="nil"/>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2</w:t>
            </w:r>
          </w:p>
        </w:tc>
        <w:tc>
          <w:tcPr>
            <w:tcW w:w="2064" w:type="dxa"/>
            <w:vMerge w:val="restart"/>
            <w:tcBorders>
              <w:top w:val="single" w:color="000000" w:sz="4" w:space="0"/>
              <w:left w:val="nil"/>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查阅相关部门的年度计划和年终评价的相关资料。</w:t>
            </w:r>
          </w:p>
        </w:tc>
        <w:tc>
          <w:tcPr>
            <w:tcW w:w="1618" w:type="dxa"/>
            <w:vMerge w:val="restart"/>
            <w:tcBorders>
              <w:top w:val="single" w:color="000000" w:sz="4" w:space="0"/>
              <w:left w:val="nil"/>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各成员单位</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385" w:hRule="atLeast"/>
          <w:jc w:val="center"/>
        </w:trPr>
        <w:tc>
          <w:tcPr>
            <w:tcW w:w="914" w:type="dxa"/>
            <w:vMerge w:val="continue"/>
            <w:tcBorders>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21"/>
                <w:szCs w:val="21"/>
              </w:rPr>
            </w:pPr>
          </w:p>
        </w:tc>
        <w:tc>
          <w:tcPr>
            <w:tcW w:w="1088" w:type="dxa"/>
            <w:vMerge w:val="continue"/>
            <w:tcBorders>
              <w:left w:val="nil"/>
              <w:bottom w:val="single" w:color="000000" w:sz="4" w:space="0"/>
              <w:right w:val="single" w:color="000000" w:sz="4" w:space="0"/>
            </w:tcBorders>
            <w:vAlign w:val="center"/>
          </w:tcPr>
          <w:p>
            <w:pPr>
              <w:spacing w:line="240" w:lineRule="exact"/>
              <w:jc w:val="center"/>
              <w:rPr>
                <w:rFonts w:hint="eastAsia" w:ascii="仿宋" w:hAnsi="仿宋" w:eastAsia="仿宋"/>
                <w:sz w:val="21"/>
                <w:szCs w:val="21"/>
              </w:rPr>
            </w:pPr>
          </w:p>
        </w:tc>
        <w:tc>
          <w:tcPr>
            <w:tcW w:w="2955" w:type="dxa"/>
            <w:vMerge w:val="continue"/>
            <w:tcBorders>
              <w:left w:val="nil"/>
              <w:bottom w:val="single" w:color="000000" w:sz="4" w:space="0"/>
              <w:right w:val="single" w:color="000000" w:sz="4" w:space="0"/>
            </w:tcBorders>
            <w:vAlign w:val="center"/>
          </w:tcPr>
          <w:p>
            <w:pPr>
              <w:spacing w:line="240" w:lineRule="exact"/>
              <w:jc w:val="both"/>
              <w:rPr>
                <w:rFonts w:hint="eastAsia" w:ascii="仿宋" w:hAnsi="仿宋" w:eastAsia="仿宋"/>
                <w:sz w:val="21"/>
                <w:szCs w:val="21"/>
              </w:rPr>
            </w:pPr>
          </w:p>
        </w:tc>
        <w:tc>
          <w:tcPr>
            <w:tcW w:w="5948" w:type="dxa"/>
            <w:tcBorders>
              <w:top w:val="single" w:color="000000" w:sz="4" w:space="0"/>
              <w:left w:val="nil"/>
              <w:bottom w:val="single" w:color="000000" w:sz="4" w:space="0"/>
              <w:right w:val="single" w:color="000000" w:sz="4" w:space="0"/>
            </w:tcBorders>
            <w:vAlign w:val="center"/>
          </w:tcPr>
          <w:p>
            <w:pPr>
              <w:spacing w:line="240" w:lineRule="exact"/>
              <w:jc w:val="both"/>
              <w:rPr>
                <w:rFonts w:ascii="仿宋" w:hAnsi="仿宋" w:eastAsia="仿宋"/>
                <w:sz w:val="21"/>
                <w:szCs w:val="21"/>
              </w:rPr>
            </w:pPr>
            <w:r>
              <w:rPr>
                <w:rFonts w:hint="eastAsia" w:ascii="仿宋" w:hAnsi="仿宋" w:eastAsia="仿宋"/>
                <w:sz w:val="21"/>
                <w:szCs w:val="21"/>
              </w:rPr>
              <w:t>（2）抽查5个部门执行情况，发现2个及以上部门没纳入目标管理和绩效考核者不得分。</w:t>
            </w:r>
          </w:p>
          <w:p>
            <w:pPr>
              <w:spacing w:line="240" w:lineRule="exact"/>
              <w:jc w:val="both"/>
              <w:rPr>
                <w:rFonts w:hint="eastAsia" w:ascii="仿宋" w:hAnsi="仿宋" w:eastAsia="仿宋"/>
                <w:sz w:val="21"/>
                <w:szCs w:val="21"/>
              </w:rPr>
            </w:pPr>
          </w:p>
        </w:tc>
        <w:tc>
          <w:tcPr>
            <w:tcW w:w="776" w:type="dxa"/>
            <w:vMerge w:val="continue"/>
            <w:tcBorders>
              <w:left w:val="nil"/>
              <w:bottom w:val="single" w:color="000000" w:sz="4" w:space="0"/>
              <w:right w:val="single" w:color="000000" w:sz="4" w:space="0"/>
            </w:tcBorders>
            <w:vAlign w:val="center"/>
          </w:tcPr>
          <w:p>
            <w:pPr>
              <w:spacing w:line="240" w:lineRule="exact"/>
              <w:jc w:val="center"/>
              <w:rPr>
                <w:rFonts w:hint="eastAsia" w:ascii="仿宋" w:hAnsi="仿宋" w:eastAsia="仿宋"/>
                <w:sz w:val="21"/>
                <w:szCs w:val="21"/>
              </w:rPr>
            </w:pPr>
          </w:p>
        </w:tc>
        <w:tc>
          <w:tcPr>
            <w:tcW w:w="2064" w:type="dxa"/>
            <w:vMerge w:val="continue"/>
            <w:tcBorders>
              <w:left w:val="nil"/>
              <w:bottom w:val="single" w:color="000000" w:sz="4" w:space="0"/>
              <w:right w:val="single" w:color="000000" w:sz="4" w:space="0"/>
            </w:tcBorders>
            <w:vAlign w:val="center"/>
          </w:tcPr>
          <w:p>
            <w:pPr>
              <w:spacing w:line="240" w:lineRule="exact"/>
              <w:jc w:val="center"/>
              <w:rPr>
                <w:rFonts w:hint="eastAsia" w:ascii="仿宋" w:hAnsi="仿宋" w:eastAsia="仿宋"/>
                <w:sz w:val="21"/>
                <w:szCs w:val="21"/>
              </w:rPr>
            </w:pPr>
          </w:p>
        </w:tc>
        <w:tc>
          <w:tcPr>
            <w:tcW w:w="1618" w:type="dxa"/>
            <w:vMerge w:val="continue"/>
            <w:tcBorders>
              <w:left w:val="nil"/>
              <w:bottom w:val="single" w:color="000000" w:sz="4" w:space="0"/>
              <w:right w:val="single" w:color="000000" w:sz="4" w:space="0"/>
            </w:tcBorders>
            <w:vAlign w:val="center"/>
          </w:tcPr>
          <w:p>
            <w:pPr>
              <w:spacing w:line="240" w:lineRule="exact"/>
              <w:jc w:val="center"/>
              <w:rPr>
                <w:rFonts w:hint="eastAsia" w:ascii="仿宋" w:hAnsi="仿宋" w:eastAsia="仿宋"/>
                <w:sz w:val="21"/>
                <w:szCs w:val="21"/>
              </w:rPr>
            </w:pPr>
          </w:p>
        </w:tc>
      </w:tr>
    </w:tbl>
    <w:p>
      <w:pPr>
        <w:sectPr>
          <w:pgSz w:w="16838" w:h="11906" w:orient="landscape"/>
          <w:pgMar w:top="1800" w:right="1440" w:bottom="1800" w:left="1440" w:header="851" w:footer="992" w:gutter="0"/>
          <w:cols w:space="425" w:num="1"/>
          <w:docGrid w:type="lines" w:linePitch="312" w:charSpace="0"/>
        </w:sectPr>
      </w:pPr>
    </w:p>
    <w:tbl>
      <w:tblPr>
        <w:tblStyle w:val="6"/>
        <w:tblW w:w="15358" w:type="dxa"/>
        <w:jc w:val="center"/>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914"/>
        <w:gridCol w:w="1088"/>
        <w:gridCol w:w="2954"/>
        <w:gridCol w:w="5946"/>
        <w:gridCol w:w="776"/>
        <w:gridCol w:w="2063"/>
        <w:gridCol w:w="1617"/>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686"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b/>
                <w:bCs/>
                <w:sz w:val="21"/>
                <w:szCs w:val="21"/>
              </w:rPr>
            </w:pPr>
            <w:r>
              <w:rPr>
                <w:rFonts w:hint="eastAsia" w:ascii="仿宋" w:hAnsi="仿宋" w:eastAsia="仿宋"/>
                <w:b/>
                <w:bCs/>
                <w:sz w:val="21"/>
                <w:szCs w:val="21"/>
              </w:rPr>
              <w:t>指标</w:t>
            </w:r>
          </w:p>
          <w:p>
            <w:pPr>
              <w:spacing w:line="240" w:lineRule="exact"/>
              <w:jc w:val="center"/>
              <w:rPr>
                <w:rFonts w:ascii="仿宋" w:hAnsi="仿宋" w:eastAsia="仿宋"/>
                <w:b/>
                <w:bCs/>
                <w:sz w:val="21"/>
                <w:szCs w:val="21"/>
              </w:rPr>
            </w:pPr>
            <w:r>
              <w:rPr>
                <w:rFonts w:hint="eastAsia" w:ascii="仿宋" w:hAnsi="仿宋" w:eastAsia="仿宋"/>
                <w:b/>
                <w:bCs/>
                <w:sz w:val="21"/>
                <w:szCs w:val="21"/>
              </w:rPr>
              <w:t>分类</w:t>
            </w:r>
          </w:p>
        </w:tc>
        <w:tc>
          <w:tcPr>
            <w:tcW w:w="1088" w:type="dxa"/>
            <w:tcBorders>
              <w:top w:val="single" w:color="000000" w:sz="4" w:space="0"/>
              <w:left w:val="nil"/>
              <w:bottom w:val="single" w:color="000000" w:sz="4" w:space="0"/>
              <w:right w:val="single" w:color="000000" w:sz="4" w:space="0"/>
            </w:tcBorders>
            <w:vAlign w:val="center"/>
          </w:tcPr>
          <w:p>
            <w:pPr>
              <w:spacing w:line="240" w:lineRule="exact"/>
              <w:jc w:val="center"/>
              <w:rPr>
                <w:rFonts w:ascii="仿宋" w:hAnsi="仿宋" w:eastAsia="仿宋"/>
                <w:b/>
                <w:bCs/>
                <w:sz w:val="21"/>
                <w:szCs w:val="21"/>
              </w:rPr>
            </w:pPr>
            <w:r>
              <w:rPr>
                <w:rFonts w:hint="eastAsia" w:ascii="仿宋" w:hAnsi="仿宋" w:eastAsia="仿宋"/>
                <w:b/>
                <w:bCs/>
                <w:sz w:val="21"/>
                <w:szCs w:val="21"/>
              </w:rPr>
              <w:t>指标</w:t>
            </w:r>
          </w:p>
          <w:p>
            <w:pPr>
              <w:spacing w:line="240" w:lineRule="exact"/>
              <w:jc w:val="center"/>
              <w:rPr>
                <w:rFonts w:ascii="仿宋" w:hAnsi="仿宋" w:eastAsia="仿宋"/>
                <w:b/>
                <w:bCs/>
                <w:sz w:val="21"/>
                <w:szCs w:val="21"/>
              </w:rPr>
            </w:pPr>
            <w:r>
              <w:rPr>
                <w:rFonts w:hint="eastAsia" w:ascii="仿宋" w:hAnsi="仿宋" w:eastAsia="仿宋"/>
                <w:b/>
                <w:bCs/>
                <w:sz w:val="21"/>
                <w:szCs w:val="21"/>
              </w:rPr>
              <w:t>内容</w:t>
            </w:r>
          </w:p>
        </w:tc>
        <w:tc>
          <w:tcPr>
            <w:tcW w:w="2954" w:type="dxa"/>
            <w:tcBorders>
              <w:top w:val="single" w:color="000000" w:sz="4" w:space="0"/>
              <w:left w:val="nil"/>
              <w:bottom w:val="single" w:color="000000" w:sz="4" w:space="0"/>
              <w:right w:val="single" w:color="000000" w:sz="4" w:space="0"/>
            </w:tcBorders>
            <w:vAlign w:val="center"/>
          </w:tcPr>
          <w:p>
            <w:pPr>
              <w:spacing w:line="240" w:lineRule="exact"/>
              <w:jc w:val="center"/>
              <w:rPr>
                <w:rFonts w:ascii="仿宋" w:hAnsi="仿宋" w:eastAsia="仿宋"/>
                <w:b/>
                <w:bCs/>
                <w:sz w:val="21"/>
                <w:szCs w:val="21"/>
              </w:rPr>
            </w:pPr>
            <w:r>
              <w:rPr>
                <w:rFonts w:hint="eastAsia" w:ascii="仿宋" w:hAnsi="仿宋" w:eastAsia="仿宋"/>
                <w:b/>
                <w:bCs/>
                <w:sz w:val="21"/>
                <w:szCs w:val="21"/>
              </w:rPr>
              <w:t>指标要求</w:t>
            </w:r>
          </w:p>
        </w:tc>
        <w:tc>
          <w:tcPr>
            <w:tcW w:w="5946" w:type="dxa"/>
            <w:tcBorders>
              <w:top w:val="single" w:color="000000" w:sz="4" w:space="0"/>
              <w:left w:val="nil"/>
              <w:bottom w:val="single" w:color="000000" w:sz="4" w:space="0"/>
              <w:right w:val="single" w:color="000000" w:sz="4" w:space="0"/>
            </w:tcBorders>
            <w:vAlign w:val="center"/>
          </w:tcPr>
          <w:p>
            <w:pPr>
              <w:spacing w:line="240" w:lineRule="exact"/>
              <w:jc w:val="center"/>
              <w:rPr>
                <w:rFonts w:ascii="仿宋" w:hAnsi="仿宋" w:eastAsia="仿宋"/>
                <w:b/>
                <w:bCs/>
                <w:sz w:val="21"/>
                <w:szCs w:val="21"/>
              </w:rPr>
            </w:pPr>
            <w:r>
              <w:rPr>
                <w:rFonts w:hint="eastAsia" w:ascii="仿宋" w:hAnsi="仿宋" w:eastAsia="仿宋"/>
                <w:b/>
                <w:bCs/>
                <w:sz w:val="21"/>
                <w:szCs w:val="21"/>
              </w:rPr>
              <w:t>赋分标准</w:t>
            </w: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center"/>
              <w:rPr>
                <w:rFonts w:ascii="仿宋" w:hAnsi="仿宋" w:eastAsia="仿宋"/>
                <w:b/>
                <w:bCs/>
                <w:sz w:val="21"/>
                <w:szCs w:val="21"/>
              </w:rPr>
            </w:pPr>
            <w:r>
              <w:rPr>
                <w:rFonts w:hint="eastAsia" w:ascii="仿宋" w:hAnsi="仿宋" w:eastAsia="仿宋"/>
                <w:b/>
                <w:bCs/>
                <w:sz w:val="21"/>
                <w:szCs w:val="21"/>
              </w:rPr>
              <w:t>权重分值</w:t>
            </w:r>
          </w:p>
        </w:tc>
        <w:tc>
          <w:tcPr>
            <w:tcW w:w="2063" w:type="dxa"/>
            <w:tcBorders>
              <w:top w:val="single" w:color="000000" w:sz="4" w:space="0"/>
              <w:left w:val="nil"/>
              <w:bottom w:val="single" w:color="000000" w:sz="4" w:space="0"/>
              <w:right w:val="single" w:color="000000" w:sz="4" w:space="0"/>
            </w:tcBorders>
            <w:vAlign w:val="center"/>
          </w:tcPr>
          <w:p>
            <w:pPr>
              <w:spacing w:line="240" w:lineRule="exact"/>
              <w:jc w:val="center"/>
              <w:rPr>
                <w:rFonts w:ascii="仿宋" w:hAnsi="仿宋" w:eastAsia="仿宋"/>
                <w:b/>
                <w:bCs/>
                <w:sz w:val="21"/>
                <w:szCs w:val="21"/>
              </w:rPr>
            </w:pPr>
            <w:r>
              <w:rPr>
                <w:rFonts w:hint="eastAsia" w:ascii="仿宋" w:hAnsi="仿宋" w:eastAsia="仿宋"/>
                <w:b/>
                <w:bCs/>
                <w:sz w:val="21"/>
                <w:szCs w:val="21"/>
              </w:rPr>
              <w:t>评价办法</w:t>
            </w:r>
          </w:p>
        </w:tc>
        <w:tc>
          <w:tcPr>
            <w:tcW w:w="1617" w:type="dxa"/>
            <w:tcBorders>
              <w:top w:val="single" w:color="000000" w:sz="4" w:space="0"/>
              <w:left w:val="nil"/>
              <w:bottom w:val="single" w:color="000000" w:sz="4" w:space="0"/>
              <w:right w:val="single" w:color="000000" w:sz="4" w:space="0"/>
            </w:tcBorders>
            <w:vAlign w:val="center"/>
          </w:tcPr>
          <w:p>
            <w:pPr>
              <w:spacing w:line="240" w:lineRule="exact"/>
              <w:jc w:val="center"/>
              <w:rPr>
                <w:rFonts w:ascii="仿宋" w:hAnsi="仿宋" w:eastAsia="仿宋"/>
                <w:b/>
                <w:bCs/>
                <w:sz w:val="21"/>
                <w:szCs w:val="21"/>
              </w:rPr>
            </w:pPr>
            <w:r>
              <w:rPr>
                <w:rFonts w:hint="eastAsia" w:ascii="仿宋" w:hAnsi="仿宋" w:eastAsia="仿宋"/>
                <w:b/>
                <w:bCs/>
                <w:sz w:val="21"/>
                <w:szCs w:val="21"/>
              </w:rPr>
              <w:t>责任单位</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711"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一、政策完善（45分）</w:t>
            </w:r>
          </w:p>
        </w:tc>
        <w:tc>
          <w:tcPr>
            <w:tcW w:w="1088" w:type="dxa"/>
            <w:tcBorders>
              <w:top w:val="single" w:color="000000" w:sz="4" w:space="0"/>
              <w:left w:val="nil"/>
              <w:bottom w:val="single" w:color="000000" w:sz="4" w:space="0"/>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（三）建立有效的绩效管理及评价机制。（10分）</w:t>
            </w:r>
          </w:p>
        </w:tc>
        <w:tc>
          <w:tcPr>
            <w:tcW w:w="2954" w:type="dxa"/>
            <w:tcBorders>
              <w:top w:val="single" w:color="000000" w:sz="4" w:space="0"/>
              <w:left w:val="nil"/>
              <w:bottom w:val="single" w:color="000000" w:sz="4" w:space="0"/>
              <w:right w:val="single" w:color="000000" w:sz="4" w:space="0"/>
            </w:tcBorders>
            <w:vAlign w:val="center"/>
          </w:tcPr>
          <w:p>
            <w:pPr>
              <w:spacing w:line="240" w:lineRule="exact"/>
              <w:jc w:val="both"/>
              <w:rPr>
                <w:rFonts w:ascii="仿宋" w:hAnsi="仿宋" w:eastAsia="仿宋"/>
                <w:sz w:val="21"/>
                <w:szCs w:val="21"/>
              </w:rPr>
            </w:pPr>
            <w:r>
              <w:rPr>
                <w:rFonts w:hint="eastAsia" w:ascii="仿宋" w:hAnsi="仿宋" w:eastAsia="仿宋"/>
                <w:sz w:val="21"/>
                <w:szCs w:val="21"/>
              </w:rPr>
              <w:t>2.辖区政府将创建国家级慢性病综合防控示范区工作实施方案相关工作纳入各部门绩效考核，落实问责制。</w:t>
            </w:r>
          </w:p>
        </w:tc>
        <w:tc>
          <w:tcPr>
            <w:tcW w:w="5946" w:type="dxa"/>
            <w:tcBorders>
              <w:top w:val="single" w:color="000000" w:sz="4" w:space="0"/>
              <w:left w:val="nil"/>
              <w:bottom w:val="single" w:color="000000" w:sz="4" w:space="0"/>
              <w:right w:val="single" w:color="000000" w:sz="4" w:space="0"/>
            </w:tcBorders>
            <w:vAlign w:val="center"/>
          </w:tcPr>
          <w:p>
            <w:pPr>
              <w:spacing w:line="240" w:lineRule="exact"/>
              <w:jc w:val="both"/>
              <w:rPr>
                <w:rFonts w:ascii="仿宋" w:hAnsi="仿宋" w:eastAsia="仿宋"/>
                <w:sz w:val="21"/>
                <w:szCs w:val="21"/>
              </w:rPr>
            </w:pPr>
            <w:r>
              <w:rPr>
                <w:rFonts w:hint="eastAsia" w:ascii="仿宋" w:hAnsi="仿宋" w:eastAsia="仿宋"/>
                <w:sz w:val="21"/>
                <w:szCs w:val="21"/>
              </w:rPr>
              <w:t>抽取4个相关部门职能科室，询问相关职责知晓与执行情况。部门履职合格的覆盖率达100%，8分。</w:t>
            </w: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8</w:t>
            </w:r>
          </w:p>
        </w:tc>
        <w:tc>
          <w:tcPr>
            <w:tcW w:w="2063" w:type="dxa"/>
            <w:tcBorders>
              <w:top w:val="single" w:color="000000" w:sz="4" w:space="0"/>
              <w:left w:val="nil"/>
              <w:bottom w:val="single" w:color="000000" w:sz="4" w:space="0"/>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查阅资料，现场询问。</w:t>
            </w:r>
          </w:p>
        </w:tc>
        <w:tc>
          <w:tcPr>
            <w:tcW w:w="1617" w:type="dxa"/>
            <w:tcBorders>
              <w:top w:val="single" w:color="000000" w:sz="4" w:space="0"/>
              <w:left w:val="nil"/>
              <w:bottom w:val="single" w:color="000000" w:sz="4" w:space="0"/>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各成员单位</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22" w:hRule="atLeast"/>
          <w:jc w:val="center"/>
        </w:trPr>
        <w:tc>
          <w:tcPr>
            <w:tcW w:w="914" w:type="dxa"/>
            <w:vMerge w:val="restart"/>
            <w:tcBorders>
              <w:top w:val="single" w:color="000000" w:sz="4" w:space="0"/>
              <w:left w:val="single" w:color="000000" w:sz="4" w:space="0"/>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二、环境支持（50分）</w:t>
            </w:r>
          </w:p>
        </w:tc>
        <w:tc>
          <w:tcPr>
            <w:tcW w:w="1088" w:type="dxa"/>
            <w:vMerge w:val="restart"/>
            <w:tcBorders>
              <w:top w:val="single" w:color="000000" w:sz="4" w:space="0"/>
              <w:left w:val="nil"/>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（一）开展全民健康生活方式行动，构建全方位健康支持性环境。（20分）</w:t>
            </w:r>
          </w:p>
        </w:tc>
        <w:tc>
          <w:tcPr>
            <w:tcW w:w="2954" w:type="dxa"/>
            <w:vMerge w:val="restart"/>
            <w:tcBorders>
              <w:top w:val="single" w:color="000000" w:sz="4" w:space="0"/>
              <w:left w:val="nil"/>
              <w:right w:val="single" w:color="000000" w:sz="4" w:space="0"/>
            </w:tcBorders>
            <w:vAlign w:val="center"/>
          </w:tcPr>
          <w:p>
            <w:pPr>
              <w:spacing w:line="240" w:lineRule="exact"/>
              <w:jc w:val="both"/>
              <w:rPr>
                <w:rFonts w:ascii="仿宋" w:hAnsi="仿宋" w:eastAsia="仿宋"/>
                <w:sz w:val="21"/>
                <w:szCs w:val="21"/>
              </w:rPr>
            </w:pPr>
            <w:r>
              <w:rPr>
                <w:rFonts w:hint="eastAsia" w:ascii="仿宋" w:hAnsi="仿宋" w:eastAsia="仿宋"/>
                <w:sz w:val="21"/>
                <w:szCs w:val="21"/>
              </w:rPr>
              <w:t>1.开展健康家庭、社区、单位、学校、食堂、餐厅（酒店）建设，数量逐年增加。（健康家庭10条标准）</w:t>
            </w:r>
          </w:p>
        </w:tc>
        <w:tc>
          <w:tcPr>
            <w:tcW w:w="5946" w:type="dxa"/>
            <w:tcBorders>
              <w:top w:val="single" w:color="000000" w:sz="4" w:space="0"/>
              <w:left w:val="nil"/>
              <w:bottom w:val="single" w:color="000000" w:sz="4" w:space="0"/>
              <w:right w:val="single" w:color="000000" w:sz="4" w:space="0"/>
            </w:tcBorders>
            <w:vAlign w:val="center"/>
          </w:tcPr>
          <w:p>
            <w:pPr>
              <w:spacing w:line="240" w:lineRule="exact"/>
              <w:jc w:val="both"/>
              <w:rPr>
                <w:rFonts w:ascii="仿宋" w:hAnsi="仿宋" w:eastAsia="仿宋"/>
                <w:sz w:val="21"/>
                <w:szCs w:val="21"/>
              </w:rPr>
            </w:pPr>
            <w:r>
              <w:rPr>
                <w:rFonts w:hint="eastAsia" w:ascii="仿宋" w:hAnsi="仿宋" w:eastAsia="仿宋"/>
                <w:sz w:val="21"/>
                <w:szCs w:val="21"/>
              </w:rPr>
              <w:t>（1）开展健康家庭活动的健康社区占辖区社区总数的30%以上，2分；20-30%，1分；20%以下不得分。</w:t>
            </w:r>
          </w:p>
        </w:tc>
        <w:tc>
          <w:tcPr>
            <w:tcW w:w="776" w:type="dxa"/>
            <w:vMerge w:val="restart"/>
            <w:tcBorders>
              <w:top w:val="single" w:color="000000" w:sz="4" w:space="0"/>
              <w:left w:val="nil"/>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8</w:t>
            </w:r>
          </w:p>
        </w:tc>
        <w:tc>
          <w:tcPr>
            <w:tcW w:w="2063" w:type="dxa"/>
            <w:vMerge w:val="restart"/>
            <w:tcBorders>
              <w:top w:val="single" w:color="000000" w:sz="4" w:space="0"/>
              <w:left w:val="nil"/>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查看健康支撑性环境的名单（验收命名文件），现场随机抽查每类1个。</w:t>
            </w:r>
          </w:p>
        </w:tc>
        <w:tc>
          <w:tcPr>
            <w:tcW w:w="1617" w:type="dxa"/>
            <w:vMerge w:val="restart"/>
            <w:tcBorders>
              <w:top w:val="single" w:color="000000" w:sz="4" w:space="0"/>
              <w:left w:val="nil"/>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市教科局、市爱卫办、市食药监局、市健康教育所、各乡镇、街道</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84" w:hRule="atLeast"/>
          <w:jc w:val="center"/>
        </w:trPr>
        <w:tc>
          <w:tcPr>
            <w:tcW w:w="914" w:type="dxa"/>
            <w:vMerge w:val="continue"/>
            <w:tcBorders>
              <w:left w:val="single" w:color="000000" w:sz="4" w:space="0"/>
              <w:right w:val="single" w:color="000000" w:sz="4" w:space="0"/>
            </w:tcBorders>
            <w:vAlign w:val="center"/>
          </w:tcPr>
          <w:p>
            <w:pPr>
              <w:spacing w:line="240" w:lineRule="exact"/>
              <w:jc w:val="center"/>
              <w:rPr>
                <w:rFonts w:ascii="仿宋" w:hAnsi="仿宋" w:eastAsia="仿宋"/>
                <w:sz w:val="21"/>
                <w:szCs w:val="21"/>
              </w:rPr>
            </w:pPr>
          </w:p>
        </w:tc>
        <w:tc>
          <w:tcPr>
            <w:tcW w:w="1088" w:type="dxa"/>
            <w:vMerge w:val="continue"/>
            <w:tcBorders>
              <w:left w:val="nil"/>
              <w:right w:val="single" w:color="000000" w:sz="4" w:space="0"/>
            </w:tcBorders>
            <w:vAlign w:val="center"/>
          </w:tcPr>
          <w:p>
            <w:pPr>
              <w:spacing w:line="240" w:lineRule="exact"/>
              <w:jc w:val="center"/>
              <w:rPr>
                <w:rFonts w:ascii="仿宋" w:hAnsi="仿宋" w:eastAsia="仿宋"/>
                <w:sz w:val="21"/>
                <w:szCs w:val="21"/>
              </w:rPr>
            </w:pPr>
          </w:p>
        </w:tc>
        <w:tc>
          <w:tcPr>
            <w:tcW w:w="2954" w:type="dxa"/>
            <w:vMerge w:val="continue"/>
            <w:tcBorders>
              <w:left w:val="nil"/>
              <w:right w:val="single" w:color="000000" w:sz="4" w:space="0"/>
            </w:tcBorders>
            <w:vAlign w:val="center"/>
          </w:tcPr>
          <w:p>
            <w:pPr>
              <w:spacing w:line="240" w:lineRule="exact"/>
              <w:jc w:val="both"/>
              <w:rPr>
                <w:rFonts w:ascii="仿宋" w:hAnsi="仿宋" w:eastAsia="仿宋"/>
                <w:sz w:val="21"/>
                <w:szCs w:val="21"/>
              </w:rPr>
            </w:pPr>
          </w:p>
        </w:tc>
        <w:tc>
          <w:tcPr>
            <w:tcW w:w="5946" w:type="dxa"/>
            <w:tcBorders>
              <w:top w:val="single" w:color="000000" w:sz="4" w:space="0"/>
              <w:left w:val="nil"/>
              <w:bottom w:val="single" w:color="000000" w:sz="4" w:space="0"/>
              <w:right w:val="single" w:color="000000" w:sz="4" w:space="0"/>
            </w:tcBorders>
            <w:vAlign w:val="center"/>
          </w:tcPr>
          <w:p>
            <w:pPr>
              <w:spacing w:line="240" w:lineRule="exact"/>
              <w:jc w:val="both"/>
              <w:rPr>
                <w:rFonts w:ascii="仿宋" w:hAnsi="仿宋" w:eastAsia="仿宋"/>
                <w:sz w:val="21"/>
                <w:szCs w:val="21"/>
              </w:rPr>
            </w:pPr>
            <w:r>
              <w:rPr>
                <w:rFonts w:hint="eastAsia" w:ascii="仿宋" w:hAnsi="仿宋" w:eastAsia="仿宋"/>
                <w:sz w:val="21"/>
                <w:szCs w:val="21"/>
              </w:rPr>
              <w:t>（2）健康单位、学校、餐饮（食堂、餐厅、酒店）每类不少于5个，每类2分；每少一个扣0.5分。</w:t>
            </w:r>
          </w:p>
        </w:tc>
        <w:tc>
          <w:tcPr>
            <w:tcW w:w="776" w:type="dxa"/>
            <w:vMerge w:val="continue"/>
            <w:tcBorders>
              <w:left w:val="nil"/>
              <w:right w:val="single" w:color="000000" w:sz="4" w:space="0"/>
            </w:tcBorders>
            <w:vAlign w:val="center"/>
          </w:tcPr>
          <w:p>
            <w:pPr>
              <w:spacing w:line="240" w:lineRule="exact"/>
              <w:jc w:val="center"/>
              <w:rPr>
                <w:rFonts w:ascii="仿宋" w:hAnsi="仿宋" w:eastAsia="仿宋"/>
                <w:sz w:val="21"/>
                <w:szCs w:val="21"/>
              </w:rPr>
            </w:pPr>
          </w:p>
        </w:tc>
        <w:tc>
          <w:tcPr>
            <w:tcW w:w="2063" w:type="dxa"/>
            <w:vMerge w:val="continue"/>
            <w:tcBorders>
              <w:left w:val="nil"/>
              <w:right w:val="single" w:color="000000" w:sz="4" w:space="0"/>
            </w:tcBorders>
            <w:vAlign w:val="center"/>
          </w:tcPr>
          <w:p>
            <w:pPr>
              <w:spacing w:line="240" w:lineRule="exact"/>
              <w:jc w:val="center"/>
              <w:rPr>
                <w:rFonts w:ascii="仿宋" w:hAnsi="仿宋" w:eastAsia="仿宋"/>
                <w:sz w:val="21"/>
                <w:szCs w:val="21"/>
              </w:rPr>
            </w:pPr>
          </w:p>
        </w:tc>
        <w:tc>
          <w:tcPr>
            <w:tcW w:w="1617" w:type="dxa"/>
            <w:vMerge w:val="continue"/>
            <w:tcBorders>
              <w:left w:val="nil"/>
              <w:right w:val="single" w:color="000000" w:sz="4" w:space="0"/>
            </w:tcBorders>
            <w:vAlign w:val="center"/>
          </w:tcPr>
          <w:p>
            <w:pPr>
              <w:spacing w:line="240" w:lineRule="exact"/>
              <w:jc w:val="center"/>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462" w:hRule="atLeast"/>
          <w:jc w:val="center"/>
        </w:trPr>
        <w:tc>
          <w:tcPr>
            <w:tcW w:w="914" w:type="dxa"/>
            <w:vMerge w:val="continue"/>
            <w:tcBorders>
              <w:left w:val="single" w:color="000000" w:sz="4" w:space="0"/>
              <w:right w:val="single" w:color="000000" w:sz="4" w:space="0"/>
            </w:tcBorders>
            <w:vAlign w:val="center"/>
          </w:tcPr>
          <w:p>
            <w:pPr>
              <w:spacing w:line="240" w:lineRule="exact"/>
              <w:jc w:val="center"/>
              <w:rPr>
                <w:rFonts w:ascii="仿宋" w:hAnsi="仿宋" w:eastAsia="仿宋"/>
                <w:sz w:val="21"/>
                <w:szCs w:val="21"/>
              </w:rPr>
            </w:pPr>
          </w:p>
        </w:tc>
        <w:tc>
          <w:tcPr>
            <w:tcW w:w="1088" w:type="dxa"/>
            <w:vMerge w:val="continue"/>
            <w:tcBorders>
              <w:left w:val="nil"/>
              <w:right w:val="single" w:color="000000" w:sz="4" w:space="0"/>
            </w:tcBorders>
            <w:vAlign w:val="center"/>
          </w:tcPr>
          <w:p>
            <w:pPr>
              <w:spacing w:line="240" w:lineRule="exact"/>
              <w:jc w:val="center"/>
              <w:rPr>
                <w:rFonts w:ascii="仿宋" w:hAnsi="仿宋" w:eastAsia="仿宋"/>
                <w:sz w:val="21"/>
                <w:szCs w:val="21"/>
              </w:rPr>
            </w:pPr>
          </w:p>
        </w:tc>
        <w:tc>
          <w:tcPr>
            <w:tcW w:w="2954" w:type="dxa"/>
            <w:vMerge w:val="continue"/>
            <w:tcBorders>
              <w:left w:val="nil"/>
              <w:bottom w:val="single" w:color="000000" w:sz="4" w:space="0"/>
              <w:right w:val="single" w:color="000000" w:sz="4" w:space="0"/>
            </w:tcBorders>
            <w:vAlign w:val="center"/>
          </w:tcPr>
          <w:p>
            <w:pPr>
              <w:spacing w:line="240" w:lineRule="exact"/>
              <w:jc w:val="both"/>
              <w:rPr>
                <w:rFonts w:ascii="仿宋" w:hAnsi="仿宋" w:eastAsia="仿宋"/>
                <w:sz w:val="21"/>
                <w:szCs w:val="21"/>
              </w:rPr>
            </w:pPr>
          </w:p>
        </w:tc>
        <w:tc>
          <w:tcPr>
            <w:tcW w:w="5946" w:type="dxa"/>
            <w:tcBorders>
              <w:top w:val="single" w:color="000000" w:sz="4" w:space="0"/>
              <w:left w:val="nil"/>
              <w:bottom w:val="single" w:color="000000" w:sz="4" w:space="0"/>
              <w:right w:val="single" w:color="000000" w:sz="4" w:space="0"/>
            </w:tcBorders>
            <w:vAlign w:val="center"/>
          </w:tcPr>
          <w:p>
            <w:pPr>
              <w:spacing w:line="240" w:lineRule="exact"/>
              <w:jc w:val="both"/>
              <w:rPr>
                <w:rFonts w:ascii="仿宋" w:hAnsi="仿宋" w:eastAsia="仿宋"/>
                <w:sz w:val="21"/>
                <w:szCs w:val="21"/>
              </w:rPr>
            </w:pPr>
            <w:r>
              <w:rPr>
                <w:rFonts w:hint="eastAsia" w:ascii="仿宋" w:hAnsi="仿宋" w:eastAsia="仿宋"/>
                <w:sz w:val="21"/>
                <w:szCs w:val="21"/>
              </w:rPr>
              <w:t>（3）现场评估发现每类中有1个不达标，该类不得分。</w:t>
            </w:r>
          </w:p>
        </w:tc>
        <w:tc>
          <w:tcPr>
            <w:tcW w:w="776" w:type="dxa"/>
            <w:vMerge w:val="continue"/>
            <w:tcBorders>
              <w:left w:val="nil"/>
              <w:bottom w:val="single" w:color="000000" w:sz="4" w:space="0"/>
              <w:right w:val="single" w:color="000000" w:sz="4" w:space="0"/>
            </w:tcBorders>
            <w:vAlign w:val="center"/>
          </w:tcPr>
          <w:p>
            <w:pPr>
              <w:spacing w:line="240" w:lineRule="exact"/>
              <w:jc w:val="center"/>
              <w:rPr>
                <w:rFonts w:ascii="仿宋" w:hAnsi="仿宋" w:eastAsia="仿宋"/>
                <w:sz w:val="21"/>
                <w:szCs w:val="21"/>
              </w:rPr>
            </w:pPr>
          </w:p>
        </w:tc>
        <w:tc>
          <w:tcPr>
            <w:tcW w:w="2063" w:type="dxa"/>
            <w:vMerge w:val="continue"/>
            <w:tcBorders>
              <w:left w:val="nil"/>
              <w:bottom w:val="single" w:color="000000" w:sz="4" w:space="0"/>
              <w:right w:val="single" w:color="000000" w:sz="4" w:space="0"/>
            </w:tcBorders>
            <w:vAlign w:val="center"/>
          </w:tcPr>
          <w:p>
            <w:pPr>
              <w:spacing w:line="240" w:lineRule="exact"/>
              <w:jc w:val="center"/>
              <w:rPr>
                <w:rFonts w:ascii="仿宋" w:hAnsi="仿宋" w:eastAsia="仿宋"/>
                <w:sz w:val="21"/>
                <w:szCs w:val="21"/>
              </w:rPr>
            </w:pPr>
          </w:p>
        </w:tc>
        <w:tc>
          <w:tcPr>
            <w:tcW w:w="1617" w:type="dxa"/>
            <w:vMerge w:val="continue"/>
            <w:tcBorders>
              <w:left w:val="nil"/>
              <w:bottom w:val="single" w:color="000000" w:sz="4" w:space="0"/>
              <w:right w:val="single" w:color="000000" w:sz="4" w:space="0"/>
            </w:tcBorders>
            <w:vAlign w:val="center"/>
          </w:tcPr>
          <w:p>
            <w:pPr>
              <w:spacing w:line="240" w:lineRule="exact"/>
              <w:jc w:val="center"/>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02" w:hRule="atLeast"/>
          <w:jc w:val="center"/>
        </w:trPr>
        <w:tc>
          <w:tcPr>
            <w:tcW w:w="914" w:type="dxa"/>
            <w:vMerge w:val="continue"/>
            <w:tcBorders>
              <w:left w:val="single" w:color="000000" w:sz="4" w:space="0"/>
              <w:right w:val="single" w:color="000000" w:sz="4" w:space="0"/>
            </w:tcBorders>
            <w:vAlign w:val="center"/>
          </w:tcPr>
          <w:p>
            <w:pPr>
              <w:spacing w:line="240" w:lineRule="exact"/>
              <w:jc w:val="center"/>
              <w:rPr>
                <w:rFonts w:ascii="仿宋" w:hAnsi="仿宋" w:eastAsia="仿宋"/>
                <w:sz w:val="21"/>
                <w:szCs w:val="21"/>
              </w:rPr>
            </w:pPr>
          </w:p>
        </w:tc>
        <w:tc>
          <w:tcPr>
            <w:tcW w:w="1088" w:type="dxa"/>
            <w:vMerge w:val="continue"/>
            <w:tcBorders>
              <w:left w:val="nil"/>
              <w:right w:val="single" w:color="000000" w:sz="4" w:space="0"/>
            </w:tcBorders>
            <w:vAlign w:val="center"/>
          </w:tcPr>
          <w:p>
            <w:pPr>
              <w:spacing w:line="240" w:lineRule="exact"/>
              <w:jc w:val="center"/>
              <w:rPr>
                <w:rFonts w:ascii="仿宋" w:hAnsi="仿宋" w:eastAsia="仿宋"/>
                <w:sz w:val="21"/>
                <w:szCs w:val="21"/>
              </w:rPr>
            </w:pPr>
          </w:p>
        </w:tc>
        <w:tc>
          <w:tcPr>
            <w:tcW w:w="2954" w:type="dxa"/>
            <w:vMerge w:val="restart"/>
            <w:tcBorders>
              <w:top w:val="single" w:color="000000" w:sz="4" w:space="0"/>
              <w:left w:val="nil"/>
              <w:right w:val="single" w:color="000000" w:sz="4" w:space="0"/>
            </w:tcBorders>
            <w:vAlign w:val="center"/>
          </w:tcPr>
          <w:p>
            <w:pPr>
              <w:spacing w:line="240" w:lineRule="exact"/>
              <w:jc w:val="both"/>
              <w:rPr>
                <w:rFonts w:ascii="仿宋" w:hAnsi="仿宋" w:eastAsia="仿宋"/>
                <w:sz w:val="21"/>
                <w:szCs w:val="21"/>
              </w:rPr>
            </w:pPr>
            <w:r>
              <w:rPr>
                <w:rFonts w:hint="eastAsia" w:ascii="仿宋" w:hAnsi="仿宋" w:eastAsia="仿宋"/>
                <w:sz w:val="21"/>
                <w:szCs w:val="21"/>
              </w:rPr>
              <w:t>2.开展健康主题公园、步道、小屋、健康一条街等健康支持性环境建设，数量逐年增加</w:t>
            </w:r>
          </w:p>
        </w:tc>
        <w:tc>
          <w:tcPr>
            <w:tcW w:w="5946" w:type="dxa"/>
            <w:tcBorders>
              <w:top w:val="single" w:color="000000" w:sz="4" w:space="0"/>
              <w:left w:val="nil"/>
              <w:bottom w:val="single" w:color="000000" w:sz="4" w:space="0"/>
              <w:right w:val="single" w:color="000000" w:sz="4" w:space="0"/>
            </w:tcBorders>
            <w:vAlign w:val="center"/>
          </w:tcPr>
          <w:p>
            <w:pPr>
              <w:spacing w:line="240" w:lineRule="exact"/>
              <w:jc w:val="both"/>
              <w:rPr>
                <w:rFonts w:ascii="仿宋" w:hAnsi="仿宋" w:eastAsia="仿宋"/>
                <w:sz w:val="21"/>
                <w:szCs w:val="21"/>
              </w:rPr>
            </w:pPr>
            <w:r>
              <w:rPr>
                <w:rFonts w:hint="eastAsia" w:ascii="仿宋" w:hAnsi="仿宋" w:eastAsia="仿宋"/>
                <w:sz w:val="21"/>
                <w:szCs w:val="21"/>
              </w:rPr>
              <w:t>（1）健康主题公园、步道、小屋、一条街等，每建设一类，1分，满分4分。</w:t>
            </w:r>
          </w:p>
        </w:tc>
        <w:tc>
          <w:tcPr>
            <w:tcW w:w="776" w:type="dxa"/>
            <w:vMerge w:val="restart"/>
            <w:tcBorders>
              <w:top w:val="single" w:color="000000" w:sz="4" w:space="0"/>
              <w:left w:val="nil"/>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4</w:t>
            </w:r>
          </w:p>
        </w:tc>
        <w:tc>
          <w:tcPr>
            <w:tcW w:w="2063" w:type="dxa"/>
            <w:vMerge w:val="restart"/>
            <w:tcBorders>
              <w:top w:val="single" w:color="000000" w:sz="4" w:space="0"/>
              <w:left w:val="nil"/>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查看健康支撑性环境的名单，现场随机抽查每类1个。</w:t>
            </w:r>
          </w:p>
        </w:tc>
        <w:tc>
          <w:tcPr>
            <w:tcW w:w="1617" w:type="dxa"/>
            <w:vMerge w:val="restart"/>
            <w:tcBorders>
              <w:top w:val="single" w:color="000000" w:sz="4" w:space="0"/>
              <w:left w:val="nil"/>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市交通局、市城市管理综合执法大队、市园林绿化管理中心、文湖景区管理中心</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352" w:hRule="atLeast"/>
          <w:jc w:val="center"/>
        </w:trPr>
        <w:tc>
          <w:tcPr>
            <w:tcW w:w="914" w:type="dxa"/>
            <w:vMerge w:val="continue"/>
            <w:tcBorders>
              <w:left w:val="single" w:color="000000" w:sz="4" w:space="0"/>
              <w:right w:val="single" w:color="000000" w:sz="4" w:space="0"/>
            </w:tcBorders>
            <w:vAlign w:val="center"/>
          </w:tcPr>
          <w:p>
            <w:pPr>
              <w:spacing w:line="240" w:lineRule="exact"/>
              <w:jc w:val="center"/>
              <w:rPr>
                <w:rFonts w:ascii="仿宋" w:hAnsi="仿宋" w:eastAsia="仿宋"/>
                <w:sz w:val="21"/>
                <w:szCs w:val="21"/>
              </w:rPr>
            </w:pPr>
          </w:p>
        </w:tc>
        <w:tc>
          <w:tcPr>
            <w:tcW w:w="1088" w:type="dxa"/>
            <w:vMerge w:val="continue"/>
            <w:tcBorders>
              <w:left w:val="single" w:color="auto" w:sz="0" w:space="0"/>
              <w:right w:val="single" w:color="000000" w:sz="4" w:space="0"/>
            </w:tcBorders>
            <w:vAlign w:val="center"/>
          </w:tcPr>
          <w:p>
            <w:pPr>
              <w:spacing w:line="240" w:lineRule="exact"/>
              <w:jc w:val="center"/>
              <w:rPr>
                <w:rFonts w:ascii="仿宋" w:hAnsi="仿宋" w:eastAsia="仿宋"/>
                <w:sz w:val="21"/>
                <w:szCs w:val="21"/>
              </w:rPr>
            </w:pPr>
          </w:p>
        </w:tc>
        <w:tc>
          <w:tcPr>
            <w:tcW w:w="2954" w:type="dxa"/>
            <w:vMerge w:val="continue"/>
            <w:tcBorders>
              <w:left w:val="single" w:color="auto" w:sz="0" w:space="0"/>
              <w:bottom w:val="single" w:color="000000" w:sz="4" w:space="0"/>
              <w:right w:val="single" w:color="000000" w:sz="4" w:space="0"/>
            </w:tcBorders>
            <w:vAlign w:val="center"/>
          </w:tcPr>
          <w:p>
            <w:pPr>
              <w:spacing w:line="240" w:lineRule="exact"/>
              <w:jc w:val="both"/>
              <w:rPr>
                <w:rFonts w:ascii="仿宋" w:hAnsi="仿宋" w:eastAsia="仿宋"/>
                <w:sz w:val="21"/>
                <w:szCs w:val="21"/>
              </w:rPr>
            </w:pPr>
          </w:p>
        </w:tc>
        <w:tc>
          <w:tcPr>
            <w:tcW w:w="5946" w:type="dxa"/>
            <w:tcBorders>
              <w:top w:val="single" w:color="000000" w:sz="4" w:space="0"/>
              <w:left w:val="single" w:color="auto" w:sz="0" w:space="0"/>
              <w:bottom w:val="inset" w:color="auto" w:sz="6" w:space="0"/>
              <w:right w:val="single" w:color="000000" w:sz="4" w:space="0"/>
            </w:tcBorders>
            <w:vAlign w:val="center"/>
          </w:tcPr>
          <w:p>
            <w:pPr>
              <w:spacing w:line="240" w:lineRule="exact"/>
              <w:jc w:val="both"/>
              <w:rPr>
                <w:rFonts w:ascii="仿宋" w:hAnsi="仿宋" w:eastAsia="仿宋"/>
                <w:sz w:val="21"/>
                <w:szCs w:val="21"/>
              </w:rPr>
            </w:pPr>
            <w:r>
              <w:rPr>
                <w:rFonts w:hint="eastAsia" w:ascii="仿宋" w:hAnsi="仿宋" w:eastAsia="仿宋"/>
                <w:sz w:val="21"/>
                <w:szCs w:val="21"/>
              </w:rPr>
              <w:t>（2）现场评估发现1个不达标，该类不得分。</w:t>
            </w:r>
          </w:p>
        </w:tc>
        <w:tc>
          <w:tcPr>
            <w:tcW w:w="776" w:type="dxa"/>
            <w:vMerge w:val="continue"/>
            <w:tcBorders>
              <w:left w:val="single" w:color="auto" w:sz="0" w:space="0"/>
              <w:bottom w:val="single" w:color="000000" w:sz="4" w:space="0"/>
              <w:right w:val="single" w:color="000000" w:sz="4" w:space="0"/>
            </w:tcBorders>
            <w:vAlign w:val="center"/>
          </w:tcPr>
          <w:p>
            <w:pPr>
              <w:spacing w:line="240" w:lineRule="exact"/>
              <w:jc w:val="center"/>
              <w:rPr>
                <w:rFonts w:ascii="仿宋" w:hAnsi="仿宋" w:eastAsia="仿宋"/>
                <w:sz w:val="21"/>
                <w:szCs w:val="21"/>
              </w:rPr>
            </w:pPr>
          </w:p>
        </w:tc>
        <w:tc>
          <w:tcPr>
            <w:tcW w:w="2063" w:type="dxa"/>
            <w:vMerge w:val="continue"/>
            <w:tcBorders>
              <w:left w:val="single" w:color="auto" w:sz="0" w:space="0"/>
              <w:bottom w:val="single" w:color="000000" w:sz="4" w:space="0"/>
              <w:right w:val="single" w:color="000000" w:sz="4" w:space="0"/>
            </w:tcBorders>
            <w:vAlign w:val="center"/>
          </w:tcPr>
          <w:p>
            <w:pPr>
              <w:spacing w:line="240" w:lineRule="exact"/>
              <w:jc w:val="center"/>
              <w:rPr>
                <w:rFonts w:ascii="仿宋" w:hAnsi="仿宋" w:eastAsia="仿宋"/>
                <w:sz w:val="21"/>
                <w:szCs w:val="21"/>
              </w:rPr>
            </w:pPr>
          </w:p>
        </w:tc>
        <w:tc>
          <w:tcPr>
            <w:tcW w:w="1617" w:type="dxa"/>
            <w:vMerge w:val="continue"/>
            <w:tcBorders>
              <w:left w:val="single" w:color="auto" w:sz="0" w:space="0"/>
              <w:bottom w:val="inset" w:color="auto" w:sz="6" w:space="0"/>
              <w:right w:val="single" w:color="000000" w:sz="4" w:space="0"/>
            </w:tcBorders>
            <w:vAlign w:val="center"/>
          </w:tcPr>
          <w:p>
            <w:pPr>
              <w:spacing w:line="240" w:lineRule="exact"/>
              <w:jc w:val="center"/>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02" w:hRule="atLeast"/>
          <w:jc w:val="center"/>
        </w:trPr>
        <w:tc>
          <w:tcPr>
            <w:tcW w:w="914" w:type="dxa"/>
            <w:vMerge w:val="continue"/>
            <w:tcBorders>
              <w:left w:val="single" w:color="000000" w:sz="4" w:space="0"/>
              <w:right w:val="single" w:color="000000" w:sz="4" w:space="0"/>
            </w:tcBorders>
            <w:vAlign w:val="center"/>
          </w:tcPr>
          <w:p>
            <w:pPr>
              <w:spacing w:line="240" w:lineRule="exact"/>
              <w:jc w:val="center"/>
              <w:rPr>
                <w:rFonts w:ascii="仿宋" w:hAnsi="仿宋" w:eastAsia="仿宋"/>
                <w:sz w:val="21"/>
                <w:szCs w:val="21"/>
              </w:rPr>
            </w:pPr>
          </w:p>
        </w:tc>
        <w:tc>
          <w:tcPr>
            <w:tcW w:w="1088" w:type="dxa"/>
            <w:vMerge w:val="continue"/>
            <w:tcBorders>
              <w:left w:val="nil"/>
              <w:right w:val="single" w:color="000000" w:sz="4" w:space="0"/>
            </w:tcBorders>
            <w:vAlign w:val="center"/>
          </w:tcPr>
          <w:p>
            <w:pPr>
              <w:spacing w:line="240" w:lineRule="exact"/>
              <w:jc w:val="center"/>
              <w:rPr>
                <w:rFonts w:ascii="仿宋" w:hAnsi="仿宋" w:eastAsia="仿宋"/>
                <w:sz w:val="21"/>
                <w:szCs w:val="21"/>
              </w:rPr>
            </w:pPr>
          </w:p>
        </w:tc>
        <w:tc>
          <w:tcPr>
            <w:tcW w:w="2954" w:type="dxa"/>
            <w:vMerge w:val="restart"/>
            <w:tcBorders>
              <w:top w:val="single" w:color="000000" w:sz="4" w:space="0"/>
              <w:left w:val="nil"/>
              <w:right w:val="single" w:color="000000" w:sz="4" w:space="0"/>
            </w:tcBorders>
            <w:vAlign w:val="center"/>
          </w:tcPr>
          <w:p>
            <w:pPr>
              <w:spacing w:line="240" w:lineRule="exact"/>
              <w:jc w:val="both"/>
              <w:rPr>
                <w:rFonts w:ascii="仿宋" w:hAnsi="仿宋" w:eastAsia="仿宋"/>
                <w:sz w:val="21"/>
                <w:szCs w:val="21"/>
              </w:rPr>
            </w:pPr>
            <w:r>
              <w:rPr>
                <w:rFonts w:hint="eastAsia" w:ascii="仿宋" w:hAnsi="仿宋" w:eastAsia="仿宋"/>
                <w:sz w:val="21"/>
                <w:szCs w:val="21"/>
              </w:rPr>
              <w:t>3.开展“三减三健”（减盐减油减糖、健康口腔、健康体重、健康骨骼）专项行动。</w:t>
            </w:r>
          </w:p>
        </w:tc>
        <w:tc>
          <w:tcPr>
            <w:tcW w:w="5946" w:type="dxa"/>
            <w:tcBorders>
              <w:top w:val="single" w:color="000000" w:sz="4" w:space="0"/>
              <w:left w:val="nil"/>
              <w:bottom w:val="single" w:color="000000" w:sz="4" w:space="0"/>
              <w:right w:val="single" w:color="000000" w:sz="4" w:space="0"/>
            </w:tcBorders>
            <w:vAlign w:val="center"/>
          </w:tcPr>
          <w:p>
            <w:pPr>
              <w:spacing w:line="240" w:lineRule="exact"/>
              <w:jc w:val="both"/>
              <w:rPr>
                <w:rFonts w:ascii="仿宋" w:hAnsi="仿宋" w:eastAsia="仿宋"/>
                <w:sz w:val="21"/>
                <w:szCs w:val="21"/>
              </w:rPr>
            </w:pPr>
            <w:r>
              <w:rPr>
                <w:rFonts w:hint="eastAsia" w:ascii="仿宋" w:hAnsi="仿宋" w:eastAsia="仿宋"/>
                <w:sz w:val="21"/>
                <w:szCs w:val="21"/>
              </w:rPr>
              <w:t>（1）开展全民健康生活方式的“三减三健”专项行动，每开展一项得1分，满分6分。</w:t>
            </w:r>
          </w:p>
        </w:tc>
        <w:tc>
          <w:tcPr>
            <w:tcW w:w="776" w:type="dxa"/>
            <w:vMerge w:val="restart"/>
            <w:tcBorders>
              <w:top w:val="single" w:color="000000" w:sz="4" w:space="0"/>
              <w:left w:val="nil"/>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8</w:t>
            </w:r>
          </w:p>
        </w:tc>
        <w:tc>
          <w:tcPr>
            <w:tcW w:w="2063" w:type="dxa"/>
            <w:vMerge w:val="restart"/>
            <w:tcBorders>
              <w:top w:val="single" w:color="000000" w:sz="4" w:space="0"/>
              <w:left w:val="nil"/>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查阅社会因素调查报告和相关资料。</w:t>
            </w:r>
          </w:p>
        </w:tc>
        <w:tc>
          <w:tcPr>
            <w:tcW w:w="1617" w:type="dxa"/>
            <w:vMerge w:val="restart"/>
            <w:tcBorders>
              <w:top w:val="single" w:color="auto" w:sz="4" w:space="0"/>
              <w:left w:val="nil"/>
              <w:right w:val="single" w:color="000000" w:sz="4" w:space="0"/>
            </w:tcBorders>
            <w:vAlign w:val="center"/>
          </w:tcPr>
          <w:p>
            <w:pPr>
              <w:spacing w:line="240" w:lineRule="exact"/>
              <w:jc w:val="center"/>
              <w:rPr>
                <w:rFonts w:ascii="仿宋" w:hAnsi="仿宋" w:eastAsia="仿宋"/>
                <w:sz w:val="21"/>
                <w:szCs w:val="21"/>
              </w:rPr>
            </w:pPr>
            <w:r>
              <w:rPr>
                <w:rFonts w:hint="eastAsia" w:ascii="仿宋" w:hAnsi="仿宋" w:eastAsia="仿宋"/>
                <w:sz w:val="21"/>
                <w:szCs w:val="21"/>
              </w:rPr>
              <w:t>市政府办</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02" w:hRule="atLeast"/>
          <w:jc w:val="center"/>
        </w:trPr>
        <w:tc>
          <w:tcPr>
            <w:tcW w:w="914" w:type="dxa"/>
            <w:vMerge w:val="continue"/>
            <w:tcBorders>
              <w:left w:val="single" w:color="000000" w:sz="4" w:space="0"/>
              <w:bottom w:val="single" w:color="000000" w:sz="4" w:space="0"/>
              <w:right w:val="single" w:color="000000" w:sz="4" w:space="0"/>
            </w:tcBorders>
            <w:vAlign w:val="center"/>
          </w:tcPr>
          <w:p>
            <w:pPr>
              <w:spacing w:line="240" w:lineRule="exact"/>
              <w:jc w:val="center"/>
              <w:rPr>
                <w:rFonts w:ascii="仿宋" w:hAnsi="仿宋" w:eastAsia="仿宋"/>
                <w:sz w:val="21"/>
                <w:szCs w:val="21"/>
              </w:rPr>
            </w:pPr>
          </w:p>
        </w:tc>
        <w:tc>
          <w:tcPr>
            <w:tcW w:w="1088" w:type="dxa"/>
            <w:vMerge w:val="continue"/>
            <w:tcBorders>
              <w:left w:val="nil"/>
              <w:bottom w:val="single" w:color="000000" w:sz="4" w:space="0"/>
              <w:right w:val="single" w:color="000000" w:sz="4" w:space="0"/>
            </w:tcBorders>
            <w:vAlign w:val="center"/>
          </w:tcPr>
          <w:p>
            <w:pPr>
              <w:spacing w:line="240" w:lineRule="exact"/>
              <w:jc w:val="center"/>
              <w:rPr>
                <w:rFonts w:ascii="仿宋" w:hAnsi="仿宋" w:eastAsia="仿宋"/>
                <w:sz w:val="21"/>
                <w:szCs w:val="21"/>
              </w:rPr>
            </w:pPr>
          </w:p>
        </w:tc>
        <w:tc>
          <w:tcPr>
            <w:tcW w:w="2954" w:type="dxa"/>
            <w:vMerge w:val="continue"/>
            <w:tcBorders>
              <w:left w:val="nil"/>
              <w:bottom w:val="single" w:color="000000" w:sz="4" w:space="0"/>
              <w:right w:val="single" w:color="000000" w:sz="4" w:space="0"/>
            </w:tcBorders>
            <w:vAlign w:val="center"/>
          </w:tcPr>
          <w:p>
            <w:pPr>
              <w:spacing w:line="240" w:lineRule="exact"/>
              <w:jc w:val="both"/>
              <w:rPr>
                <w:rFonts w:hint="eastAsia" w:ascii="仿宋" w:hAnsi="仿宋" w:eastAsia="仿宋"/>
                <w:sz w:val="21"/>
                <w:szCs w:val="21"/>
              </w:rPr>
            </w:pPr>
          </w:p>
        </w:tc>
        <w:tc>
          <w:tcPr>
            <w:tcW w:w="5946" w:type="dxa"/>
            <w:tcBorders>
              <w:top w:val="single" w:color="000000" w:sz="4" w:space="0"/>
              <w:left w:val="nil"/>
              <w:bottom w:val="single" w:color="000000" w:sz="4" w:space="0"/>
              <w:right w:val="single" w:color="000000" w:sz="4" w:space="0"/>
            </w:tcBorders>
            <w:vAlign w:val="center"/>
          </w:tcPr>
          <w:p>
            <w:pPr>
              <w:spacing w:line="240" w:lineRule="exact"/>
              <w:jc w:val="both"/>
            </w:pPr>
            <w:r>
              <w:rPr>
                <w:rFonts w:hint="eastAsia" w:ascii="仿宋" w:hAnsi="仿宋" w:eastAsia="仿宋"/>
                <w:sz w:val="21"/>
                <w:szCs w:val="21"/>
              </w:rPr>
              <w:t>（2）食盐与食用油的摄入量低于本省平均水平3%以上，各1分。</w:t>
            </w:r>
          </w:p>
          <w:p>
            <w:pPr>
              <w:spacing w:line="240" w:lineRule="exact"/>
              <w:jc w:val="both"/>
              <w:rPr>
                <w:rFonts w:hint="eastAsia" w:ascii="仿宋" w:hAnsi="仿宋" w:eastAsia="仿宋"/>
                <w:sz w:val="21"/>
                <w:szCs w:val="21"/>
              </w:rPr>
            </w:pPr>
          </w:p>
        </w:tc>
        <w:tc>
          <w:tcPr>
            <w:tcW w:w="776" w:type="dxa"/>
            <w:vMerge w:val="continue"/>
            <w:tcBorders>
              <w:left w:val="nil"/>
              <w:bottom w:val="single" w:color="000000" w:sz="4" w:space="0"/>
              <w:right w:val="single" w:color="000000" w:sz="4" w:space="0"/>
            </w:tcBorders>
            <w:vAlign w:val="center"/>
          </w:tcPr>
          <w:p>
            <w:pPr>
              <w:spacing w:line="240" w:lineRule="exact"/>
              <w:jc w:val="center"/>
              <w:rPr>
                <w:rFonts w:hint="eastAsia" w:ascii="仿宋" w:hAnsi="仿宋" w:eastAsia="仿宋"/>
                <w:sz w:val="21"/>
                <w:szCs w:val="21"/>
              </w:rPr>
            </w:pPr>
          </w:p>
        </w:tc>
        <w:tc>
          <w:tcPr>
            <w:tcW w:w="2063" w:type="dxa"/>
            <w:vMerge w:val="continue"/>
            <w:tcBorders>
              <w:left w:val="nil"/>
              <w:bottom w:val="single" w:color="000000" w:sz="4" w:space="0"/>
              <w:right w:val="single" w:color="000000" w:sz="4" w:space="0"/>
            </w:tcBorders>
            <w:vAlign w:val="center"/>
          </w:tcPr>
          <w:p>
            <w:pPr>
              <w:spacing w:line="240" w:lineRule="exact"/>
              <w:jc w:val="center"/>
              <w:rPr>
                <w:rFonts w:hint="eastAsia" w:ascii="仿宋" w:hAnsi="仿宋" w:eastAsia="仿宋"/>
                <w:sz w:val="21"/>
                <w:szCs w:val="21"/>
              </w:rPr>
            </w:pPr>
          </w:p>
        </w:tc>
        <w:tc>
          <w:tcPr>
            <w:tcW w:w="1617" w:type="dxa"/>
            <w:vMerge w:val="continue"/>
            <w:tcBorders>
              <w:left w:val="nil"/>
              <w:bottom w:val="single" w:color="auto" w:sz="4" w:space="0"/>
              <w:right w:val="single" w:color="000000" w:sz="4" w:space="0"/>
            </w:tcBorders>
            <w:vAlign w:val="center"/>
          </w:tcPr>
          <w:p>
            <w:pPr>
              <w:spacing w:line="240" w:lineRule="exact"/>
              <w:jc w:val="center"/>
              <w:rPr>
                <w:rFonts w:hint="eastAsia" w:ascii="仿宋" w:hAnsi="仿宋" w:eastAsia="仿宋"/>
                <w:sz w:val="21"/>
                <w:szCs w:val="21"/>
              </w:rPr>
            </w:pPr>
          </w:p>
        </w:tc>
      </w:tr>
    </w:tbl>
    <w:p>
      <w:pPr>
        <w:sectPr>
          <w:pgSz w:w="16838" w:h="11906" w:orient="landscape"/>
          <w:pgMar w:top="1800" w:right="1440" w:bottom="1800" w:left="1440" w:header="851" w:footer="992" w:gutter="0"/>
          <w:cols w:space="425" w:num="1"/>
          <w:docGrid w:type="lines" w:linePitch="312" w:charSpace="0"/>
        </w:sectPr>
      </w:pPr>
    </w:p>
    <w:tbl>
      <w:tblPr>
        <w:tblStyle w:val="6"/>
        <w:tblW w:w="15358" w:type="dxa"/>
        <w:jc w:val="center"/>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914"/>
        <w:gridCol w:w="1100"/>
        <w:gridCol w:w="2942"/>
        <w:gridCol w:w="5946"/>
        <w:gridCol w:w="776"/>
        <w:gridCol w:w="2063"/>
        <w:gridCol w:w="1617"/>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535"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指标</w:t>
            </w:r>
          </w:p>
          <w:p>
            <w:pPr>
              <w:spacing w:line="280" w:lineRule="exact"/>
              <w:jc w:val="center"/>
              <w:rPr>
                <w:rFonts w:ascii="仿宋" w:hAnsi="仿宋" w:eastAsia="仿宋"/>
                <w:b/>
                <w:bCs/>
                <w:sz w:val="21"/>
                <w:szCs w:val="21"/>
              </w:rPr>
            </w:pPr>
            <w:r>
              <w:rPr>
                <w:rFonts w:hint="eastAsia" w:ascii="仿宋" w:hAnsi="仿宋" w:eastAsia="仿宋"/>
                <w:b/>
                <w:bCs/>
                <w:sz w:val="21"/>
                <w:szCs w:val="21"/>
              </w:rPr>
              <w:t>分类</w:t>
            </w:r>
          </w:p>
        </w:tc>
        <w:tc>
          <w:tcPr>
            <w:tcW w:w="1100"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指标</w:t>
            </w:r>
          </w:p>
          <w:p>
            <w:pPr>
              <w:spacing w:line="280" w:lineRule="exact"/>
              <w:jc w:val="center"/>
              <w:rPr>
                <w:rFonts w:ascii="仿宋" w:hAnsi="仿宋" w:eastAsia="仿宋"/>
                <w:b/>
                <w:bCs/>
                <w:sz w:val="21"/>
                <w:szCs w:val="21"/>
              </w:rPr>
            </w:pPr>
            <w:r>
              <w:rPr>
                <w:rFonts w:hint="eastAsia" w:ascii="仿宋" w:hAnsi="仿宋" w:eastAsia="仿宋"/>
                <w:b/>
                <w:bCs/>
                <w:sz w:val="21"/>
                <w:szCs w:val="21"/>
              </w:rPr>
              <w:t>内容</w:t>
            </w:r>
          </w:p>
        </w:tc>
        <w:tc>
          <w:tcPr>
            <w:tcW w:w="2942"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指标要求</w:t>
            </w:r>
          </w:p>
        </w:tc>
        <w:tc>
          <w:tcPr>
            <w:tcW w:w="5946"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赋分标准</w:t>
            </w:r>
          </w:p>
        </w:tc>
        <w:tc>
          <w:tcPr>
            <w:tcW w:w="776"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权重分值</w:t>
            </w:r>
          </w:p>
        </w:tc>
        <w:tc>
          <w:tcPr>
            <w:tcW w:w="2063"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评价办法</w:t>
            </w:r>
          </w:p>
        </w:tc>
        <w:tc>
          <w:tcPr>
            <w:tcW w:w="1617"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责任单位</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207" w:hRule="atLeast"/>
          <w:jc w:val="center"/>
        </w:trPr>
        <w:tc>
          <w:tcPr>
            <w:tcW w:w="914" w:type="dxa"/>
            <w:vMerge w:val="restart"/>
            <w:tcBorders>
              <w:top w:val="single" w:color="000000" w:sz="4" w:space="0"/>
              <w:left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二、环境支持（50分）</w:t>
            </w:r>
          </w:p>
        </w:tc>
        <w:tc>
          <w:tcPr>
            <w:tcW w:w="1100" w:type="dxa"/>
            <w:vMerge w:val="restart"/>
            <w:tcBorders>
              <w:top w:val="single" w:color="000000" w:sz="4" w:space="0"/>
              <w:left w:val="nil"/>
              <w:right w:val="single" w:color="000000" w:sz="4" w:space="0"/>
            </w:tcBorders>
            <w:vAlign w:val="top"/>
          </w:tcPr>
          <w:p>
            <w:pPr>
              <w:spacing w:line="280" w:lineRule="exact"/>
              <w:rPr>
                <w:rFonts w:ascii="仿宋" w:hAnsi="仿宋" w:eastAsia="仿宋"/>
                <w:sz w:val="21"/>
                <w:szCs w:val="21"/>
              </w:rPr>
            </w:pPr>
            <w:r>
              <w:rPr>
                <w:rFonts w:hint="eastAsia" w:ascii="仿宋" w:hAnsi="仿宋" w:eastAsia="仿宋"/>
                <w:sz w:val="21"/>
                <w:szCs w:val="21"/>
              </w:rPr>
              <w:t>（二）为群众提供方便、可及的自助式健康检测服务。（10分）</w:t>
            </w:r>
          </w:p>
        </w:tc>
        <w:tc>
          <w:tcPr>
            <w:tcW w:w="2942"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1.社区设立自助式健康检测点，检测内容包括身高、体重、腰围、血压等。</w:t>
            </w:r>
          </w:p>
        </w:tc>
        <w:tc>
          <w:tcPr>
            <w:tcW w:w="5946"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（1）社区设立自助式健康检测点的社区覆盖率不低于30%，5分；覆盖率20-30%，3分；20%以下不得分。</w:t>
            </w:r>
          </w:p>
        </w:tc>
        <w:tc>
          <w:tcPr>
            <w:tcW w:w="776"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5</w:t>
            </w:r>
          </w:p>
        </w:tc>
        <w:tc>
          <w:tcPr>
            <w:tcW w:w="2063"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查看自助式健康检测点名单，现场随机抽查健康社区、单位各1家。</w:t>
            </w:r>
          </w:p>
        </w:tc>
        <w:tc>
          <w:tcPr>
            <w:tcW w:w="1617"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各乡镇、街道</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5" w:hRule="atLeast"/>
          <w:jc w:val="center"/>
        </w:trPr>
        <w:tc>
          <w:tcPr>
            <w:tcW w:w="914"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1100" w:type="dxa"/>
            <w:vMerge w:val="continue"/>
            <w:tcBorders>
              <w:left w:val="nil"/>
              <w:right w:val="single" w:color="000000" w:sz="4" w:space="0"/>
            </w:tcBorders>
            <w:vAlign w:val="top"/>
          </w:tcPr>
          <w:p>
            <w:pPr>
              <w:spacing w:line="280" w:lineRule="exact"/>
              <w:rPr>
                <w:rFonts w:ascii="仿宋" w:hAnsi="仿宋" w:eastAsia="仿宋"/>
                <w:sz w:val="21"/>
                <w:szCs w:val="21"/>
              </w:rPr>
            </w:pPr>
          </w:p>
        </w:tc>
        <w:tc>
          <w:tcPr>
            <w:tcW w:w="2942"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2.社区卫生服务中心和乡镇卫生院设置自助式健康检测点，并提供个体化健康指导。</w:t>
            </w:r>
          </w:p>
        </w:tc>
        <w:tc>
          <w:tcPr>
            <w:tcW w:w="5946"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（1）设置健康检测点的机构覆盖率&gt;80%，2分；70-80%，1分；70%以下不得分。</w:t>
            </w:r>
          </w:p>
        </w:tc>
        <w:tc>
          <w:tcPr>
            <w:tcW w:w="776" w:type="dxa"/>
            <w:vMerge w:val="restart"/>
            <w:tcBorders>
              <w:top w:val="single" w:color="000000" w:sz="4" w:space="0"/>
              <w:left w:val="nil"/>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5</w:t>
            </w:r>
          </w:p>
        </w:tc>
        <w:tc>
          <w:tcPr>
            <w:tcW w:w="2063"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现场查看医疗机构免费健康检测点的设置及健康指导的记录。</w:t>
            </w:r>
          </w:p>
        </w:tc>
        <w:tc>
          <w:tcPr>
            <w:tcW w:w="1617"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市医疗集团</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5" w:hRule="atLeast"/>
          <w:jc w:val="center"/>
        </w:trPr>
        <w:tc>
          <w:tcPr>
            <w:tcW w:w="914"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1100" w:type="dxa"/>
            <w:vMerge w:val="continue"/>
            <w:tcBorders>
              <w:left w:val="nil"/>
              <w:bottom w:val="single" w:color="000000" w:sz="4" w:space="0"/>
              <w:right w:val="single" w:color="000000" w:sz="4" w:space="0"/>
            </w:tcBorders>
            <w:vAlign w:val="top"/>
          </w:tcPr>
          <w:p>
            <w:pPr>
              <w:spacing w:line="280" w:lineRule="exact"/>
              <w:rPr>
                <w:rFonts w:ascii="仿宋" w:hAnsi="仿宋" w:eastAsia="仿宋"/>
                <w:sz w:val="21"/>
                <w:szCs w:val="21"/>
              </w:rPr>
            </w:pPr>
          </w:p>
        </w:tc>
        <w:tc>
          <w:tcPr>
            <w:tcW w:w="2942"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5946"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（2）提供个性化健康指导的机构比例&gt;50%，3分；40-50%，2分；30-40%，1分；30%以下不得分。</w:t>
            </w:r>
          </w:p>
        </w:tc>
        <w:tc>
          <w:tcPr>
            <w:tcW w:w="776" w:type="dxa"/>
            <w:vMerge w:val="continue"/>
            <w:tcBorders>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p>
        </w:tc>
        <w:tc>
          <w:tcPr>
            <w:tcW w:w="2063"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1617" w:type="dxa"/>
            <w:vMerge w:val="continue"/>
            <w:tcBorders>
              <w:left w:val="nil"/>
              <w:bottom w:val="single" w:color="000000" w:sz="4" w:space="0"/>
              <w:right w:val="single" w:color="000000" w:sz="4" w:space="0"/>
            </w:tcBorders>
            <w:vAlign w:val="top"/>
          </w:tcPr>
          <w:p>
            <w:pPr>
              <w:spacing w:line="28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776" w:hRule="atLeast"/>
          <w:jc w:val="center"/>
        </w:trPr>
        <w:tc>
          <w:tcPr>
            <w:tcW w:w="914"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1100"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（三）开展全民健身运动，普及公共体育设施，提高经常参加体育锻炼人口比例。（10分）</w:t>
            </w:r>
          </w:p>
        </w:tc>
        <w:tc>
          <w:tcPr>
            <w:tcW w:w="2942"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1.社区建设15分钟健身圈，居民健身设施完好，提高人均体育场地面积。</w:t>
            </w:r>
          </w:p>
        </w:tc>
        <w:tc>
          <w:tcPr>
            <w:tcW w:w="5946"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（1）社区15分钟健身圈的覆盖率&gt;90%，1分；70-90%，0.5分；70%以下不得分。</w:t>
            </w:r>
          </w:p>
        </w:tc>
        <w:tc>
          <w:tcPr>
            <w:tcW w:w="776" w:type="dxa"/>
            <w:vMerge w:val="restart"/>
            <w:tcBorders>
              <w:top w:val="single" w:color="000000" w:sz="4" w:space="0"/>
              <w:left w:val="nil"/>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2</w:t>
            </w:r>
          </w:p>
        </w:tc>
        <w:tc>
          <w:tcPr>
            <w:tcW w:w="2063"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查阅资料，现场随机抽查居委会或村委会。</w:t>
            </w:r>
          </w:p>
        </w:tc>
        <w:tc>
          <w:tcPr>
            <w:tcW w:w="1617"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市文化局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207" w:hRule="atLeast"/>
          <w:jc w:val="center"/>
        </w:trPr>
        <w:tc>
          <w:tcPr>
            <w:tcW w:w="914"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1100"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2942"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5946"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（2）设备完好100%，0.5分；其余0分。</w:t>
            </w:r>
          </w:p>
        </w:tc>
        <w:tc>
          <w:tcPr>
            <w:tcW w:w="776" w:type="dxa"/>
            <w:vMerge w:val="continue"/>
            <w:tcBorders>
              <w:left w:val="nil"/>
              <w:right w:val="single" w:color="000000" w:sz="4" w:space="0"/>
            </w:tcBorders>
            <w:vAlign w:val="center"/>
          </w:tcPr>
          <w:p>
            <w:pPr>
              <w:spacing w:line="280" w:lineRule="exact"/>
              <w:jc w:val="center"/>
              <w:rPr>
                <w:rFonts w:ascii="仿宋" w:hAnsi="仿宋" w:eastAsia="仿宋"/>
                <w:sz w:val="21"/>
                <w:szCs w:val="21"/>
              </w:rPr>
            </w:pPr>
          </w:p>
        </w:tc>
        <w:tc>
          <w:tcPr>
            <w:tcW w:w="2063"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1617" w:type="dxa"/>
            <w:vMerge w:val="continue"/>
            <w:tcBorders>
              <w:left w:val="nil"/>
              <w:right w:val="single" w:color="000000" w:sz="4" w:space="0"/>
            </w:tcBorders>
            <w:vAlign w:val="top"/>
          </w:tcPr>
          <w:p>
            <w:pPr>
              <w:spacing w:line="28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207" w:hRule="atLeast"/>
          <w:jc w:val="center"/>
        </w:trPr>
        <w:tc>
          <w:tcPr>
            <w:tcW w:w="914"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1100"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2942"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5946"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（3）人均体育场地面积达2平米，0.5分。</w:t>
            </w:r>
          </w:p>
        </w:tc>
        <w:tc>
          <w:tcPr>
            <w:tcW w:w="776" w:type="dxa"/>
            <w:vMerge w:val="continue"/>
            <w:tcBorders>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p>
        </w:tc>
        <w:tc>
          <w:tcPr>
            <w:tcW w:w="2063"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1617" w:type="dxa"/>
            <w:vMerge w:val="continue"/>
            <w:tcBorders>
              <w:left w:val="nil"/>
              <w:bottom w:val="single" w:color="000000" w:sz="4" w:space="0"/>
              <w:right w:val="single" w:color="000000" w:sz="4" w:space="0"/>
            </w:tcBorders>
            <w:vAlign w:val="top"/>
          </w:tcPr>
          <w:p>
            <w:pPr>
              <w:spacing w:line="28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776" w:hRule="atLeast"/>
          <w:jc w:val="center"/>
        </w:trPr>
        <w:tc>
          <w:tcPr>
            <w:tcW w:w="914"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1100"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2942"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2.公共体育场地、有条件的企事业、学校的体育场地免费或低收费向社区居民开放。</w:t>
            </w:r>
          </w:p>
        </w:tc>
        <w:tc>
          <w:tcPr>
            <w:tcW w:w="5946"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（1）公共体育场地、设施免费或低收费开放比例100%，1分；其余0分。</w:t>
            </w:r>
          </w:p>
        </w:tc>
        <w:tc>
          <w:tcPr>
            <w:tcW w:w="776" w:type="dxa"/>
            <w:vMerge w:val="restart"/>
            <w:tcBorders>
              <w:top w:val="single" w:color="000000" w:sz="4" w:space="0"/>
              <w:left w:val="nil"/>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2</w:t>
            </w:r>
          </w:p>
        </w:tc>
        <w:tc>
          <w:tcPr>
            <w:tcW w:w="2063"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查阅资料，现场评估，走访辖区居民了解开放情况。</w:t>
            </w:r>
          </w:p>
        </w:tc>
        <w:tc>
          <w:tcPr>
            <w:tcW w:w="1617"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市文化局、市教科局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424" w:hRule="atLeast"/>
          <w:jc w:val="center"/>
        </w:trPr>
        <w:tc>
          <w:tcPr>
            <w:tcW w:w="914"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1100"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2942"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5946"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（2）有条件的单位免费或低收费开放比例≥30%，1分；30%以下不得分。</w:t>
            </w:r>
          </w:p>
        </w:tc>
        <w:tc>
          <w:tcPr>
            <w:tcW w:w="776" w:type="dxa"/>
            <w:vMerge w:val="continue"/>
            <w:tcBorders>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p>
        </w:tc>
        <w:tc>
          <w:tcPr>
            <w:tcW w:w="2063"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1617" w:type="dxa"/>
            <w:vMerge w:val="continue"/>
            <w:tcBorders>
              <w:left w:val="nil"/>
              <w:bottom w:val="single" w:color="000000" w:sz="4" w:space="0"/>
              <w:right w:val="single" w:color="000000" w:sz="4" w:space="0"/>
            </w:tcBorders>
            <w:vAlign w:val="top"/>
          </w:tcPr>
          <w:p>
            <w:pPr>
              <w:spacing w:line="28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776" w:hRule="atLeast"/>
          <w:jc w:val="center"/>
        </w:trPr>
        <w:tc>
          <w:tcPr>
            <w:tcW w:w="914"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1100"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2942"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3.机关、企事业单位开展工间健身活动，组织符合单位特点的健身和竞赛活动。</w:t>
            </w:r>
          </w:p>
        </w:tc>
        <w:tc>
          <w:tcPr>
            <w:tcW w:w="5946"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（1）开展工间健身活动单位覆盖率≥80%,1分；80%以下不得分。</w:t>
            </w:r>
          </w:p>
        </w:tc>
        <w:tc>
          <w:tcPr>
            <w:tcW w:w="776" w:type="dxa"/>
            <w:vMerge w:val="restart"/>
            <w:tcBorders>
              <w:top w:val="single" w:color="000000" w:sz="4" w:space="0"/>
              <w:left w:val="nil"/>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2</w:t>
            </w:r>
          </w:p>
        </w:tc>
        <w:tc>
          <w:tcPr>
            <w:tcW w:w="2063"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查阅资料，现场评估。</w:t>
            </w:r>
          </w:p>
        </w:tc>
        <w:tc>
          <w:tcPr>
            <w:tcW w:w="1617" w:type="dxa"/>
            <w:vMerge w:val="restart"/>
            <w:tcBorders>
              <w:top w:val="single" w:color="000000" w:sz="4" w:space="0"/>
              <w:left w:val="nil"/>
              <w:right w:val="single" w:color="auto"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市文化局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522" w:hRule="atLeast"/>
          <w:jc w:val="center"/>
        </w:trPr>
        <w:tc>
          <w:tcPr>
            <w:tcW w:w="914"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1100"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2942"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5946"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（2）每年机关、企事业单位组织开展至少1次健身竞赛活动，1分；未开展不得分。</w:t>
            </w:r>
          </w:p>
        </w:tc>
        <w:tc>
          <w:tcPr>
            <w:tcW w:w="776" w:type="dxa"/>
            <w:vMerge w:val="continue"/>
            <w:tcBorders>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p>
        </w:tc>
        <w:tc>
          <w:tcPr>
            <w:tcW w:w="2063"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1617" w:type="dxa"/>
            <w:vMerge w:val="continue"/>
            <w:tcBorders>
              <w:left w:val="nil"/>
              <w:bottom w:val="single" w:color="000000" w:sz="4" w:space="0"/>
              <w:right w:val="single" w:color="auto" w:sz="4" w:space="0"/>
            </w:tcBorders>
            <w:vAlign w:val="top"/>
          </w:tcPr>
          <w:p>
            <w:pPr>
              <w:spacing w:line="28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472" w:hRule="atLeast"/>
          <w:jc w:val="center"/>
        </w:trPr>
        <w:tc>
          <w:tcPr>
            <w:tcW w:w="914"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1100"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2942"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4.实施青少年体育活动促进计划。</w:t>
            </w:r>
          </w:p>
        </w:tc>
        <w:tc>
          <w:tcPr>
            <w:tcW w:w="5946"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中、小学生每天锻炼1小时的比例达到100%，2分；80-100%，1分；80%以下不得分。</w:t>
            </w:r>
          </w:p>
        </w:tc>
        <w:tc>
          <w:tcPr>
            <w:tcW w:w="776"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2</w:t>
            </w:r>
          </w:p>
        </w:tc>
        <w:tc>
          <w:tcPr>
            <w:tcW w:w="2063"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查阅资料，现场访谈。</w:t>
            </w:r>
          </w:p>
        </w:tc>
        <w:tc>
          <w:tcPr>
            <w:tcW w:w="1617" w:type="dxa"/>
            <w:tcBorders>
              <w:top w:val="single" w:color="000000" w:sz="4" w:space="0"/>
              <w:left w:val="nil"/>
              <w:bottom w:val="single" w:color="000000" w:sz="4" w:space="0"/>
              <w:right w:val="single" w:color="auto"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市教科局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26" w:hRule="atLeast"/>
          <w:jc w:val="center"/>
        </w:trPr>
        <w:tc>
          <w:tcPr>
            <w:tcW w:w="914" w:type="dxa"/>
            <w:vMerge w:val="continue"/>
            <w:tcBorders>
              <w:left w:val="single" w:color="000000" w:sz="4" w:space="0"/>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1100"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2942"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5.提高经常参加体育锻炼人口比例。</w:t>
            </w:r>
          </w:p>
        </w:tc>
        <w:tc>
          <w:tcPr>
            <w:tcW w:w="5946"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经常参加体育锻炼人口比例≥40%,2分；35-40%，1分；35%以下不得分。</w:t>
            </w:r>
          </w:p>
        </w:tc>
        <w:tc>
          <w:tcPr>
            <w:tcW w:w="776"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2</w:t>
            </w:r>
          </w:p>
        </w:tc>
        <w:tc>
          <w:tcPr>
            <w:tcW w:w="2063"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查阅相关资料。</w:t>
            </w:r>
          </w:p>
        </w:tc>
        <w:tc>
          <w:tcPr>
            <w:tcW w:w="1617"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市文化局</w:t>
            </w:r>
          </w:p>
        </w:tc>
      </w:tr>
    </w:tbl>
    <w:p>
      <w:pPr>
        <w:sectPr>
          <w:pgSz w:w="16838" w:h="11906" w:orient="landscape"/>
          <w:pgMar w:top="1800" w:right="1440" w:bottom="1800" w:left="1440" w:header="851" w:footer="992" w:gutter="0"/>
          <w:cols w:space="425" w:num="1"/>
          <w:docGrid w:type="lines" w:linePitch="312" w:charSpace="0"/>
        </w:sectPr>
      </w:pPr>
    </w:p>
    <w:tbl>
      <w:tblPr>
        <w:tblStyle w:val="6"/>
        <w:tblW w:w="14967" w:type="dxa"/>
        <w:jc w:val="center"/>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898"/>
        <w:gridCol w:w="976"/>
        <w:gridCol w:w="2996"/>
        <w:gridCol w:w="5843"/>
        <w:gridCol w:w="763"/>
        <w:gridCol w:w="2027"/>
        <w:gridCol w:w="1464"/>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596" w:hRule="atLeast"/>
          <w:jc w:val="center"/>
        </w:trPr>
        <w:tc>
          <w:tcPr>
            <w:tcW w:w="89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指标</w:t>
            </w:r>
          </w:p>
          <w:p>
            <w:pPr>
              <w:spacing w:line="280" w:lineRule="exact"/>
              <w:jc w:val="center"/>
              <w:rPr>
                <w:rFonts w:ascii="仿宋" w:hAnsi="仿宋" w:eastAsia="仿宋"/>
                <w:b/>
                <w:bCs/>
                <w:sz w:val="21"/>
                <w:szCs w:val="21"/>
              </w:rPr>
            </w:pPr>
            <w:r>
              <w:rPr>
                <w:rFonts w:hint="eastAsia" w:ascii="仿宋" w:hAnsi="仿宋" w:eastAsia="仿宋"/>
                <w:b/>
                <w:bCs/>
                <w:sz w:val="21"/>
                <w:szCs w:val="21"/>
              </w:rPr>
              <w:t>分类</w:t>
            </w:r>
          </w:p>
        </w:tc>
        <w:tc>
          <w:tcPr>
            <w:tcW w:w="976"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指标</w:t>
            </w:r>
          </w:p>
          <w:p>
            <w:pPr>
              <w:spacing w:line="280" w:lineRule="exact"/>
              <w:jc w:val="center"/>
              <w:rPr>
                <w:rFonts w:ascii="仿宋" w:hAnsi="仿宋" w:eastAsia="仿宋"/>
                <w:b/>
                <w:bCs/>
                <w:sz w:val="21"/>
                <w:szCs w:val="21"/>
              </w:rPr>
            </w:pPr>
            <w:r>
              <w:rPr>
                <w:rFonts w:hint="eastAsia" w:ascii="仿宋" w:hAnsi="仿宋" w:eastAsia="仿宋"/>
                <w:b/>
                <w:bCs/>
                <w:sz w:val="21"/>
                <w:szCs w:val="21"/>
              </w:rPr>
              <w:t>内容</w:t>
            </w:r>
          </w:p>
        </w:tc>
        <w:tc>
          <w:tcPr>
            <w:tcW w:w="2996"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指标要求</w:t>
            </w:r>
          </w:p>
        </w:tc>
        <w:tc>
          <w:tcPr>
            <w:tcW w:w="5843"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赋分标准</w:t>
            </w:r>
          </w:p>
        </w:tc>
        <w:tc>
          <w:tcPr>
            <w:tcW w:w="763"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权重分值</w:t>
            </w:r>
          </w:p>
        </w:tc>
        <w:tc>
          <w:tcPr>
            <w:tcW w:w="2027"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评价办法</w:t>
            </w:r>
          </w:p>
        </w:tc>
        <w:tc>
          <w:tcPr>
            <w:tcW w:w="1464"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责任单位</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877" w:hRule="atLeast"/>
          <w:jc w:val="center"/>
        </w:trPr>
        <w:tc>
          <w:tcPr>
            <w:tcW w:w="898" w:type="dxa"/>
            <w:vMerge w:val="restart"/>
            <w:tcBorders>
              <w:top w:val="single" w:color="000000" w:sz="4" w:space="0"/>
              <w:left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二、环境支持（50分）</w:t>
            </w:r>
          </w:p>
        </w:tc>
        <w:tc>
          <w:tcPr>
            <w:tcW w:w="976"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（四）开展烟草控制，降低人群吸烟率。（10分）</w:t>
            </w:r>
          </w:p>
        </w:tc>
        <w:tc>
          <w:tcPr>
            <w:tcW w:w="2996"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1.辖区室内公共场所、工作场所和公共交通工具设置禁止吸烟警语和标识。</w:t>
            </w:r>
          </w:p>
        </w:tc>
        <w:tc>
          <w:tcPr>
            <w:tcW w:w="5843"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辖区100%的室内公共场所和工作场所设置禁止吸烟警语和标识，3分；95-100%，1分；95%以下不得分。</w:t>
            </w:r>
          </w:p>
        </w:tc>
        <w:tc>
          <w:tcPr>
            <w:tcW w:w="763"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3</w:t>
            </w:r>
          </w:p>
        </w:tc>
        <w:tc>
          <w:tcPr>
            <w:tcW w:w="2027"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现场随机抽查。</w:t>
            </w:r>
          </w:p>
        </w:tc>
        <w:tc>
          <w:tcPr>
            <w:tcW w:w="1464"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市健康教育所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79" w:hRule="atLeast"/>
          <w:jc w:val="center"/>
        </w:trPr>
        <w:tc>
          <w:tcPr>
            <w:tcW w:w="898"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76"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2996"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2.禁止烟草广告。</w:t>
            </w:r>
          </w:p>
        </w:tc>
        <w:tc>
          <w:tcPr>
            <w:tcW w:w="5843"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（1）辖区有禁止烟草广告的政策文件，0.5分。</w:t>
            </w:r>
          </w:p>
        </w:tc>
        <w:tc>
          <w:tcPr>
            <w:tcW w:w="763" w:type="dxa"/>
            <w:vMerge w:val="restart"/>
            <w:tcBorders>
              <w:top w:val="single" w:color="000000" w:sz="4" w:space="0"/>
              <w:left w:val="nil"/>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1</w:t>
            </w:r>
          </w:p>
        </w:tc>
        <w:tc>
          <w:tcPr>
            <w:tcW w:w="2027"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查阅资料现场评估。</w:t>
            </w:r>
          </w:p>
        </w:tc>
        <w:tc>
          <w:tcPr>
            <w:tcW w:w="1464" w:type="dxa"/>
            <w:vMerge w:val="restart"/>
            <w:tcBorders>
              <w:top w:val="single" w:color="000000" w:sz="4" w:space="0"/>
              <w:left w:val="nil"/>
              <w:right w:val="single" w:color="auto"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市工商质监局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239" w:hRule="atLeast"/>
          <w:jc w:val="center"/>
        </w:trPr>
        <w:tc>
          <w:tcPr>
            <w:tcW w:w="898"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76"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2996"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5843"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（2）辖区未发现烟草广告，0.5分。</w:t>
            </w:r>
          </w:p>
        </w:tc>
        <w:tc>
          <w:tcPr>
            <w:tcW w:w="763" w:type="dxa"/>
            <w:vMerge w:val="continue"/>
            <w:tcBorders>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p>
        </w:tc>
        <w:tc>
          <w:tcPr>
            <w:tcW w:w="2027"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1464" w:type="dxa"/>
            <w:vMerge w:val="continue"/>
            <w:tcBorders>
              <w:left w:val="nil"/>
              <w:bottom w:val="single" w:color="auto" w:sz="4" w:space="0"/>
              <w:right w:val="single" w:color="auto" w:sz="4" w:space="0"/>
            </w:tcBorders>
            <w:vAlign w:val="top"/>
          </w:tcPr>
          <w:p>
            <w:pPr>
              <w:spacing w:line="28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79" w:hRule="atLeast"/>
          <w:jc w:val="center"/>
        </w:trPr>
        <w:tc>
          <w:tcPr>
            <w:tcW w:w="898"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76"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2996"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3.建设无烟党政机关、无烟医疗卫生计生机构、无烟学校。</w:t>
            </w:r>
          </w:p>
        </w:tc>
        <w:tc>
          <w:tcPr>
            <w:tcW w:w="5843"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（1）覆盖率均达100%，2分；低于100%不得分。</w:t>
            </w:r>
          </w:p>
        </w:tc>
        <w:tc>
          <w:tcPr>
            <w:tcW w:w="763" w:type="dxa"/>
            <w:vMerge w:val="restart"/>
            <w:tcBorders>
              <w:top w:val="single" w:color="000000" w:sz="4" w:space="0"/>
              <w:left w:val="nil"/>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2</w:t>
            </w:r>
          </w:p>
        </w:tc>
        <w:tc>
          <w:tcPr>
            <w:tcW w:w="2027"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现场随机抽查。</w:t>
            </w:r>
          </w:p>
        </w:tc>
        <w:tc>
          <w:tcPr>
            <w:tcW w:w="1464" w:type="dxa"/>
            <w:vMerge w:val="restart"/>
            <w:tcBorders>
              <w:top w:val="single" w:color="auto"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市健康教育所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8" w:hRule="atLeast"/>
          <w:jc w:val="center"/>
        </w:trPr>
        <w:tc>
          <w:tcPr>
            <w:tcW w:w="898"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76"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2996"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5843"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（2）抽查发现1个单位不合格，不得分。</w:t>
            </w:r>
          </w:p>
        </w:tc>
        <w:tc>
          <w:tcPr>
            <w:tcW w:w="763" w:type="dxa"/>
            <w:vMerge w:val="continue"/>
            <w:tcBorders>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p>
        </w:tc>
        <w:tc>
          <w:tcPr>
            <w:tcW w:w="2027"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1464" w:type="dxa"/>
            <w:vMerge w:val="continue"/>
            <w:tcBorders>
              <w:left w:val="nil"/>
              <w:bottom w:val="single" w:color="000000" w:sz="4" w:space="0"/>
              <w:right w:val="single" w:color="000000" w:sz="4" w:space="0"/>
            </w:tcBorders>
            <w:vAlign w:val="top"/>
          </w:tcPr>
          <w:p>
            <w:pPr>
              <w:spacing w:line="28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387" w:hRule="atLeast"/>
          <w:jc w:val="center"/>
        </w:trPr>
        <w:tc>
          <w:tcPr>
            <w:tcW w:w="898"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76" w:type="dxa"/>
            <w:vMerge w:val="continue"/>
            <w:tcBorders>
              <w:left w:val="single" w:color="auto" w:sz="0" w:space="0"/>
              <w:right w:val="single" w:color="000000" w:sz="4" w:space="0"/>
            </w:tcBorders>
            <w:vAlign w:val="center"/>
          </w:tcPr>
          <w:p>
            <w:pPr>
              <w:spacing w:line="280" w:lineRule="exact"/>
              <w:rPr>
                <w:rFonts w:ascii="仿宋" w:hAnsi="仿宋" w:eastAsia="仿宋"/>
                <w:sz w:val="21"/>
                <w:szCs w:val="21"/>
              </w:rPr>
            </w:pPr>
          </w:p>
        </w:tc>
        <w:tc>
          <w:tcPr>
            <w:tcW w:w="2996" w:type="dxa"/>
            <w:vMerge w:val="restart"/>
            <w:tcBorders>
              <w:top w:val="single" w:color="000000" w:sz="4" w:space="0"/>
              <w:left w:val="single" w:color="auto" w:sz="0"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4.辖区各医疗卫生机构开展简短戒烟服务培训，二级及以上医疗机构提供简短戒烟服务。</w:t>
            </w:r>
          </w:p>
        </w:tc>
        <w:tc>
          <w:tcPr>
            <w:tcW w:w="5843" w:type="dxa"/>
            <w:tcBorders>
              <w:top w:val="single" w:color="000000" w:sz="4" w:space="0"/>
              <w:left w:val="single" w:color="auto" w:sz="0" w:space="0"/>
              <w:bottom w:val="inset" w:color="auto" w:sz="6"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（1）开展简短戒烟服务培训的医疗机构覆盖率≥80%，1分；80%以下不得分。医疗机构包括辖区所在一、二、三级医疗机构和妇幼保健院。</w:t>
            </w:r>
          </w:p>
        </w:tc>
        <w:tc>
          <w:tcPr>
            <w:tcW w:w="763" w:type="dxa"/>
            <w:vMerge w:val="restart"/>
            <w:tcBorders>
              <w:top w:val="single" w:color="000000" w:sz="4" w:space="0"/>
              <w:left w:val="single" w:color="auto" w:sz="0" w:space="0"/>
              <w:bottom w:val="single" w:color="auto" w:sz="0" w:space="0"/>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2</w:t>
            </w:r>
          </w:p>
        </w:tc>
        <w:tc>
          <w:tcPr>
            <w:tcW w:w="2027" w:type="dxa"/>
            <w:vMerge w:val="restart"/>
            <w:tcBorders>
              <w:top w:val="single" w:color="000000" w:sz="4" w:space="0"/>
              <w:left w:val="single" w:color="auto" w:sz="0" w:space="0"/>
              <w:bottom w:val="single" w:color="auto" w:sz="0"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查阅资料，现场抽查医疗机构提供简短戒烟服务的情况。</w:t>
            </w:r>
          </w:p>
        </w:tc>
        <w:tc>
          <w:tcPr>
            <w:tcW w:w="1464" w:type="dxa"/>
            <w:vMerge w:val="restart"/>
            <w:tcBorders>
              <w:top w:val="single" w:color="000000" w:sz="4" w:space="0"/>
              <w:left w:val="dotDash" w:color="auto" w:sz="0" w:space="0"/>
              <w:bottom w:val="single" w:color="auto" w:sz="0" w:space="0"/>
              <w:right w:val="single" w:color="auto"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市卫计局、市医疗集团</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12" w:hRule="atLeast"/>
          <w:jc w:val="center"/>
        </w:trPr>
        <w:tc>
          <w:tcPr>
            <w:tcW w:w="898"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76"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2996"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5843"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（2）提供简短戒烟服务的医疗机构覆盖率100%，1分；100%以下不得分。</w:t>
            </w:r>
          </w:p>
        </w:tc>
        <w:tc>
          <w:tcPr>
            <w:tcW w:w="763" w:type="dxa"/>
            <w:vMerge w:val="continue"/>
            <w:tcBorders>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p>
        </w:tc>
        <w:tc>
          <w:tcPr>
            <w:tcW w:w="2027"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1464" w:type="dxa"/>
            <w:vMerge w:val="continue"/>
            <w:tcBorders>
              <w:left w:val="nil"/>
              <w:bottom w:val="single" w:color="000000" w:sz="4" w:space="0"/>
              <w:right w:val="single" w:color="auto" w:sz="4" w:space="0"/>
            </w:tcBorders>
            <w:vAlign w:val="top"/>
          </w:tcPr>
          <w:p>
            <w:pPr>
              <w:spacing w:line="28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479" w:hRule="atLeast"/>
          <w:jc w:val="center"/>
        </w:trPr>
        <w:tc>
          <w:tcPr>
            <w:tcW w:w="898" w:type="dxa"/>
            <w:vMerge w:val="continue"/>
            <w:tcBorders>
              <w:left w:val="single" w:color="000000" w:sz="4" w:space="0"/>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976"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2996" w:type="dxa"/>
            <w:tcBorders>
              <w:top w:val="single" w:color="000000" w:sz="4" w:space="0"/>
              <w:left w:val="nil"/>
              <w:bottom w:val="single" w:color="000000" w:sz="4" w:space="0"/>
              <w:right w:val="single" w:color="000000" w:sz="4" w:space="0"/>
            </w:tcBorders>
            <w:vAlign w:val="top"/>
          </w:tcPr>
          <w:p>
            <w:pPr>
              <w:spacing w:line="280" w:lineRule="exact"/>
              <w:rPr>
                <w:rFonts w:ascii="仿宋" w:hAnsi="仿宋" w:eastAsia="仿宋"/>
                <w:sz w:val="21"/>
                <w:szCs w:val="21"/>
              </w:rPr>
            </w:pPr>
            <w:r>
              <w:rPr>
                <w:rFonts w:hint="eastAsia" w:ascii="仿宋" w:hAnsi="仿宋" w:eastAsia="仿宋"/>
                <w:sz w:val="21"/>
                <w:szCs w:val="21"/>
              </w:rPr>
              <w:t>5.降低辖区15岁以上成年人吸烟率。</w:t>
            </w:r>
          </w:p>
        </w:tc>
        <w:tc>
          <w:tcPr>
            <w:tcW w:w="5843"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15岁以上成年人吸烟率低于25%，2分。</w:t>
            </w:r>
          </w:p>
        </w:tc>
        <w:tc>
          <w:tcPr>
            <w:tcW w:w="763"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2</w:t>
            </w:r>
          </w:p>
        </w:tc>
        <w:tc>
          <w:tcPr>
            <w:tcW w:w="2027"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查阅中国慢性病与营养监测、社会因素调查报告。</w:t>
            </w:r>
          </w:p>
        </w:tc>
        <w:tc>
          <w:tcPr>
            <w:tcW w:w="1464" w:type="dxa"/>
            <w:tcBorders>
              <w:top w:val="single" w:color="000000" w:sz="4" w:space="0"/>
              <w:left w:val="nil"/>
              <w:bottom w:val="single" w:color="000000" w:sz="4" w:space="0"/>
              <w:right w:val="single" w:color="auto"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市卫计局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596" w:hRule="atLeast"/>
          <w:jc w:val="center"/>
        </w:trPr>
        <w:tc>
          <w:tcPr>
            <w:tcW w:w="898" w:type="dxa"/>
            <w:vMerge w:val="restart"/>
            <w:tcBorders>
              <w:top w:val="single" w:color="000000" w:sz="4" w:space="0"/>
              <w:left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三、体系整合（30分）</w:t>
            </w:r>
          </w:p>
        </w:tc>
        <w:tc>
          <w:tcPr>
            <w:tcW w:w="976"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18"/>
                <w:szCs w:val="18"/>
              </w:rPr>
            </w:pPr>
            <w:r>
              <w:rPr>
                <w:rFonts w:hint="eastAsia" w:ascii="仿宋" w:hAnsi="仿宋" w:eastAsia="仿宋"/>
                <w:sz w:val="18"/>
                <w:szCs w:val="18"/>
              </w:rPr>
              <w:t>（一）建立防治结合、分工协作、优势互补、上下联动的慢性病综合防治体系。（15分）</w:t>
            </w:r>
          </w:p>
        </w:tc>
        <w:tc>
          <w:tcPr>
            <w:tcW w:w="2996"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1.建立完善慢性病防控服务体系和分工明确、上下联动的工作机制。</w:t>
            </w:r>
          </w:p>
        </w:tc>
        <w:tc>
          <w:tcPr>
            <w:tcW w:w="5843"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（1）辖区卫生计生行政部门制定实施慢性病防控服务体系建设的方案，4分。</w:t>
            </w:r>
          </w:p>
        </w:tc>
        <w:tc>
          <w:tcPr>
            <w:tcW w:w="763"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8</w:t>
            </w:r>
          </w:p>
        </w:tc>
        <w:tc>
          <w:tcPr>
            <w:tcW w:w="2027"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查阅资料。</w:t>
            </w:r>
          </w:p>
        </w:tc>
        <w:tc>
          <w:tcPr>
            <w:tcW w:w="1464" w:type="dxa"/>
            <w:tcBorders>
              <w:top w:val="single" w:color="000000" w:sz="4" w:space="0"/>
              <w:left w:val="nil"/>
              <w:bottom w:val="single" w:color="000000" w:sz="4" w:space="0"/>
              <w:right w:val="single" w:color="auto"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市卫计局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79" w:hRule="atLeast"/>
          <w:jc w:val="center"/>
        </w:trPr>
        <w:tc>
          <w:tcPr>
            <w:tcW w:w="898" w:type="dxa"/>
            <w:vMerge w:val="continue"/>
            <w:tcBorders>
              <w:left w:val="single" w:color="000000" w:sz="4" w:space="0"/>
              <w:bottom w:val="single" w:color="000000" w:sz="4" w:space="0"/>
              <w:right w:val="single" w:color="000000" w:sz="4" w:space="0"/>
            </w:tcBorders>
            <w:vAlign w:val="center"/>
          </w:tcPr>
          <w:p>
            <w:pPr>
              <w:spacing w:line="280" w:lineRule="exact"/>
              <w:rPr>
                <w:rFonts w:hint="eastAsia" w:ascii="仿宋" w:hAnsi="仿宋" w:eastAsia="仿宋"/>
                <w:sz w:val="21"/>
                <w:szCs w:val="21"/>
              </w:rPr>
            </w:pPr>
          </w:p>
        </w:tc>
        <w:tc>
          <w:tcPr>
            <w:tcW w:w="976" w:type="dxa"/>
            <w:vMerge w:val="continue"/>
            <w:tcBorders>
              <w:left w:val="nil"/>
              <w:bottom w:val="single" w:color="000000" w:sz="4" w:space="0"/>
              <w:right w:val="single" w:color="000000" w:sz="4" w:space="0"/>
            </w:tcBorders>
            <w:vAlign w:val="center"/>
          </w:tcPr>
          <w:p>
            <w:pPr>
              <w:spacing w:line="280" w:lineRule="exact"/>
              <w:rPr>
                <w:rFonts w:hint="eastAsia" w:ascii="仿宋" w:hAnsi="仿宋" w:eastAsia="仿宋"/>
                <w:sz w:val="18"/>
                <w:szCs w:val="18"/>
              </w:rPr>
            </w:pPr>
          </w:p>
        </w:tc>
        <w:tc>
          <w:tcPr>
            <w:tcW w:w="2996" w:type="dxa"/>
            <w:vMerge w:val="continue"/>
            <w:tcBorders>
              <w:left w:val="nil"/>
              <w:bottom w:val="single" w:color="000000" w:sz="4" w:space="0"/>
              <w:right w:val="single" w:color="000000" w:sz="4" w:space="0"/>
            </w:tcBorders>
            <w:vAlign w:val="center"/>
          </w:tcPr>
          <w:p>
            <w:pPr>
              <w:spacing w:line="280" w:lineRule="exact"/>
              <w:rPr>
                <w:rFonts w:hint="eastAsia" w:ascii="仿宋" w:hAnsi="仿宋" w:eastAsia="仿宋"/>
                <w:sz w:val="21"/>
                <w:szCs w:val="21"/>
              </w:rPr>
            </w:pPr>
          </w:p>
        </w:tc>
        <w:tc>
          <w:tcPr>
            <w:tcW w:w="5843" w:type="dxa"/>
            <w:tcBorders>
              <w:top w:val="single" w:color="000000" w:sz="4" w:space="0"/>
              <w:left w:val="nil"/>
              <w:bottom w:val="single" w:color="000000" w:sz="4" w:space="0"/>
              <w:right w:val="single" w:color="000000" w:sz="4" w:space="0"/>
            </w:tcBorders>
            <w:vAlign w:val="center"/>
          </w:tcPr>
          <w:p>
            <w:pPr>
              <w:spacing w:line="280" w:lineRule="exact"/>
            </w:pPr>
            <w:r>
              <w:rPr>
                <w:rFonts w:hint="eastAsia" w:ascii="仿宋" w:hAnsi="仿宋" w:eastAsia="仿宋"/>
                <w:sz w:val="21"/>
                <w:szCs w:val="21"/>
              </w:rPr>
              <w:t>（2）明确专业公共卫生机构、医院和基层医疗卫生机构职责，4分。</w:t>
            </w:r>
          </w:p>
          <w:p>
            <w:pPr>
              <w:spacing w:line="280" w:lineRule="exact"/>
              <w:rPr>
                <w:rFonts w:hint="eastAsia" w:ascii="仿宋" w:hAnsi="仿宋" w:eastAsia="仿宋"/>
                <w:sz w:val="21"/>
                <w:szCs w:val="21"/>
              </w:rPr>
            </w:pPr>
          </w:p>
        </w:tc>
        <w:tc>
          <w:tcPr>
            <w:tcW w:w="763" w:type="dxa"/>
            <w:tcBorders>
              <w:top w:val="single" w:color="000000" w:sz="4" w:space="0"/>
              <w:left w:val="nil"/>
              <w:bottom w:val="single" w:color="000000" w:sz="4" w:space="0"/>
              <w:right w:val="single" w:color="000000" w:sz="4" w:space="0"/>
            </w:tcBorders>
            <w:vAlign w:val="center"/>
          </w:tcPr>
          <w:p>
            <w:pPr>
              <w:spacing w:line="280" w:lineRule="exact"/>
              <w:jc w:val="center"/>
              <w:rPr>
                <w:rFonts w:hint="eastAsia" w:ascii="仿宋" w:hAnsi="仿宋" w:eastAsia="仿宋"/>
                <w:sz w:val="21"/>
                <w:szCs w:val="21"/>
              </w:rPr>
            </w:pPr>
          </w:p>
        </w:tc>
        <w:tc>
          <w:tcPr>
            <w:tcW w:w="2027" w:type="dxa"/>
            <w:tcBorders>
              <w:top w:val="single" w:color="000000" w:sz="4" w:space="0"/>
              <w:left w:val="nil"/>
              <w:bottom w:val="single" w:color="000000" w:sz="4" w:space="0"/>
              <w:right w:val="single" w:color="000000" w:sz="4" w:space="0"/>
            </w:tcBorders>
            <w:vAlign w:val="center"/>
          </w:tcPr>
          <w:p>
            <w:pPr>
              <w:spacing w:line="280" w:lineRule="exact"/>
              <w:rPr>
                <w:rFonts w:hint="eastAsia" w:ascii="仿宋" w:hAnsi="仿宋" w:eastAsia="仿宋"/>
                <w:sz w:val="21"/>
                <w:szCs w:val="21"/>
              </w:rPr>
            </w:pPr>
          </w:p>
        </w:tc>
        <w:tc>
          <w:tcPr>
            <w:tcW w:w="1464" w:type="dxa"/>
            <w:tcBorders>
              <w:top w:val="single" w:color="000000" w:sz="4" w:space="0"/>
              <w:left w:val="nil"/>
              <w:bottom w:val="single" w:color="000000" w:sz="4" w:space="0"/>
              <w:right w:val="single" w:color="auto" w:sz="4" w:space="0"/>
            </w:tcBorders>
            <w:vAlign w:val="center"/>
          </w:tcPr>
          <w:p>
            <w:pPr>
              <w:spacing w:line="280" w:lineRule="exact"/>
              <w:rPr>
                <w:rFonts w:hint="eastAsia" w:ascii="仿宋" w:hAnsi="仿宋" w:eastAsia="仿宋"/>
                <w:sz w:val="21"/>
                <w:szCs w:val="21"/>
              </w:rPr>
            </w:pPr>
          </w:p>
        </w:tc>
      </w:tr>
    </w:tbl>
    <w:p>
      <w:pPr>
        <w:sectPr>
          <w:pgSz w:w="16838" w:h="11906" w:orient="landscape"/>
          <w:pgMar w:top="1800" w:right="1440" w:bottom="1800" w:left="1440" w:header="851" w:footer="992" w:gutter="0"/>
          <w:cols w:space="425" w:num="1"/>
          <w:docGrid w:type="lines" w:linePitch="312" w:charSpace="0"/>
        </w:sectPr>
      </w:pPr>
    </w:p>
    <w:tbl>
      <w:tblPr>
        <w:tblStyle w:val="6"/>
        <w:tblW w:w="15471" w:type="dxa"/>
        <w:jc w:val="center"/>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929"/>
        <w:gridCol w:w="1009"/>
        <w:gridCol w:w="3097"/>
        <w:gridCol w:w="6040"/>
        <w:gridCol w:w="788"/>
        <w:gridCol w:w="2095"/>
        <w:gridCol w:w="1513"/>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532" w:hRule="atLeast"/>
          <w:jc w:val="center"/>
        </w:trPr>
        <w:tc>
          <w:tcPr>
            <w:tcW w:w="929"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仿宋" w:hAnsi="仿宋" w:eastAsia="仿宋"/>
                <w:b/>
                <w:bCs/>
                <w:sz w:val="21"/>
                <w:szCs w:val="21"/>
              </w:rPr>
            </w:pPr>
            <w:r>
              <w:rPr>
                <w:rFonts w:hint="eastAsia" w:ascii="仿宋" w:hAnsi="仿宋" w:eastAsia="仿宋"/>
                <w:b/>
                <w:bCs/>
                <w:sz w:val="21"/>
                <w:szCs w:val="21"/>
              </w:rPr>
              <w:t>指标</w:t>
            </w:r>
          </w:p>
          <w:p>
            <w:pPr>
              <w:spacing w:line="260" w:lineRule="exact"/>
              <w:jc w:val="center"/>
              <w:rPr>
                <w:rFonts w:ascii="仿宋" w:hAnsi="仿宋" w:eastAsia="仿宋"/>
                <w:b/>
                <w:bCs/>
                <w:sz w:val="21"/>
                <w:szCs w:val="21"/>
              </w:rPr>
            </w:pPr>
            <w:r>
              <w:rPr>
                <w:rFonts w:hint="eastAsia" w:ascii="仿宋" w:hAnsi="仿宋" w:eastAsia="仿宋"/>
                <w:b/>
                <w:bCs/>
                <w:sz w:val="21"/>
                <w:szCs w:val="21"/>
              </w:rPr>
              <w:t>分类</w:t>
            </w:r>
          </w:p>
        </w:tc>
        <w:tc>
          <w:tcPr>
            <w:tcW w:w="1009" w:type="dxa"/>
            <w:tcBorders>
              <w:top w:val="single" w:color="000000" w:sz="4" w:space="0"/>
              <w:left w:val="nil"/>
              <w:bottom w:val="single" w:color="000000" w:sz="4" w:space="0"/>
              <w:right w:val="single" w:color="000000" w:sz="4" w:space="0"/>
            </w:tcBorders>
            <w:vAlign w:val="center"/>
          </w:tcPr>
          <w:p>
            <w:pPr>
              <w:spacing w:line="260" w:lineRule="exact"/>
              <w:jc w:val="center"/>
              <w:rPr>
                <w:rFonts w:ascii="仿宋" w:hAnsi="仿宋" w:eastAsia="仿宋"/>
                <w:b/>
                <w:bCs/>
                <w:sz w:val="21"/>
                <w:szCs w:val="21"/>
              </w:rPr>
            </w:pPr>
            <w:r>
              <w:rPr>
                <w:rFonts w:hint="eastAsia" w:ascii="仿宋" w:hAnsi="仿宋" w:eastAsia="仿宋"/>
                <w:b/>
                <w:bCs/>
                <w:sz w:val="21"/>
                <w:szCs w:val="21"/>
              </w:rPr>
              <w:t>指标</w:t>
            </w:r>
          </w:p>
          <w:p>
            <w:pPr>
              <w:spacing w:line="260" w:lineRule="exact"/>
              <w:jc w:val="center"/>
              <w:rPr>
                <w:rFonts w:ascii="仿宋" w:hAnsi="仿宋" w:eastAsia="仿宋"/>
                <w:b/>
                <w:bCs/>
                <w:sz w:val="21"/>
                <w:szCs w:val="21"/>
              </w:rPr>
            </w:pPr>
            <w:r>
              <w:rPr>
                <w:rFonts w:hint="eastAsia" w:ascii="仿宋" w:hAnsi="仿宋" w:eastAsia="仿宋"/>
                <w:b/>
                <w:bCs/>
                <w:sz w:val="21"/>
                <w:szCs w:val="21"/>
              </w:rPr>
              <w:t>内容</w:t>
            </w:r>
          </w:p>
        </w:tc>
        <w:tc>
          <w:tcPr>
            <w:tcW w:w="3097" w:type="dxa"/>
            <w:tcBorders>
              <w:top w:val="single" w:color="000000" w:sz="4" w:space="0"/>
              <w:left w:val="nil"/>
              <w:bottom w:val="single" w:color="000000" w:sz="4" w:space="0"/>
              <w:right w:val="single" w:color="000000" w:sz="4" w:space="0"/>
            </w:tcBorders>
            <w:vAlign w:val="center"/>
          </w:tcPr>
          <w:p>
            <w:pPr>
              <w:spacing w:line="260" w:lineRule="exact"/>
              <w:jc w:val="center"/>
              <w:rPr>
                <w:rFonts w:ascii="仿宋" w:hAnsi="仿宋" w:eastAsia="仿宋"/>
                <w:b/>
                <w:bCs/>
                <w:sz w:val="21"/>
                <w:szCs w:val="21"/>
              </w:rPr>
            </w:pPr>
            <w:r>
              <w:rPr>
                <w:rFonts w:hint="eastAsia" w:ascii="仿宋" w:hAnsi="仿宋" w:eastAsia="仿宋"/>
                <w:b/>
                <w:bCs/>
                <w:sz w:val="21"/>
                <w:szCs w:val="21"/>
              </w:rPr>
              <w:t>指标要求</w:t>
            </w:r>
          </w:p>
        </w:tc>
        <w:tc>
          <w:tcPr>
            <w:tcW w:w="6040" w:type="dxa"/>
            <w:tcBorders>
              <w:top w:val="single" w:color="000000" w:sz="4" w:space="0"/>
              <w:left w:val="nil"/>
              <w:bottom w:val="single" w:color="000000" w:sz="4" w:space="0"/>
              <w:right w:val="single" w:color="000000" w:sz="4" w:space="0"/>
            </w:tcBorders>
            <w:vAlign w:val="center"/>
          </w:tcPr>
          <w:p>
            <w:pPr>
              <w:spacing w:line="260" w:lineRule="exact"/>
              <w:jc w:val="center"/>
              <w:rPr>
                <w:rFonts w:ascii="仿宋" w:hAnsi="仿宋" w:eastAsia="仿宋"/>
                <w:b/>
                <w:bCs/>
                <w:sz w:val="21"/>
                <w:szCs w:val="21"/>
              </w:rPr>
            </w:pPr>
            <w:r>
              <w:rPr>
                <w:rFonts w:hint="eastAsia" w:ascii="仿宋" w:hAnsi="仿宋" w:eastAsia="仿宋"/>
                <w:b/>
                <w:bCs/>
                <w:sz w:val="21"/>
                <w:szCs w:val="21"/>
              </w:rPr>
              <w:t>赋分标准</w:t>
            </w:r>
          </w:p>
        </w:tc>
        <w:tc>
          <w:tcPr>
            <w:tcW w:w="788" w:type="dxa"/>
            <w:tcBorders>
              <w:top w:val="single" w:color="000000" w:sz="4" w:space="0"/>
              <w:left w:val="nil"/>
              <w:bottom w:val="single" w:color="000000" w:sz="4" w:space="0"/>
              <w:right w:val="single" w:color="000000" w:sz="4" w:space="0"/>
            </w:tcBorders>
            <w:vAlign w:val="center"/>
          </w:tcPr>
          <w:p>
            <w:pPr>
              <w:spacing w:line="260" w:lineRule="exact"/>
              <w:jc w:val="center"/>
              <w:rPr>
                <w:rFonts w:ascii="仿宋" w:hAnsi="仿宋" w:eastAsia="仿宋"/>
                <w:b/>
                <w:bCs/>
                <w:sz w:val="21"/>
                <w:szCs w:val="21"/>
              </w:rPr>
            </w:pPr>
            <w:r>
              <w:rPr>
                <w:rFonts w:hint="eastAsia" w:ascii="仿宋" w:hAnsi="仿宋" w:eastAsia="仿宋"/>
                <w:b/>
                <w:bCs/>
                <w:sz w:val="21"/>
                <w:szCs w:val="21"/>
              </w:rPr>
              <w:t>权重分值</w:t>
            </w:r>
          </w:p>
        </w:tc>
        <w:tc>
          <w:tcPr>
            <w:tcW w:w="2095" w:type="dxa"/>
            <w:tcBorders>
              <w:top w:val="single" w:color="000000" w:sz="4" w:space="0"/>
              <w:left w:val="nil"/>
              <w:bottom w:val="single" w:color="000000" w:sz="4" w:space="0"/>
              <w:right w:val="single" w:color="000000" w:sz="4" w:space="0"/>
            </w:tcBorders>
            <w:vAlign w:val="center"/>
          </w:tcPr>
          <w:p>
            <w:pPr>
              <w:spacing w:line="260" w:lineRule="exact"/>
              <w:jc w:val="center"/>
              <w:rPr>
                <w:rFonts w:ascii="仿宋" w:hAnsi="仿宋" w:eastAsia="仿宋"/>
                <w:b/>
                <w:bCs/>
                <w:sz w:val="21"/>
                <w:szCs w:val="21"/>
              </w:rPr>
            </w:pPr>
            <w:r>
              <w:rPr>
                <w:rFonts w:hint="eastAsia" w:ascii="仿宋" w:hAnsi="仿宋" w:eastAsia="仿宋"/>
                <w:b/>
                <w:bCs/>
                <w:sz w:val="21"/>
                <w:szCs w:val="21"/>
              </w:rPr>
              <w:t>评价办法</w:t>
            </w:r>
          </w:p>
        </w:tc>
        <w:tc>
          <w:tcPr>
            <w:tcW w:w="1513" w:type="dxa"/>
            <w:tcBorders>
              <w:top w:val="single" w:color="000000" w:sz="4" w:space="0"/>
              <w:left w:val="nil"/>
              <w:bottom w:val="single" w:color="000000" w:sz="4" w:space="0"/>
              <w:right w:val="single" w:color="000000" w:sz="4" w:space="0"/>
            </w:tcBorders>
            <w:vAlign w:val="center"/>
          </w:tcPr>
          <w:p>
            <w:pPr>
              <w:spacing w:line="260" w:lineRule="exact"/>
              <w:jc w:val="center"/>
              <w:rPr>
                <w:rFonts w:ascii="仿宋" w:hAnsi="仿宋" w:eastAsia="仿宋"/>
                <w:b/>
                <w:bCs/>
                <w:sz w:val="21"/>
                <w:szCs w:val="21"/>
              </w:rPr>
            </w:pPr>
            <w:r>
              <w:rPr>
                <w:rFonts w:hint="eastAsia" w:ascii="仿宋" w:hAnsi="仿宋" w:eastAsia="仿宋"/>
                <w:b/>
                <w:bCs/>
                <w:sz w:val="21"/>
                <w:szCs w:val="21"/>
              </w:rPr>
              <w:t>责任单位</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315" w:hRule="atLeast"/>
          <w:jc w:val="center"/>
        </w:trPr>
        <w:tc>
          <w:tcPr>
            <w:tcW w:w="929" w:type="dxa"/>
            <w:vMerge w:val="restart"/>
            <w:tcBorders>
              <w:top w:val="single" w:color="000000" w:sz="4" w:space="0"/>
              <w:left w:val="single" w:color="000000" w:sz="4" w:space="0"/>
              <w:right w:val="single" w:color="000000" w:sz="4" w:space="0"/>
            </w:tcBorders>
            <w:vAlign w:val="center"/>
          </w:tcPr>
          <w:p>
            <w:pPr>
              <w:spacing w:line="260" w:lineRule="exact"/>
              <w:jc w:val="center"/>
              <w:rPr>
                <w:rFonts w:ascii="仿宋" w:hAnsi="仿宋" w:eastAsia="仿宋"/>
                <w:sz w:val="21"/>
                <w:szCs w:val="21"/>
              </w:rPr>
            </w:pPr>
            <w:r>
              <w:rPr>
                <w:rFonts w:hint="eastAsia" w:ascii="仿宋" w:hAnsi="仿宋" w:eastAsia="仿宋"/>
                <w:sz w:val="21"/>
                <w:szCs w:val="21"/>
              </w:rPr>
              <w:t>三、体系整合（30分）</w:t>
            </w:r>
          </w:p>
        </w:tc>
        <w:tc>
          <w:tcPr>
            <w:tcW w:w="1009" w:type="dxa"/>
            <w:vMerge w:val="restart"/>
            <w:tcBorders>
              <w:top w:val="single" w:color="000000" w:sz="4" w:space="0"/>
              <w:left w:val="nil"/>
              <w:right w:val="single" w:color="000000" w:sz="4" w:space="0"/>
            </w:tcBorders>
            <w:vAlign w:val="top"/>
          </w:tcPr>
          <w:p>
            <w:pPr>
              <w:spacing w:line="260" w:lineRule="exact"/>
              <w:rPr>
                <w:rFonts w:ascii="仿宋" w:hAnsi="仿宋" w:eastAsia="仿宋"/>
                <w:sz w:val="18"/>
                <w:szCs w:val="18"/>
              </w:rPr>
            </w:pPr>
            <w:r>
              <w:rPr>
                <w:rFonts w:hint="eastAsia" w:ascii="仿宋" w:hAnsi="仿宋" w:eastAsia="仿宋"/>
                <w:sz w:val="18"/>
                <w:szCs w:val="18"/>
              </w:rPr>
              <w:t>（一）建立防治结合、分工协作、优势互补、上下联动的慢性病综合防治体系。（15分）</w:t>
            </w:r>
          </w:p>
        </w:tc>
        <w:tc>
          <w:tcPr>
            <w:tcW w:w="3097" w:type="dxa"/>
            <w:vMerge w:val="restart"/>
            <w:tcBorders>
              <w:top w:val="single" w:color="000000" w:sz="4" w:space="0"/>
              <w:left w:val="nil"/>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2.建立完善信息共享、互联互通等的工作机制，推进慢性病防、治、管的整合。</w:t>
            </w:r>
          </w:p>
        </w:tc>
        <w:tc>
          <w:tcPr>
            <w:tcW w:w="6040" w:type="dxa"/>
            <w:tcBorders>
              <w:top w:val="single" w:color="000000" w:sz="4" w:space="0"/>
              <w:left w:val="nil"/>
              <w:bottom w:val="single" w:color="000000" w:sz="4" w:space="0"/>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（1）卫生计生行政部门负责督导慢性病综合防控服务体系的有效运行，2分。</w:t>
            </w:r>
          </w:p>
        </w:tc>
        <w:tc>
          <w:tcPr>
            <w:tcW w:w="788" w:type="dxa"/>
            <w:vMerge w:val="restart"/>
            <w:tcBorders>
              <w:top w:val="single" w:color="000000" w:sz="4" w:space="0"/>
              <w:left w:val="nil"/>
              <w:right w:val="single" w:color="000000" w:sz="4" w:space="0"/>
            </w:tcBorders>
            <w:vAlign w:val="center"/>
          </w:tcPr>
          <w:p>
            <w:pPr>
              <w:spacing w:line="260" w:lineRule="exact"/>
              <w:jc w:val="center"/>
              <w:rPr>
                <w:rFonts w:ascii="仿宋" w:hAnsi="仿宋" w:eastAsia="仿宋"/>
                <w:sz w:val="21"/>
                <w:szCs w:val="21"/>
              </w:rPr>
            </w:pPr>
            <w:r>
              <w:rPr>
                <w:rFonts w:hint="eastAsia" w:ascii="仿宋" w:hAnsi="仿宋" w:eastAsia="仿宋"/>
                <w:sz w:val="21"/>
                <w:szCs w:val="21"/>
              </w:rPr>
              <w:t>7</w:t>
            </w:r>
          </w:p>
        </w:tc>
        <w:tc>
          <w:tcPr>
            <w:tcW w:w="2095" w:type="dxa"/>
            <w:vMerge w:val="restart"/>
            <w:tcBorders>
              <w:top w:val="single" w:color="000000" w:sz="4" w:space="0"/>
              <w:left w:val="nil"/>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查看相关的指导及信息平台，查看防、治、管的情况，查阅相关的文件以及考核兑现情况。</w:t>
            </w:r>
          </w:p>
        </w:tc>
        <w:tc>
          <w:tcPr>
            <w:tcW w:w="1513" w:type="dxa"/>
            <w:vMerge w:val="restart"/>
            <w:tcBorders>
              <w:top w:val="single" w:color="000000" w:sz="4" w:space="0"/>
              <w:left w:val="nil"/>
              <w:right w:val="single" w:color="auto"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市爱卫办</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60" w:hRule="atLeast"/>
          <w:jc w:val="center"/>
        </w:trPr>
        <w:tc>
          <w:tcPr>
            <w:tcW w:w="929" w:type="dxa"/>
            <w:vMerge w:val="continue"/>
            <w:tcBorders>
              <w:left w:val="single" w:color="000000" w:sz="4" w:space="0"/>
              <w:right w:val="single" w:color="000000" w:sz="4" w:space="0"/>
            </w:tcBorders>
            <w:vAlign w:val="top"/>
          </w:tcPr>
          <w:p>
            <w:pPr>
              <w:spacing w:line="260" w:lineRule="exact"/>
              <w:rPr>
                <w:rFonts w:ascii="仿宋" w:hAnsi="仿宋" w:eastAsia="仿宋"/>
                <w:sz w:val="21"/>
                <w:szCs w:val="21"/>
              </w:rPr>
            </w:pPr>
          </w:p>
        </w:tc>
        <w:tc>
          <w:tcPr>
            <w:tcW w:w="1009" w:type="dxa"/>
            <w:vMerge w:val="continue"/>
            <w:tcBorders>
              <w:left w:val="nil"/>
              <w:right w:val="single" w:color="000000" w:sz="4" w:space="0"/>
            </w:tcBorders>
            <w:vAlign w:val="top"/>
          </w:tcPr>
          <w:p>
            <w:pPr>
              <w:spacing w:line="260" w:lineRule="exact"/>
              <w:rPr>
                <w:rFonts w:ascii="仿宋" w:hAnsi="仿宋" w:eastAsia="仿宋"/>
                <w:sz w:val="21"/>
                <w:szCs w:val="21"/>
              </w:rPr>
            </w:pPr>
          </w:p>
        </w:tc>
        <w:tc>
          <w:tcPr>
            <w:tcW w:w="3097" w:type="dxa"/>
            <w:vMerge w:val="continue"/>
            <w:tcBorders>
              <w:left w:val="nil"/>
              <w:right w:val="single" w:color="000000" w:sz="4" w:space="0"/>
            </w:tcBorders>
            <w:vAlign w:val="center"/>
          </w:tcPr>
          <w:p>
            <w:pPr>
              <w:spacing w:line="260" w:lineRule="exact"/>
              <w:rPr>
                <w:rFonts w:ascii="仿宋" w:hAnsi="仿宋" w:eastAsia="仿宋"/>
                <w:sz w:val="21"/>
                <w:szCs w:val="21"/>
              </w:rPr>
            </w:pPr>
          </w:p>
        </w:tc>
        <w:tc>
          <w:tcPr>
            <w:tcW w:w="6040" w:type="dxa"/>
            <w:tcBorders>
              <w:top w:val="single" w:color="000000" w:sz="4" w:space="0"/>
              <w:left w:val="nil"/>
              <w:bottom w:val="single" w:color="000000" w:sz="4" w:space="0"/>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（2）建立完善慢性病综合防控服务体系的运行、质控、绩效评价机制，3分。</w:t>
            </w:r>
          </w:p>
        </w:tc>
        <w:tc>
          <w:tcPr>
            <w:tcW w:w="788" w:type="dxa"/>
            <w:vMerge w:val="continue"/>
            <w:tcBorders>
              <w:left w:val="nil"/>
              <w:right w:val="single" w:color="000000" w:sz="4" w:space="0"/>
            </w:tcBorders>
            <w:vAlign w:val="center"/>
          </w:tcPr>
          <w:p>
            <w:pPr>
              <w:spacing w:line="260" w:lineRule="exact"/>
              <w:jc w:val="center"/>
              <w:rPr>
                <w:rFonts w:ascii="仿宋" w:hAnsi="仿宋" w:eastAsia="仿宋"/>
                <w:sz w:val="21"/>
                <w:szCs w:val="21"/>
              </w:rPr>
            </w:pPr>
          </w:p>
        </w:tc>
        <w:tc>
          <w:tcPr>
            <w:tcW w:w="2095" w:type="dxa"/>
            <w:vMerge w:val="continue"/>
            <w:tcBorders>
              <w:left w:val="nil"/>
              <w:right w:val="single" w:color="000000" w:sz="4" w:space="0"/>
            </w:tcBorders>
            <w:vAlign w:val="center"/>
          </w:tcPr>
          <w:p>
            <w:pPr>
              <w:spacing w:line="260" w:lineRule="exact"/>
              <w:rPr>
                <w:rFonts w:ascii="仿宋" w:hAnsi="仿宋" w:eastAsia="仿宋"/>
                <w:sz w:val="21"/>
                <w:szCs w:val="21"/>
              </w:rPr>
            </w:pPr>
          </w:p>
        </w:tc>
        <w:tc>
          <w:tcPr>
            <w:tcW w:w="1513" w:type="dxa"/>
            <w:vMerge w:val="continue"/>
            <w:tcBorders>
              <w:left w:val="nil"/>
              <w:right w:val="single" w:color="auto" w:sz="4" w:space="0"/>
            </w:tcBorders>
            <w:vAlign w:val="center"/>
          </w:tcPr>
          <w:p>
            <w:pPr>
              <w:spacing w:line="26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346" w:hRule="atLeast"/>
          <w:jc w:val="center"/>
        </w:trPr>
        <w:tc>
          <w:tcPr>
            <w:tcW w:w="929" w:type="dxa"/>
            <w:vMerge w:val="continue"/>
            <w:tcBorders>
              <w:left w:val="single" w:color="000000" w:sz="4" w:space="0"/>
              <w:right w:val="single" w:color="000000" w:sz="4" w:space="0"/>
            </w:tcBorders>
            <w:vAlign w:val="top"/>
          </w:tcPr>
          <w:p>
            <w:pPr>
              <w:spacing w:line="260" w:lineRule="exact"/>
              <w:rPr>
                <w:rFonts w:ascii="仿宋" w:hAnsi="仿宋" w:eastAsia="仿宋"/>
                <w:sz w:val="21"/>
                <w:szCs w:val="21"/>
              </w:rPr>
            </w:pPr>
          </w:p>
        </w:tc>
        <w:tc>
          <w:tcPr>
            <w:tcW w:w="1009" w:type="dxa"/>
            <w:vMerge w:val="continue"/>
            <w:tcBorders>
              <w:left w:val="single" w:color="auto" w:sz="0" w:space="0"/>
              <w:bottom w:val="single" w:color="000000" w:sz="4" w:space="0"/>
              <w:right w:val="single" w:color="000000" w:sz="4" w:space="0"/>
            </w:tcBorders>
            <w:vAlign w:val="top"/>
          </w:tcPr>
          <w:p>
            <w:pPr>
              <w:spacing w:line="260" w:lineRule="exact"/>
              <w:rPr>
                <w:rFonts w:ascii="仿宋" w:hAnsi="仿宋" w:eastAsia="仿宋"/>
                <w:sz w:val="21"/>
                <w:szCs w:val="21"/>
              </w:rPr>
            </w:pPr>
          </w:p>
        </w:tc>
        <w:tc>
          <w:tcPr>
            <w:tcW w:w="3097" w:type="dxa"/>
            <w:vMerge w:val="continue"/>
            <w:tcBorders>
              <w:left w:val="single" w:color="auto" w:sz="0" w:space="0"/>
              <w:bottom w:val="single" w:color="000000" w:sz="4" w:space="0"/>
              <w:right w:val="single" w:color="000000" w:sz="4" w:space="0"/>
            </w:tcBorders>
            <w:vAlign w:val="center"/>
          </w:tcPr>
          <w:p>
            <w:pPr>
              <w:spacing w:line="260" w:lineRule="exact"/>
              <w:rPr>
                <w:rFonts w:ascii="仿宋" w:hAnsi="仿宋" w:eastAsia="仿宋"/>
                <w:sz w:val="21"/>
                <w:szCs w:val="21"/>
              </w:rPr>
            </w:pPr>
          </w:p>
        </w:tc>
        <w:tc>
          <w:tcPr>
            <w:tcW w:w="6040" w:type="dxa"/>
            <w:tcBorders>
              <w:top w:val="single" w:color="000000" w:sz="4" w:space="0"/>
              <w:left w:val="single" w:color="auto" w:sz="0" w:space="0"/>
              <w:bottom w:val="inset" w:color="auto" w:sz="6" w:space="0"/>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（3）疾控、医院对基层医疗卫生机构进行的技术指导和对口支援，建立有效的合作关系，2分。</w:t>
            </w:r>
          </w:p>
        </w:tc>
        <w:tc>
          <w:tcPr>
            <w:tcW w:w="788" w:type="dxa"/>
            <w:vMerge w:val="continue"/>
            <w:tcBorders>
              <w:left w:val="single" w:color="auto" w:sz="0" w:space="0"/>
              <w:bottom w:val="single" w:color="000000" w:sz="4" w:space="0"/>
              <w:right w:val="single" w:color="000000" w:sz="4" w:space="0"/>
            </w:tcBorders>
            <w:vAlign w:val="center"/>
          </w:tcPr>
          <w:p>
            <w:pPr>
              <w:spacing w:line="260" w:lineRule="exact"/>
              <w:jc w:val="center"/>
              <w:rPr>
                <w:rFonts w:ascii="仿宋" w:hAnsi="仿宋" w:eastAsia="仿宋"/>
                <w:sz w:val="21"/>
                <w:szCs w:val="21"/>
              </w:rPr>
            </w:pPr>
          </w:p>
        </w:tc>
        <w:tc>
          <w:tcPr>
            <w:tcW w:w="2095" w:type="dxa"/>
            <w:vMerge w:val="continue"/>
            <w:tcBorders>
              <w:left w:val="single" w:color="auto" w:sz="0" w:space="0"/>
              <w:bottom w:val="single" w:color="000000" w:sz="4" w:space="0"/>
              <w:right w:val="single" w:color="000000" w:sz="4" w:space="0"/>
            </w:tcBorders>
            <w:vAlign w:val="center"/>
          </w:tcPr>
          <w:p>
            <w:pPr>
              <w:spacing w:line="260" w:lineRule="exact"/>
              <w:rPr>
                <w:rFonts w:ascii="仿宋" w:hAnsi="仿宋" w:eastAsia="仿宋"/>
                <w:sz w:val="21"/>
                <w:szCs w:val="21"/>
              </w:rPr>
            </w:pPr>
          </w:p>
        </w:tc>
        <w:tc>
          <w:tcPr>
            <w:tcW w:w="1513" w:type="dxa"/>
            <w:vMerge w:val="continue"/>
            <w:tcBorders>
              <w:left w:val="single" w:color="auto" w:sz="0" w:space="0"/>
              <w:bottom w:val="inset" w:color="auto" w:sz="6" w:space="0"/>
              <w:right w:val="single" w:color="auto" w:sz="4" w:space="0"/>
            </w:tcBorders>
            <w:vAlign w:val="center"/>
          </w:tcPr>
          <w:p>
            <w:pPr>
              <w:spacing w:line="26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60" w:hRule="atLeast"/>
          <w:jc w:val="center"/>
        </w:trPr>
        <w:tc>
          <w:tcPr>
            <w:tcW w:w="929" w:type="dxa"/>
            <w:vMerge w:val="continue"/>
            <w:tcBorders>
              <w:left w:val="single" w:color="000000" w:sz="4" w:space="0"/>
              <w:right w:val="single" w:color="000000" w:sz="4" w:space="0"/>
            </w:tcBorders>
            <w:vAlign w:val="top"/>
          </w:tcPr>
          <w:p>
            <w:pPr>
              <w:spacing w:line="260" w:lineRule="exact"/>
              <w:rPr>
                <w:rFonts w:ascii="仿宋" w:hAnsi="仿宋" w:eastAsia="仿宋"/>
                <w:sz w:val="21"/>
                <w:szCs w:val="21"/>
              </w:rPr>
            </w:pPr>
          </w:p>
        </w:tc>
        <w:tc>
          <w:tcPr>
            <w:tcW w:w="1009" w:type="dxa"/>
            <w:vMerge w:val="restart"/>
            <w:tcBorders>
              <w:top w:val="single" w:color="000000" w:sz="4" w:space="0"/>
              <w:left w:val="nil"/>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（二）加强慢性病防控队伍建设。（15分）</w:t>
            </w:r>
          </w:p>
        </w:tc>
        <w:tc>
          <w:tcPr>
            <w:tcW w:w="3097" w:type="dxa"/>
            <w:vMerge w:val="restart"/>
            <w:tcBorders>
              <w:top w:val="single" w:color="000000" w:sz="4" w:space="0"/>
              <w:left w:val="nil"/>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1.辖区疾病预防控制机构按职能有独立的慢性病防控科室，配备专职人员。</w:t>
            </w:r>
          </w:p>
        </w:tc>
        <w:tc>
          <w:tcPr>
            <w:tcW w:w="6040" w:type="dxa"/>
            <w:tcBorders>
              <w:top w:val="single" w:color="000000" w:sz="4" w:space="0"/>
              <w:left w:val="nil"/>
              <w:bottom w:val="single" w:color="000000" w:sz="4" w:space="0"/>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（1）疾病预防控制机构有独立的慢性病防控科室，2分。</w:t>
            </w:r>
          </w:p>
        </w:tc>
        <w:tc>
          <w:tcPr>
            <w:tcW w:w="788" w:type="dxa"/>
            <w:vMerge w:val="restart"/>
            <w:tcBorders>
              <w:top w:val="single" w:color="000000" w:sz="4" w:space="0"/>
              <w:left w:val="nil"/>
              <w:right w:val="single" w:color="000000" w:sz="4" w:space="0"/>
            </w:tcBorders>
            <w:vAlign w:val="center"/>
          </w:tcPr>
          <w:p>
            <w:pPr>
              <w:spacing w:line="260" w:lineRule="exact"/>
              <w:jc w:val="center"/>
              <w:rPr>
                <w:rFonts w:ascii="仿宋" w:hAnsi="仿宋" w:eastAsia="仿宋"/>
                <w:sz w:val="21"/>
                <w:szCs w:val="21"/>
              </w:rPr>
            </w:pPr>
            <w:r>
              <w:rPr>
                <w:rFonts w:hint="eastAsia" w:ascii="仿宋" w:hAnsi="仿宋" w:eastAsia="仿宋"/>
                <w:sz w:val="21"/>
                <w:szCs w:val="21"/>
              </w:rPr>
              <w:t>5</w:t>
            </w:r>
          </w:p>
        </w:tc>
        <w:tc>
          <w:tcPr>
            <w:tcW w:w="2095" w:type="dxa"/>
            <w:vMerge w:val="restart"/>
            <w:tcBorders>
              <w:top w:val="single" w:color="000000" w:sz="4" w:space="0"/>
              <w:left w:val="nil"/>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查阅资料。</w:t>
            </w:r>
          </w:p>
        </w:tc>
        <w:tc>
          <w:tcPr>
            <w:tcW w:w="1513" w:type="dxa"/>
            <w:vMerge w:val="restart"/>
            <w:tcBorders>
              <w:top w:val="single" w:color="000000" w:sz="4" w:space="0"/>
              <w:left w:val="nil"/>
              <w:right w:val="single" w:color="auto"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市疾控中心</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60" w:hRule="atLeast"/>
          <w:jc w:val="center"/>
        </w:trPr>
        <w:tc>
          <w:tcPr>
            <w:tcW w:w="929" w:type="dxa"/>
            <w:vMerge w:val="continue"/>
            <w:tcBorders>
              <w:left w:val="single" w:color="000000" w:sz="4" w:space="0"/>
              <w:right w:val="single" w:color="000000" w:sz="4" w:space="0"/>
            </w:tcBorders>
            <w:vAlign w:val="top"/>
          </w:tcPr>
          <w:p>
            <w:pPr>
              <w:spacing w:line="260" w:lineRule="exact"/>
              <w:rPr>
                <w:rFonts w:ascii="仿宋" w:hAnsi="仿宋" w:eastAsia="仿宋"/>
                <w:sz w:val="21"/>
                <w:szCs w:val="21"/>
              </w:rPr>
            </w:pPr>
          </w:p>
        </w:tc>
        <w:tc>
          <w:tcPr>
            <w:tcW w:w="1009" w:type="dxa"/>
            <w:vMerge w:val="continue"/>
            <w:tcBorders>
              <w:left w:val="nil"/>
              <w:right w:val="single" w:color="000000" w:sz="4" w:space="0"/>
            </w:tcBorders>
            <w:vAlign w:val="center"/>
          </w:tcPr>
          <w:p>
            <w:pPr>
              <w:spacing w:line="260" w:lineRule="exact"/>
              <w:rPr>
                <w:rFonts w:ascii="仿宋" w:hAnsi="仿宋" w:eastAsia="仿宋"/>
                <w:sz w:val="21"/>
                <w:szCs w:val="21"/>
              </w:rPr>
            </w:pPr>
          </w:p>
        </w:tc>
        <w:tc>
          <w:tcPr>
            <w:tcW w:w="3097" w:type="dxa"/>
            <w:vMerge w:val="continue"/>
            <w:tcBorders>
              <w:left w:val="nil"/>
              <w:right w:val="single" w:color="000000" w:sz="4" w:space="0"/>
            </w:tcBorders>
            <w:vAlign w:val="center"/>
          </w:tcPr>
          <w:p>
            <w:pPr>
              <w:spacing w:line="260" w:lineRule="exact"/>
              <w:rPr>
                <w:rFonts w:ascii="仿宋" w:hAnsi="仿宋" w:eastAsia="仿宋"/>
                <w:sz w:val="21"/>
                <w:szCs w:val="21"/>
              </w:rPr>
            </w:pPr>
          </w:p>
        </w:tc>
        <w:tc>
          <w:tcPr>
            <w:tcW w:w="6040" w:type="dxa"/>
            <w:tcBorders>
              <w:top w:val="single" w:color="000000" w:sz="4" w:space="0"/>
              <w:left w:val="nil"/>
              <w:bottom w:val="single" w:color="000000" w:sz="4" w:space="0"/>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（2）专职人员占本机构专业人员总数的比例≥10%，2分；5-10%，1分；低于5%不得分。</w:t>
            </w:r>
          </w:p>
        </w:tc>
        <w:tc>
          <w:tcPr>
            <w:tcW w:w="788" w:type="dxa"/>
            <w:vMerge w:val="continue"/>
            <w:tcBorders>
              <w:left w:val="nil"/>
              <w:right w:val="single" w:color="000000" w:sz="4" w:space="0"/>
            </w:tcBorders>
            <w:vAlign w:val="center"/>
          </w:tcPr>
          <w:p>
            <w:pPr>
              <w:spacing w:line="260" w:lineRule="exact"/>
              <w:jc w:val="center"/>
              <w:rPr>
                <w:rFonts w:ascii="仿宋" w:hAnsi="仿宋" w:eastAsia="仿宋"/>
                <w:sz w:val="21"/>
                <w:szCs w:val="21"/>
              </w:rPr>
            </w:pPr>
          </w:p>
        </w:tc>
        <w:tc>
          <w:tcPr>
            <w:tcW w:w="2095" w:type="dxa"/>
            <w:vMerge w:val="continue"/>
            <w:tcBorders>
              <w:left w:val="nil"/>
              <w:right w:val="single" w:color="000000" w:sz="4" w:space="0"/>
            </w:tcBorders>
            <w:vAlign w:val="center"/>
          </w:tcPr>
          <w:p>
            <w:pPr>
              <w:spacing w:line="260" w:lineRule="exact"/>
              <w:rPr>
                <w:rFonts w:ascii="仿宋" w:hAnsi="仿宋" w:eastAsia="仿宋"/>
                <w:sz w:val="21"/>
                <w:szCs w:val="21"/>
              </w:rPr>
            </w:pPr>
          </w:p>
        </w:tc>
        <w:tc>
          <w:tcPr>
            <w:tcW w:w="1513" w:type="dxa"/>
            <w:vMerge w:val="continue"/>
            <w:tcBorders>
              <w:left w:val="nil"/>
              <w:right w:val="single" w:color="auto" w:sz="4" w:space="0"/>
            </w:tcBorders>
            <w:vAlign w:val="top"/>
          </w:tcPr>
          <w:p>
            <w:pPr>
              <w:spacing w:line="26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471" w:hRule="atLeast"/>
          <w:jc w:val="center"/>
        </w:trPr>
        <w:tc>
          <w:tcPr>
            <w:tcW w:w="929" w:type="dxa"/>
            <w:vMerge w:val="continue"/>
            <w:tcBorders>
              <w:left w:val="single" w:color="000000" w:sz="4" w:space="0"/>
              <w:right w:val="single" w:color="000000" w:sz="4" w:space="0"/>
            </w:tcBorders>
            <w:vAlign w:val="top"/>
          </w:tcPr>
          <w:p>
            <w:pPr>
              <w:spacing w:line="260" w:lineRule="exact"/>
              <w:rPr>
                <w:rFonts w:ascii="仿宋" w:hAnsi="仿宋" w:eastAsia="仿宋"/>
                <w:sz w:val="21"/>
                <w:szCs w:val="21"/>
              </w:rPr>
            </w:pPr>
          </w:p>
        </w:tc>
        <w:tc>
          <w:tcPr>
            <w:tcW w:w="1009" w:type="dxa"/>
            <w:vMerge w:val="continue"/>
            <w:tcBorders>
              <w:left w:val="nil"/>
              <w:right w:val="single" w:color="000000" w:sz="4" w:space="0"/>
            </w:tcBorders>
            <w:vAlign w:val="center"/>
          </w:tcPr>
          <w:p>
            <w:pPr>
              <w:spacing w:line="260" w:lineRule="exact"/>
              <w:rPr>
                <w:rFonts w:ascii="仿宋" w:hAnsi="仿宋" w:eastAsia="仿宋"/>
                <w:sz w:val="21"/>
                <w:szCs w:val="21"/>
              </w:rPr>
            </w:pPr>
          </w:p>
        </w:tc>
        <w:tc>
          <w:tcPr>
            <w:tcW w:w="3097" w:type="dxa"/>
            <w:vMerge w:val="continue"/>
            <w:tcBorders>
              <w:left w:val="nil"/>
              <w:bottom w:val="single" w:color="000000" w:sz="4" w:space="0"/>
              <w:right w:val="single" w:color="000000" w:sz="4" w:space="0"/>
            </w:tcBorders>
            <w:vAlign w:val="center"/>
          </w:tcPr>
          <w:p>
            <w:pPr>
              <w:spacing w:line="260" w:lineRule="exact"/>
              <w:rPr>
                <w:rFonts w:ascii="仿宋" w:hAnsi="仿宋" w:eastAsia="仿宋"/>
                <w:sz w:val="21"/>
                <w:szCs w:val="21"/>
              </w:rPr>
            </w:pPr>
          </w:p>
        </w:tc>
        <w:tc>
          <w:tcPr>
            <w:tcW w:w="6040" w:type="dxa"/>
            <w:tcBorders>
              <w:top w:val="single" w:color="000000" w:sz="4" w:space="0"/>
              <w:left w:val="nil"/>
              <w:bottom w:val="single" w:color="000000" w:sz="4" w:space="0"/>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（3）每年接受上级专业培训不少于2次，1分。</w:t>
            </w:r>
          </w:p>
        </w:tc>
        <w:tc>
          <w:tcPr>
            <w:tcW w:w="788" w:type="dxa"/>
            <w:vMerge w:val="continue"/>
            <w:tcBorders>
              <w:left w:val="nil"/>
              <w:bottom w:val="single" w:color="000000" w:sz="4" w:space="0"/>
              <w:right w:val="single" w:color="000000" w:sz="4" w:space="0"/>
            </w:tcBorders>
            <w:vAlign w:val="center"/>
          </w:tcPr>
          <w:p>
            <w:pPr>
              <w:spacing w:line="260" w:lineRule="exact"/>
              <w:jc w:val="center"/>
              <w:rPr>
                <w:rFonts w:ascii="仿宋" w:hAnsi="仿宋" w:eastAsia="仿宋"/>
                <w:sz w:val="21"/>
                <w:szCs w:val="21"/>
              </w:rPr>
            </w:pPr>
          </w:p>
        </w:tc>
        <w:tc>
          <w:tcPr>
            <w:tcW w:w="2095" w:type="dxa"/>
            <w:vMerge w:val="continue"/>
            <w:tcBorders>
              <w:left w:val="nil"/>
              <w:bottom w:val="single" w:color="000000" w:sz="4" w:space="0"/>
              <w:right w:val="single" w:color="000000" w:sz="4" w:space="0"/>
            </w:tcBorders>
            <w:vAlign w:val="center"/>
          </w:tcPr>
          <w:p>
            <w:pPr>
              <w:spacing w:line="260" w:lineRule="exact"/>
              <w:rPr>
                <w:rFonts w:ascii="仿宋" w:hAnsi="仿宋" w:eastAsia="仿宋"/>
                <w:sz w:val="21"/>
                <w:szCs w:val="21"/>
              </w:rPr>
            </w:pPr>
          </w:p>
        </w:tc>
        <w:tc>
          <w:tcPr>
            <w:tcW w:w="1513" w:type="dxa"/>
            <w:vMerge w:val="continue"/>
            <w:tcBorders>
              <w:left w:val="nil"/>
              <w:bottom w:val="single" w:color="000000" w:sz="4" w:space="0"/>
              <w:right w:val="single" w:color="auto" w:sz="4" w:space="0"/>
            </w:tcBorders>
            <w:vAlign w:val="top"/>
          </w:tcPr>
          <w:p>
            <w:pPr>
              <w:spacing w:line="26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60" w:hRule="atLeast"/>
          <w:jc w:val="center"/>
        </w:trPr>
        <w:tc>
          <w:tcPr>
            <w:tcW w:w="929" w:type="dxa"/>
            <w:vMerge w:val="continue"/>
            <w:tcBorders>
              <w:left w:val="single" w:color="000000" w:sz="4" w:space="0"/>
              <w:right w:val="single" w:color="000000" w:sz="4" w:space="0"/>
            </w:tcBorders>
            <w:vAlign w:val="top"/>
          </w:tcPr>
          <w:p>
            <w:pPr>
              <w:spacing w:line="260" w:lineRule="exact"/>
              <w:rPr>
                <w:rFonts w:ascii="仿宋" w:hAnsi="仿宋" w:eastAsia="仿宋"/>
                <w:sz w:val="21"/>
                <w:szCs w:val="21"/>
              </w:rPr>
            </w:pPr>
          </w:p>
        </w:tc>
        <w:tc>
          <w:tcPr>
            <w:tcW w:w="1009" w:type="dxa"/>
            <w:vMerge w:val="continue"/>
            <w:tcBorders>
              <w:left w:val="nil"/>
              <w:right w:val="single" w:color="000000" w:sz="4" w:space="0"/>
            </w:tcBorders>
            <w:vAlign w:val="center"/>
          </w:tcPr>
          <w:p>
            <w:pPr>
              <w:spacing w:line="260" w:lineRule="exact"/>
              <w:rPr>
                <w:rFonts w:ascii="仿宋" w:hAnsi="仿宋" w:eastAsia="仿宋"/>
                <w:sz w:val="21"/>
                <w:szCs w:val="21"/>
              </w:rPr>
            </w:pPr>
          </w:p>
        </w:tc>
        <w:tc>
          <w:tcPr>
            <w:tcW w:w="3097" w:type="dxa"/>
            <w:vMerge w:val="restart"/>
            <w:tcBorders>
              <w:top w:val="single" w:color="000000" w:sz="4" w:space="0"/>
              <w:left w:val="nil"/>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2.二级以上医院配备公共卫生专业人员，履行相应的公共卫生职责。</w:t>
            </w:r>
          </w:p>
        </w:tc>
        <w:tc>
          <w:tcPr>
            <w:tcW w:w="6040" w:type="dxa"/>
            <w:tcBorders>
              <w:top w:val="single" w:color="000000" w:sz="4" w:space="0"/>
              <w:left w:val="nil"/>
              <w:bottom w:val="single" w:color="000000" w:sz="4" w:space="0"/>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（1）二级以上医院有承担疾病预防控制工作的部门，2分。</w:t>
            </w:r>
          </w:p>
        </w:tc>
        <w:tc>
          <w:tcPr>
            <w:tcW w:w="788" w:type="dxa"/>
            <w:vMerge w:val="restart"/>
            <w:tcBorders>
              <w:top w:val="single" w:color="000000" w:sz="4" w:space="0"/>
              <w:left w:val="nil"/>
              <w:right w:val="single" w:color="000000" w:sz="4" w:space="0"/>
            </w:tcBorders>
            <w:vAlign w:val="center"/>
          </w:tcPr>
          <w:p>
            <w:pPr>
              <w:spacing w:line="260" w:lineRule="exact"/>
              <w:jc w:val="center"/>
              <w:rPr>
                <w:rFonts w:ascii="仿宋" w:hAnsi="仿宋" w:eastAsia="仿宋"/>
                <w:sz w:val="21"/>
                <w:szCs w:val="21"/>
              </w:rPr>
            </w:pPr>
            <w:r>
              <w:rPr>
                <w:rFonts w:hint="eastAsia" w:ascii="仿宋" w:hAnsi="仿宋" w:eastAsia="仿宋"/>
                <w:sz w:val="21"/>
                <w:szCs w:val="21"/>
              </w:rPr>
              <w:t>5</w:t>
            </w:r>
          </w:p>
        </w:tc>
        <w:tc>
          <w:tcPr>
            <w:tcW w:w="2095" w:type="dxa"/>
            <w:vMerge w:val="restart"/>
            <w:tcBorders>
              <w:top w:val="single" w:color="000000" w:sz="4" w:space="0"/>
              <w:left w:val="nil"/>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查阅资料。</w:t>
            </w:r>
          </w:p>
        </w:tc>
        <w:tc>
          <w:tcPr>
            <w:tcW w:w="1513" w:type="dxa"/>
            <w:vMerge w:val="restart"/>
            <w:tcBorders>
              <w:top w:val="single" w:color="000000" w:sz="4" w:space="0"/>
              <w:left w:val="nil"/>
              <w:right w:val="single" w:color="auto"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市卫计局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346" w:hRule="atLeast"/>
          <w:jc w:val="center"/>
        </w:trPr>
        <w:tc>
          <w:tcPr>
            <w:tcW w:w="929" w:type="dxa"/>
            <w:vMerge w:val="continue"/>
            <w:tcBorders>
              <w:left w:val="single" w:color="000000" w:sz="4" w:space="0"/>
              <w:right w:val="single" w:color="000000" w:sz="4" w:space="0"/>
            </w:tcBorders>
            <w:vAlign w:val="top"/>
          </w:tcPr>
          <w:p>
            <w:pPr>
              <w:spacing w:line="260" w:lineRule="exact"/>
              <w:rPr>
                <w:rFonts w:ascii="仿宋" w:hAnsi="仿宋" w:eastAsia="仿宋"/>
                <w:sz w:val="21"/>
                <w:szCs w:val="21"/>
              </w:rPr>
            </w:pPr>
          </w:p>
        </w:tc>
        <w:tc>
          <w:tcPr>
            <w:tcW w:w="1009" w:type="dxa"/>
            <w:vMerge w:val="continue"/>
            <w:tcBorders>
              <w:left w:val="single" w:color="auto" w:sz="0" w:space="0"/>
              <w:right w:val="single" w:color="000000" w:sz="4" w:space="0"/>
            </w:tcBorders>
            <w:vAlign w:val="center"/>
          </w:tcPr>
          <w:p>
            <w:pPr>
              <w:spacing w:line="260" w:lineRule="exact"/>
              <w:rPr>
                <w:rFonts w:ascii="仿宋" w:hAnsi="仿宋" w:eastAsia="仿宋"/>
                <w:sz w:val="21"/>
                <w:szCs w:val="21"/>
              </w:rPr>
            </w:pPr>
          </w:p>
        </w:tc>
        <w:tc>
          <w:tcPr>
            <w:tcW w:w="3097" w:type="dxa"/>
            <w:vMerge w:val="continue"/>
            <w:tcBorders>
              <w:left w:val="single" w:color="auto" w:sz="0" w:space="0"/>
              <w:right w:val="single" w:color="000000" w:sz="4" w:space="0"/>
            </w:tcBorders>
            <w:vAlign w:val="center"/>
          </w:tcPr>
          <w:p>
            <w:pPr>
              <w:spacing w:line="260" w:lineRule="exact"/>
              <w:rPr>
                <w:rFonts w:ascii="仿宋" w:hAnsi="仿宋" w:eastAsia="仿宋"/>
                <w:sz w:val="21"/>
                <w:szCs w:val="21"/>
              </w:rPr>
            </w:pPr>
          </w:p>
        </w:tc>
        <w:tc>
          <w:tcPr>
            <w:tcW w:w="6040" w:type="dxa"/>
            <w:tcBorders>
              <w:top w:val="single" w:color="000000" w:sz="4" w:space="0"/>
              <w:left w:val="single" w:color="auto" w:sz="0" w:space="0"/>
              <w:bottom w:val="inset" w:color="auto" w:sz="6" w:space="0"/>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（2）二级以上医院有专职的公共卫生人员承担慢性病防控工作，2分。</w:t>
            </w:r>
          </w:p>
        </w:tc>
        <w:tc>
          <w:tcPr>
            <w:tcW w:w="788" w:type="dxa"/>
            <w:vMerge w:val="continue"/>
            <w:tcBorders>
              <w:top w:val="single" w:color="auto" w:sz="0" w:space="0"/>
              <w:left w:val="single" w:color="auto" w:sz="0" w:space="0"/>
              <w:bottom w:val="single" w:color="auto" w:sz="0" w:space="0"/>
              <w:right w:val="single" w:color="000000" w:sz="4" w:space="0"/>
            </w:tcBorders>
            <w:vAlign w:val="center"/>
          </w:tcPr>
          <w:p>
            <w:pPr>
              <w:spacing w:line="260" w:lineRule="exact"/>
              <w:jc w:val="center"/>
              <w:rPr>
                <w:rFonts w:ascii="仿宋" w:hAnsi="仿宋" w:eastAsia="仿宋"/>
                <w:sz w:val="21"/>
                <w:szCs w:val="21"/>
              </w:rPr>
            </w:pPr>
          </w:p>
        </w:tc>
        <w:tc>
          <w:tcPr>
            <w:tcW w:w="2095" w:type="dxa"/>
            <w:vMerge w:val="continue"/>
            <w:tcBorders>
              <w:top w:val="single" w:color="auto" w:sz="0" w:space="0"/>
              <w:left w:val="single" w:color="auto" w:sz="0" w:space="0"/>
              <w:bottom w:val="single" w:color="auto" w:sz="0" w:space="0"/>
              <w:right w:val="single" w:color="000000" w:sz="4" w:space="0"/>
            </w:tcBorders>
            <w:vAlign w:val="center"/>
          </w:tcPr>
          <w:p>
            <w:pPr>
              <w:spacing w:line="260" w:lineRule="exact"/>
              <w:rPr>
                <w:rFonts w:ascii="仿宋" w:hAnsi="仿宋" w:eastAsia="仿宋"/>
                <w:sz w:val="21"/>
                <w:szCs w:val="21"/>
              </w:rPr>
            </w:pPr>
          </w:p>
        </w:tc>
        <w:tc>
          <w:tcPr>
            <w:tcW w:w="1513" w:type="dxa"/>
            <w:vMerge w:val="continue"/>
            <w:tcBorders>
              <w:top w:val="single" w:color="auto" w:sz="0" w:space="0"/>
              <w:left w:val="dotDash" w:color="auto" w:sz="0" w:space="0"/>
              <w:bottom w:val="single" w:color="auto" w:sz="0" w:space="0"/>
              <w:right w:val="single" w:color="auto" w:sz="4" w:space="0"/>
            </w:tcBorders>
            <w:vAlign w:val="top"/>
          </w:tcPr>
          <w:p>
            <w:pPr>
              <w:spacing w:line="26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782" w:hRule="atLeast"/>
          <w:jc w:val="center"/>
        </w:trPr>
        <w:tc>
          <w:tcPr>
            <w:tcW w:w="929" w:type="dxa"/>
            <w:vMerge w:val="continue"/>
            <w:tcBorders>
              <w:left w:val="single" w:color="000000" w:sz="4" w:space="0"/>
              <w:right w:val="single" w:color="000000" w:sz="4" w:space="0"/>
            </w:tcBorders>
            <w:vAlign w:val="top"/>
          </w:tcPr>
          <w:p>
            <w:pPr>
              <w:spacing w:line="260" w:lineRule="exact"/>
              <w:rPr>
                <w:rFonts w:ascii="仿宋" w:hAnsi="仿宋" w:eastAsia="仿宋"/>
                <w:sz w:val="21"/>
                <w:szCs w:val="21"/>
              </w:rPr>
            </w:pPr>
          </w:p>
        </w:tc>
        <w:tc>
          <w:tcPr>
            <w:tcW w:w="1009" w:type="dxa"/>
            <w:vMerge w:val="continue"/>
            <w:tcBorders>
              <w:left w:val="nil"/>
              <w:right w:val="single" w:color="000000" w:sz="4" w:space="0"/>
            </w:tcBorders>
            <w:vAlign w:val="center"/>
          </w:tcPr>
          <w:p>
            <w:pPr>
              <w:spacing w:line="260" w:lineRule="exact"/>
              <w:rPr>
                <w:rFonts w:ascii="仿宋" w:hAnsi="仿宋" w:eastAsia="仿宋"/>
                <w:sz w:val="21"/>
                <w:szCs w:val="21"/>
              </w:rPr>
            </w:pPr>
          </w:p>
        </w:tc>
        <w:tc>
          <w:tcPr>
            <w:tcW w:w="3097" w:type="dxa"/>
            <w:vMerge w:val="continue"/>
            <w:tcBorders>
              <w:left w:val="nil"/>
              <w:bottom w:val="single" w:color="000000" w:sz="4" w:space="0"/>
              <w:right w:val="single" w:color="000000" w:sz="4" w:space="0"/>
            </w:tcBorders>
            <w:vAlign w:val="center"/>
          </w:tcPr>
          <w:p>
            <w:pPr>
              <w:spacing w:line="260" w:lineRule="exact"/>
              <w:rPr>
                <w:rFonts w:ascii="仿宋" w:hAnsi="仿宋" w:eastAsia="仿宋"/>
                <w:sz w:val="21"/>
                <w:szCs w:val="21"/>
              </w:rPr>
            </w:pPr>
          </w:p>
        </w:tc>
        <w:tc>
          <w:tcPr>
            <w:tcW w:w="6040" w:type="dxa"/>
            <w:tcBorders>
              <w:top w:val="single" w:color="000000" w:sz="4" w:space="0"/>
              <w:left w:val="nil"/>
              <w:bottom w:val="single" w:color="000000" w:sz="4" w:space="0"/>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（3）二级以上医院每年组织对辖区基层医疗机构的慢病专业培训不少于2次，1分。</w:t>
            </w:r>
          </w:p>
        </w:tc>
        <w:tc>
          <w:tcPr>
            <w:tcW w:w="788" w:type="dxa"/>
            <w:vMerge w:val="continue"/>
            <w:tcBorders>
              <w:left w:val="nil"/>
              <w:bottom w:val="single" w:color="000000" w:sz="4" w:space="0"/>
              <w:right w:val="single" w:color="000000" w:sz="4" w:space="0"/>
            </w:tcBorders>
            <w:vAlign w:val="center"/>
          </w:tcPr>
          <w:p>
            <w:pPr>
              <w:spacing w:line="260" w:lineRule="exact"/>
              <w:jc w:val="center"/>
              <w:rPr>
                <w:rFonts w:ascii="仿宋" w:hAnsi="仿宋" w:eastAsia="仿宋"/>
                <w:sz w:val="21"/>
                <w:szCs w:val="21"/>
              </w:rPr>
            </w:pPr>
          </w:p>
        </w:tc>
        <w:tc>
          <w:tcPr>
            <w:tcW w:w="2095" w:type="dxa"/>
            <w:vMerge w:val="continue"/>
            <w:tcBorders>
              <w:left w:val="nil"/>
              <w:bottom w:val="single" w:color="000000" w:sz="4" w:space="0"/>
              <w:right w:val="single" w:color="000000" w:sz="4" w:space="0"/>
            </w:tcBorders>
            <w:vAlign w:val="center"/>
          </w:tcPr>
          <w:p>
            <w:pPr>
              <w:spacing w:line="260" w:lineRule="exact"/>
              <w:rPr>
                <w:rFonts w:ascii="仿宋" w:hAnsi="仿宋" w:eastAsia="仿宋"/>
                <w:sz w:val="21"/>
                <w:szCs w:val="21"/>
              </w:rPr>
            </w:pPr>
          </w:p>
        </w:tc>
        <w:tc>
          <w:tcPr>
            <w:tcW w:w="1513" w:type="dxa"/>
            <w:vMerge w:val="continue"/>
            <w:tcBorders>
              <w:left w:val="nil"/>
              <w:bottom w:val="single" w:color="000000" w:sz="4" w:space="0"/>
              <w:right w:val="single" w:color="auto" w:sz="4" w:space="0"/>
            </w:tcBorders>
            <w:vAlign w:val="top"/>
          </w:tcPr>
          <w:p>
            <w:pPr>
              <w:spacing w:line="26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60" w:hRule="atLeast"/>
          <w:jc w:val="center"/>
        </w:trPr>
        <w:tc>
          <w:tcPr>
            <w:tcW w:w="929" w:type="dxa"/>
            <w:vMerge w:val="continue"/>
            <w:tcBorders>
              <w:left w:val="single" w:color="000000" w:sz="4" w:space="0"/>
              <w:right w:val="single" w:color="000000" w:sz="4" w:space="0"/>
            </w:tcBorders>
            <w:vAlign w:val="top"/>
          </w:tcPr>
          <w:p>
            <w:pPr>
              <w:spacing w:line="260" w:lineRule="exact"/>
              <w:rPr>
                <w:rFonts w:ascii="仿宋" w:hAnsi="仿宋" w:eastAsia="仿宋"/>
                <w:sz w:val="21"/>
                <w:szCs w:val="21"/>
              </w:rPr>
            </w:pPr>
          </w:p>
        </w:tc>
        <w:tc>
          <w:tcPr>
            <w:tcW w:w="1009" w:type="dxa"/>
            <w:vMerge w:val="continue"/>
            <w:tcBorders>
              <w:left w:val="nil"/>
              <w:right w:val="single" w:color="000000" w:sz="4" w:space="0"/>
            </w:tcBorders>
            <w:vAlign w:val="center"/>
          </w:tcPr>
          <w:p>
            <w:pPr>
              <w:spacing w:line="260" w:lineRule="exact"/>
              <w:rPr>
                <w:rFonts w:ascii="仿宋" w:hAnsi="仿宋" w:eastAsia="仿宋"/>
                <w:sz w:val="21"/>
                <w:szCs w:val="21"/>
              </w:rPr>
            </w:pPr>
          </w:p>
        </w:tc>
        <w:tc>
          <w:tcPr>
            <w:tcW w:w="3097" w:type="dxa"/>
            <w:vMerge w:val="restart"/>
            <w:tcBorders>
              <w:top w:val="single" w:color="000000" w:sz="4" w:space="0"/>
              <w:left w:val="nil"/>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3.基层医疗卫生机构加强公共卫生服务能力建设，承担所在区域创建国家级慢性病综合防控示范区工作。</w:t>
            </w:r>
          </w:p>
        </w:tc>
        <w:tc>
          <w:tcPr>
            <w:tcW w:w="6040" w:type="dxa"/>
            <w:tcBorders>
              <w:top w:val="single" w:color="000000" w:sz="4" w:space="0"/>
              <w:left w:val="nil"/>
              <w:bottom w:val="single" w:color="000000" w:sz="4" w:space="0"/>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（1）基层医疗机构设有单独的科室负责慢性病防控工作，1分。</w:t>
            </w:r>
          </w:p>
        </w:tc>
        <w:tc>
          <w:tcPr>
            <w:tcW w:w="788" w:type="dxa"/>
            <w:vMerge w:val="restart"/>
            <w:tcBorders>
              <w:top w:val="single" w:color="000000" w:sz="4" w:space="0"/>
              <w:left w:val="nil"/>
              <w:right w:val="single" w:color="000000" w:sz="4" w:space="0"/>
            </w:tcBorders>
            <w:vAlign w:val="center"/>
          </w:tcPr>
          <w:p>
            <w:pPr>
              <w:spacing w:line="260" w:lineRule="exact"/>
              <w:jc w:val="center"/>
              <w:rPr>
                <w:rFonts w:ascii="仿宋" w:hAnsi="仿宋" w:eastAsia="仿宋"/>
                <w:sz w:val="21"/>
                <w:szCs w:val="21"/>
              </w:rPr>
            </w:pPr>
            <w:r>
              <w:rPr>
                <w:rFonts w:hint="eastAsia" w:ascii="仿宋" w:hAnsi="仿宋" w:eastAsia="仿宋"/>
                <w:sz w:val="21"/>
                <w:szCs w:val="21"/>
              </w:rPr>
              <w:t>5</w:t>
            </w:r>
          </w:p>
        </w:tc>
        <w:tc>
          <w:tcPr>
            <w:tcW w:w="2095" w:type="dxa"/>
            <w:vMerge w:val="restart"/>
            <w:tcBorders>
              <w:top w:val="single" w:color="000000" w:sz="4" w:space="0"/>
              <w:left w:val="nil"/>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查阅资料。</w:t>
            </w:r>
          </w:p>
        </w:tc>
        <w:tc>
          <w:tcPr>
            <w:tcW w:w="1513" w:type="dxa"/>
            <w:vMerge w:val="restart"/>
            <w:tcBorders>
              <w:top w:val="single" w:color="000000" w:sz="4" w:space="0"/>
              <w:left w:val="nil"/>
              <w:right w:val="single" w:color="auto"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市医疗集团</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60" w:hRule="atLeast"/>
          <w:jc w:val="center"/>
        </w:trPr>
        <w:tc>
          <w:tcPr>
            <w:tcW w:w="929" w:type="dxa"/>
            <w:vMerge w:val="continue"/>
            <w:tcBorders>
              <w:left w:val="single" w:color="000000" w:sz="4" w:space="0"/>
              <w:right w:val="single" w:color="000000" w:sz="4" w:space="0"/>
            </w:tcBorders>
            <w:vAlign w:val="top"/>
          </w:tcPr>
          <w:p>
            <w:pPr>
              <w:spacing w:line="260" w:lineRule="exact"/>
              <w:rPr>
                <w:rFonts w:ascii="仿宋" w:hAnsi="仿宋" w:eastAsia="仿宋"/>
                <w:sz w:val="21"/>
                <w:szCs w:val="21"/>
              </w:rPr>
            </w:pPr>
          </w:p>
        </w:tc>
        <w:tc>
          <w:tcPr>
            <w:tcW w:w="1009" w:type="dxa"/>
            <w:vMerge w:val="continue"/>
            <w:tcBorders>
              <w:left w:val="nil"/>
              <w:right w:val="single" w:color="000000" w:sz="4" w:space="0"/>
            </w:tcBorders>
            <w:vAlign w:val="center"/>
          </w:tcPr>
          <w:p>
            <w:pPr>
              <w:spacing w:line="260" w:lineRule="exact"/>
              <w:rPr>
                <w:rFonts w:ascii="仿宋" w:hAnsi="仿宋" w:eastAsia="仿宋"/>
                <w:sz w:val="21"/>
                <w:szCs w:val="21"/>
              </w:rPr>
            </w:pPr>
          </w:p>
        </w:tc>
        <w:tc>
          <w:tcPr>
            <w:tcW w:w="3097" w:type="dxa"/>
            <w:vMerge w:val="continue"/>
            <w:tcBorders>
              <w:left w:val="nil"/>
              <w:right w:val="single" w:color="000000" w:sz="4" w:space="0"/>
            </w:tcBorders>
            <w:vAlign w:val="center"/>
          </w:tcPr>
          <w:p>
            <w:pPr>
              <w:spacing w:line="260" w:lineRule="exact"/>
              <w:rPr>
                <w:rFonts w:hint="eastAsia" w:ascii="仿宋" w:hAnsi="仿宋" w:eastAsia="仿宋"/>
                <w:sz w:val="21"/>
                <w:szCs w:val="21"/>
              </w:rPr>
            </w:pPr>
          </w:p>
        </w:tc>
        <w:tc>
          <w:tcPr>
            <w:tcW w:w="6040" w:type="dxa"/>
            <w:tcBorders>
              <w:top w:val="single" w:color="000000" w:sz="4" w:space="0"/>
              <w:left w:val="nil"/>
              <w:bottom w:val="single" w:color="000000" w:sz="4" w:space="0"/>
              <w:right w:val="single" w:color="000000" w:sz="4" w:space="0"/>
            </w:tcBorders>
            <w:vAlign w:val="center"/>
          </w:tcPr>
          <w:p>
            <w:pPr>
              <w:spacing w:line="260" w:lineRule="exact"/>
              <w:rPr>
                <w:rFonts w:hint="eastAsia" w:ascii="仿宋" w:hAnsi="仿宋" w:eastAsia="仿宋"/>
                <w:sz w:val="21"/>
                <w:szCs w:val="21"/>
              </w:rPr>
            </w:pPr>
            <w:r>
              <w:rPr>
                <w:rFonts w:hint="eastAsia" w:ascii="仿宋" w:hAnsi="仿宋" w:eastAsia="仿宋"/>
                <w:sz w:val="21"/>
                <w:szCs w:val="21"/>
              </w:rPr>
              <w:t>（2）基层医疗机构有专职的公共卫生人员承担慢性病防控工作，2分。</w:t>
            </w:r>
          </w:p>
        </w:tc>
        <w:tc>
          <w:tcPr>
            <w:tcW w:w="788" w:type="dxa"/>
            <w:vMerge w:val="continue"/>
            <w:tcBorders>
              <w:left w:val="nil"/>
              <w:right w:val="single" w:color="000000" w:sz="4" w:space="0"/>
            </w:tcBorders>
            <w:vAlign w:val="center"/>
          </w:tcPr>
          <w:p>
            <w:pPr>
              <w:spacing w:line="260" w:lineRule="exact"/>
              <w:jc w:val="center"/>
              <w:rPr>
                <w:rFonts w:hint="eastAsia" w:ascii="仿宋" w:hAnsi="仿宋" w:eastAsia="仿宋"/>
                <w:sz w:val="21"/>
                <w:szCs w:val="21"/>
              </w:rPr>
            </w:pPr>
          </w:p>
        </w:tc>
        <w:tc>
          <w:tcPr>
            <w:tcW w:w="2095" w:type="dxa"/>
            <w:vMerge w:val="continue"/>
            <w:tcBorders>
              <w:left w:val="nil"/>
              <w:right w:val="single" w:color="000000" w:sz="4" w:space="0"/>
            </w:tcBorders>
            <w:vAlign w:val="center"/>
          </w:tcPr>
          <w:p>
            <w:pPr>
              <w:spacing w:line="260" w:lineRule="exact"/>
              <w:rPr>
                <w:rFonts w:hint="eastAsia" w:ascii="仿宋" w:hAnsi="仿宋" w:eastAsia="仿宋"/>
                <w:sz w:val="21"/>
                <w:szCs w:val="21"/>
              </w:rPr>
            </w:pPr>
          </w:p>
        </w:tc>
        <w:tc>
          <w:tcPr>
            <w:tcW w:w="1513" w:type="dxa"/>
            <w:vMerge w:val="continue"/>
            <w:tcBorders>
              <w:left w:val="nil"/>
              <w:right w:val="single" w:color="auto" w:sz="4" w:space="0"/>
            </w:tcBorders>
            <w:vAlign w:val="center"/>
          </w:tcPr>
          <w:p>
            <w:pPr>
              <w:spacing w:line="260" w:lineRule="exac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60" w:hRule="atLeast"/>
          <w:jc w:val="center"/>
        </w:trPr>
        <w:tc>
          <w:tcPr>
            <w:tcW w:w="929" w:type="dxa"/>
            <w:vMerge w:val="continue"/>
            <w:tcBorders>
              <w:left w:val="single" w:color="000000" w:sz="4" w:space="0"/>
              <w:right w:val="single" w:color="000000" w:sz="4" w:space="0"/>
            </w:tcBorders>
            <w:vAlign w:val="top"/>
          </w:tcPr>
          <w:p>
            <w:pPr>
              <w:spacing w:line="260" w:lineRule="exact"/>
              <w:rPr>
                <w:rFonts w:ascii="仿宋" w:hAnsi="仿宋" w:eastAsia="仿宋"/>
                <w:sz w:val="21"/>
                <w:szCs w:val="21"/>
              </w:rPr>
            </w:pPr>
          </w:p>
        </w:tc>
        <w:tc>
          <w:tcPr>
            <w:tcW w:w="1009" w:type="dxa"/>
            <w:vMerge w:val="continue"/>
            <w:tcBorders>
              <w:left w:val="nil"/>
              <w:right w:val="single" w:color="000000" w:sz="4" w:space="0"/>
            </w:tcBorders>
            <w:vAlign w:val="center"/>
          </w:tcPr>
          <w:p>
            <w:pPr>
              <w:spacing w:line="260" w:lineRule="exact"/>
              <w:rPr>
                <w:rFonts w:ascii="仿宋" w:hAnsi="仿宋" w:eastAsia="仿宋"/>
                <w:sz w:val="21"/>
                <w:szCs w:val="21"/>
              </w:rPr>
            </w:pPr>
          </w:p>
        </w:tc>
        <w:tc>
          <w:tcPr>
            <w:tcW w:w="3097" w:type="dxa"/>
            <w:vMerge w:val="continue"/>
            <w:tcBorders>
              <w:left w:val="nil"/>
              <w:right w:val="single" w:color="000000" w:sz="4" w:space="0"/>
            </w:tcBorders>
            <w:vAlign w:val="center"/>
          </w:tcPr>
          <w:p>
            <w:pPr>
              <w:spacing w:line="260" w:lineRule="exact"/>
              <w:rPr>
                <w:rFonts w:hint="eastAsia" w:ascii="仿宋" w:hAnsi="仿宋" w:eastAsia="仿宋"/>
                <w:sz w:val="21"/>
                <w:szCs w:val="21"/>
              </w:rPr>
            </w:pPr>
          </w:p>
        </w:tc>
        <w:tc>
          <w:tcPr>
            <w:tcW w:w="6040" w:type="dxa"/>
            <w:tcBorders>
              <w:top w:val="single" w:color="000000" w:sz="4" w:space="0"/>
              <w:left w:val="nil"/>
              <w:bottom w:val="single" w:color="000000" w:sz="4" w:space="0"/>
              <w:right w:val="single" w:color="000000" w:sz="4" w:space="0"/>
            </w:tcBorders>
            <w:vAlign w:val="center"/>
          </w:tcPr>
          <w:p>
            <w:pPr>
              <w:spacing w:line="260" w:lineRule="exact"/>
              <w:rPr>
                <w:rFonts w:hint="eastAsia" w:ascii="仿宋" w:hAnsi="仿宋" w:eastAsia="仿宋"/>
                <w:sz w:val="21"/>
                <w:szCs w:val="21"/>
              </w:rPr>
            </w:pPr>
            <w:r>
              <w:rPr>
                <w:rFonts w:hint="eastAsia" w:ascii="仿宋" w:hAnsi="仿宋" w:eastAsia="仿宋"/>
                <w:sz w:val="21"/>
                <w:szCs w:val="21"/>
              </w:rPr>
              <w:t>（3）基层医疗机构每年接受上级培训不少于4次，1分。</w:t>
            </w:r>
          </w:p>
        </w:tc>
        <w:tc>
          <w:tcPr>
            <w:tcW w:w="788" w:type="dxa"/>
            <w:vMerge w:val="continue"/>
            <w:tcBorders>
              <w:left w:val="nil"/>
              <w:right w:val="single" w:color="000000" w:sz="4" w:space="0"/>
            </w:tcBorders>
            <w:vAlign w:val="center"/>
          </w:tcPr>
          <w:p>
            <w:pPr>
              <w:spacing w:line="260" w:lineRule="exact"/>
              <w:jc w:val="center"/>
              <w:rPr>
                <w:rFonts w:hint="eastAsia" w:ascii="仿宋" w:hAnsi="仿宋" w:eastAsia="仿宋"/>
                <w:sz w:val="21"/>
                <w:szCs w:val="21"/>
              </w:rPr>
            </w:pPr>
          </w:p>
        </w:tc>
        <w:tc>
          <w:tcPr>
            <w:tcW w:w="2095" w:type="dxa"/>
            <w:vMerge w:val="continue"/>
            <w:tcBorders>
              <w:left w:val="nil"/>
              <w:right w:val="single" w:color="000000" w:sz="4" w:space="0"/>
            </w:tcBorders>
            <w:vAlign w:val="center"/>
          </w:tcPr>
          <w:p>
            <w:pPr>
              <w:spacing w:line="260" w:lineRule="exact"/>
              <w:rPr>
                <w:rFonts w:hint="eastAsia" w:ascii="仿宋" w:hAnsi="仿宋" w:eastAsia="仿宋"/>
                <w:sz w:val="21"/>
                <w:szCs w:val="21"/>
              </w:rPr>
            </w:pPr>
          </w:p>
        </w:tc>
        <w:tc>
          <w:tcPr>
            <w:tcW w:w="1513" w:type="dxa"/>
            <w:vMerge w:val="continue"/>
            <w:tcBorders>
              <w:left w:val="nil"/>
              <w:right w:val="single" w:color="auto" w:sz="4" w:space="0"/>
            </w:tcBorders>
            <w:vAlign w:val="center"/>
          </w:tcPr>
          <w:p>
            <w:pPr>
              <w:spacing w:line="260" w:lineRule="exac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60" w:hRule="atLeast"/>
          <w:jc w:val="center"/>
        </w:trPr>
        <w:tc>
          <w:tcPr>
            <w:tcW w:w="929" w:type="dxa"/>
            <w:vMerge w:val="continue"/>
            <w:tcBorders>
              <w:left w:val="single" w:color="000000" w:sz="4" w:space="0"/>
              <w:bottom w:val="single" w:color="000000" w:sz="4" w:space="0"/>
              <w:right w:val="single" w:color="000000" w:sz="4" w:space="0"/>
            </w:tcBorders>
            <w:vAlign w:val="top"/>
          </w:tcPr>
          <w:p>
            <w:pPr>
              <w:spacing w:line="260" w:lineRule="exact"/>
              <w:rPr>
                <w:rFonts w:ascii="仿宋" w:hAnsi="仿宋" w:eastAsia="仿宋"/>
                <w:sz w:val="21"/>
                <w:szCs w:val="21"/>
              </w:rPr>
            </w:pPr>
          </w:p>
        </w:tc>
        <w:tc>
          <w:tcPr>
            <w:tcW w:w="1009" w:type="dxa"/>
            <w:vMerge w:val="continue"/>
            <w:tcBorders>
              <w:left w:val="nil"/>
              <w:bottom w:val="single" w:color="000000" w:sz="4" w:space="0"/>
              <w:right w:val="single" w:color="000000" w:sz="4" w:space="0"/>
            </w:tcBorders>
            <w:vAlign w:val="center"/>
          </w:tcPr>
          <w:p>
            <w:pPr>
              <w:spacing w:line="260" w:lineRule="exact"/>
              <w:rPr>
                <w:rFonts w:ascii="仿宋" w:hAnsi="仿宋" w:eastAsia="仿宋"/>
                <w:sz w:val="21"/>
                <w:szCs w:val="21"/>
              </w:rPr>
            </w:pPr>
          </w:p>
        </w:tc>
        <w:tc>
          <w:tcPr>
            <w:tcW w:w="3097" w:type="dxa"/>
            <w:vMerge w:val="continue"/>
            <w:tcBorders>
              <w:left w:val="nil"/>
              <w:bottom w:val="single" w:color="000000" w:sz="4" w:space="0"/>
              <w:right w:val="single" w:color="000000" w:sz="4" w:space="0"/>
            </w:tcBorders>
            <w:vAlign w:val="center"/>
          </w:tcPr>
          <w:p>
            <w:pPr>
              <w:spacing w:line="260" w:lineRule="exact"/>
              <w:rPr>
                <w:rFonts w:hint="eastAsia" w:ascii="仿宋" w:hAnsi="仿宋" w:eastAsia="仿宋"/>
                <w:sz w:val="21"/>
                <w:szCs w:val="21"/>
              </w:rPr>
            </w:pPr>
          </w:p>
        </w:tc>
        <w:tc>
          <w:tcPr>
            <w:tcW w:w="6040" w:type="dxa"/>
            <w:tcBorders>
              <w:top w:val="single" w:color="000000" w:sz="4" w:space="0"/>
              <w:left w:val="nil"/>
              <w:bottom w:val="single" w:color="000000" w:sz="4" w:space="0"/>
              <w:right w:val="single" w:color="000000" w:sz="4" w:space="0"/>
            </w:tcBorders>
            <w:vAlign w:val="center"/>
          </w:tcPr>
          <w:p>
            <w:pPr>
              <w:spacing w:line="260" w:lineRule="exact"/>
            </w:pPr>
            <w:r>
              <w:rPr>
                <w:rFonts w:hint="eastAsia" w:ascii="仿宋" w:hAnsi="仿宋" w:eastAsia="仿宋"/>
                <w:sz w:val="21"/>
                <w:szCs w:val="21"/>
              </w:rPr>
              <w:t>（4）基层医疗机构每年组织对村医或社区卫生服务站医护人员的培训不少于2次，1分</w:t>
            </w:r>
          </w:p>
          <w:p>
            <w:pPr>
              <w:spacing w:line="260" w:lineRule="exact"/>
              <w:rPr>
                <w:rFonts w:hint="eastAsia" w:ascii="仿宋" w:hAnsi="仿宋" w:eastAsia="仿宋"/>
                <w:sz w:val="21"/>
                <w:szCs w:val="21"/>
              </w:rPr>
            </w:pPr>
          </w:p>
        </w:tc>
        <w:tc>
          <w:tcPr>
            <w:tcW w:w="788" w:type="dxa"/>
            <w:vMerge w:val="continue"/>
            <w:tcBorders>
              <w:left w:val="nil"/>
              <w:bottom w:val="single" w:color="000000" w:sz="4" w:space="0"/>
              <w:right w:val="single" w:color="000000" w:sz="4" w:space="0"/>
            </w:tcBorders>
            <w:vAlign w:val="center"/>
          </w:tcPr>
          <w:p>
            <w:pPr>
              <w:spacing w:line="260" w:lineRule="exact"/>
              <w:jc w:val="center"/>
              <w:rPr>
                <w:rFonts w:hint="eastAsia" w:ascii="仿宋" w:hAnsi="仿宋" w:eastAsia="仿宋"/>
                <w:sz w:val="21"/>
                <w:szCs w:val="21"/>
              </w:rPr>
            </w:pPr>
          </w:p>
        </w:tc>
        <w:tc>
          <w:tcPr>
            <w:tcW w:w="2095" w:type="dxa"/>
            <w:vMerge w:val="continue"/>
            <w:tcBorders>
              <w:left w:val="nil"/>
              <w:bottom w:val="single" w:color="000000" w:sz="4" w:space="0"/>
              <w:right w:val="single" w:color="000000" w:sz="4" w:space="0"/>
            </w:tcBorders>
            <w:vAlign w:val="center"/>
          </w:tcPr>
          <w:p>
            <w:pPr>
              <w:spacing w:line="260" w:lineRule="exact"/>
              <w:rPr>
                <w:rFonts w:hint="eastAsia" w:ascii="仿宋" w:hAnsi="仿宋" w:eastAsia="仿宋"/>
                <w:sz w:val="21"/>
                <w:szCs w:val="21"/>
              </w:rPr>
            </w:pPr>
          </w:p>
        </w:tc>
        <w:tc>
          <w:tcPr>
            <w:tcW w:w="1513" w:type="dxa"/>
            <w:vMerge w:val="continue"/>
            <w:tcBorders>
              <w:left w:val="nil"/>
              <w:bottom w:val="single" w:color="000000" w:sz="4" w:space="0"/>
              <w:right w:val="single" w:color="auto" w:sz="4" w:space="0"/>
            </w:tcBorders>
            <w:vAlign w:val="center"/>
          </w:tcPr>
          <w:p>
            <w:pPr>
              <w:spacing w:line="260" w:lineRule="exact"/>
              <w:rPr>
                <w:rFonts w:hint="eastAsia" w:ascii="仿宋" w:hAnsi="仿宋" w:eastAsia="仿宋"/>
                <w:sz w:val="21"/>
                <w:szCs w:val="21"/>
              </w:rPr>
            </w:pPr>
          </w:p>
        </w:tc>
      </w:tr>
    </w:tbl>
    <w:p>
      <w:pPr>
        <w:sectPr>
          <w:pgSz w:w="16838" w:h="11906" w:orient="landscape"/>
          <w:pgMar w:top="1800" w:right="1440" w:bottom="1800" w:left="1440" w:header="851" w:footer="992" w:gutter="0"/>
          <w:cols w:space="425" w:num="1"/>
          <w:docGrid w:type="lines" w:linePitch="312" w:charSpace="0"/>
        </w:sectPr>
      </w:pPr>
    </w:p>
    <w:tbl>
      <w:tblPr>
        <w:tblStyle w:val="6"/>
        <w:tblW w:w="14932" w:type="dxa"/>
        <w:jc w:val="center"/>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896"/>
        <w:gridCol w:w="974"/>
        <w:gridCol w:w="2989"/>
        <w:gridCol w:w="5829"/>
        <w:gridCol w:w="761"/>
        <w:gridCol w:w="2022"/>
        <w:gridCol w:w="1461"/>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543" w:hRule="atLeast"/>
          <w:jc w:val="center"/>
        </w:trPr>
        <w:tc>
          <w:tcPr>
            <w:tcW w:w="89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指标</w:t>
            </w:r>
          </w:p>
          <w:p>
            <w:pPr>
              <w:spacing w:line="280" w:lineRule="exact"/>
              <w:jc w:val="center"/>
              <w:rPr>
                <w:rFonts w:ascii="仿宋" w:hAnsi="仿宋" w:eastAsia="仿宋"/>
                <w:b/>
                <w:bCs/>
                <w:sz w:val="21"/>
                <w:szCs w:val="21"/>
              </w:rPr>
            </w:pPr>
            <w:r>
              <w:rPr>
                <w:rFonts w:hint="eastAsia" w:ascii="仿宋" w:hAnsi="仿宋" w:eastAsia="仿宋"/>
                <w:b/>
                <w:bCs/>
                <w:sz w:val="21"/>
                <w:szCs w:val="21"/>
              </w:rPr>
              <w:t>分类</w:t>
            </w:r>
          </w:p>
        </w:tc>
        <w:tc>
          <w:tcPr>
            <w:tcW w:w="974"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指标</w:t>
            </w:r>
          </w:p>
          <w:p>
            <w:pPr>
              <w:spacing w:line="280" w:lineRule="exact"/>
              <w:jc w:val="center"/>
              <w:rPr>
                <w:rFonts w:ascii="仿宋" w:hAnsi="仿宋" w:eastAsia="仿宋"/>
                <w:b/>
                <w:bCs/>
                <w:sz w:val="21"/>
                <w:szCs w:val="21"/>
              </w:rPr>
            </w:pPr>
            <w:r>
              <w:rPr>
                <w:rFonts w:hint="eastAsia" w:ascii="仿宋" w:hAnsi="仿宋" w:eastAsia="仿宋"/>
                <w:b/>
                <w:bCs/>
                <w:sz w:val="21"/>
                <w:szCs w:val="21"/>
              </w:rPr>
              <w:t>内容</w:t>
            </w:r>
          </w:p>
        </w:tc>
        <w:tc>
          <w:tcPr>
            <w:tcW w:w="2989"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指标要求</w:t>
            </w:r>
          </w:p>
        </w:tc>
        <w:tc>
          <w:tcPr>
            <w:tcW w:w="5829"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赋分标准</w:t>
            </w:r>
          </w:p>
        </w:tc>
        <w:tc>
          <w:tcPr>
            <w:tcW w:w="761"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权重分值</w:t>
            </w:r>
          </w:p>
        </w:tc>
        <w:tc>
          <w:tcPr>
            <w:tcW w:w="2022"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评价办法</w:t>
            </w:r>
          </w:p>
        </w:tc>
        <w:tc>
          <w:tcPr>
            <w:tcW w:w="1461"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责任单位</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02" w:hRule="atLeast"/>
          <w:jc w:val="center"/>
        </w:trPr>
        <w:tc>
          <w:tcPr>
            <w:tcW w:w="896" w:type="dxa"/>
            <w:vMerge w:val="restart"/>
            <w:tcBorders>
              <w:top w:val="single" w:color="000000" w:sz="4" w:space="0"/>
              <w:left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四、健康教育与健康促进（28分）</w:t>
            </w:r>
          </w:p>
        </w:tc>
        <w:tc>
          <w:tcPr>
            <w:tcW w:w="974"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（一）通过多种渠道积极开展慢性病防治全民健康教育。（10分）</w:t>
            </w:r>
          </w:p>
        </w:tc>
        <w:tc>
          <w:tcPr>
            <w:tcW w:w="2989"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1.广泛开展健康教育，定期传播慢性病防治和健康素养知识和技能。</w:t>
            </w:r>
          </w:p>
        </w:tc>
        <w:tc>
          <w:tcPr>
            <w:tcW w:w="5829"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利用传统媒体和互联网等新媒体广泛开展慢性病防治和健康教育，每月不少于2次，2分。</w:t>
            </w:r>
          </w:p>
        </w:tc>
        <w:tc>
          <w:tcPr>
            <w:tcW w:w="761"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2</w:t>
            </w:r>
          </w:p>
        </w:tc>
        <w:tc>
          <w:tcPr>
            <w:tcW w:w="2022"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查阅资料。</w:t>
            </w:r>
          </w:p>
        </w:tc>
        <w:tc>
          <w:tcPr>
            <w:tcW w:w="1461"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市委宣传部、市广播电视台、市健康教育所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02" w:hRule="atLeast"/>
          <w:jc w:val="center"/>
        </w:trPr>
        <w:tc>
          <w:tcPr>
            <w:tcW w:w="896"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74"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2989"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2.开展社会性大型健康日活动，扩大传播慢性病防治和慢性病健康素养知识和技能的范围。</w:t>
            </w:r>
          </w:p>
        </w:tc>
        <w:tc>
          <w:tcPr>
            <w:tcW w:w="5829"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辖区每年至少开展4次健康主题日大型宣传活动，应包括肿瘤宣传周、全国高血压日、世界糖尿病日、全民健康方式日、爱牙日、世界脑卒中日等，2分。大型活动是指参与人数超过300人（含分会场）。</w:t>
            </w:r>
          </w:p>
        </w:tc>
        <w:tc>
          <w:tcPr>
            <w:tcW w:w="761"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2</w:t>
            </w:r>
          </w:p>
        </w:tc>
        <w:tc>
          <w:tcPr>
            <w:tcW w:w="2022"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查阅资料。</w:t>
            </w:r>
          </w:p>
        </w:tc>
        <w:tc>
          <w:tcPr>
            <w:tcW w:w="1461"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市卫计局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827" w:hRule="atLeast"/>
          <w:jc w:val="center"/>
        </w:trPr>
        <w:tc>
          <w:tcPr>
            <w:tcW w:w="896"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74"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2989"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3.各社区设有健康教育宣传阵地，向居民普及慢性病防控的知识与技能。</w:t>
            </w:r>
          </w:p>
        </w:tc>
        <w:tc>
          <w:tcPr>
            <w:tcW w:w="5829"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（1）健康教育活动室在当地社区的覆盖率达100%，1分。</w:t>
            </w:r>
          </w:p>
        </w:tc>
        <w:tc>
          <w:tcPr>
            <w:tcW w:w="761" w:type="dxa"/>
            <w:vMerge w:val="restart"/>
            <w:tcBorders>
              <w:top w:val="single" w:color="000000" w:sz="4" w:space="0"/>
              <w:left w:val="nil"/>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3</w:t>
            </w:r>
          </w:p>
        </w:tc>
        <w:tc>
          <w:tcPr>
            <w:tcW w:w="2022"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18"/>
                <w:szCs w:val="18"/>
              </w:rPr>
            </w:pPr>
            <w:r>
              <w:rPr>
                <w:rFonts w:hint="eastAsia" w:ascii="仿宋" w:hAnsi="仿宋" w:eastAsia="仿宋"/>
                <w:sz w:val="18"/>
                <w:szCs w:val="18"/>
              </w:rPr>
              <w:t>查阅资料，现场评估。查阅活动室、健康讲座与社区宣传栏的计划或分布表；抽取2个点现场观察实际执行情况。</w:t>
            </w:r>
          </w:p>
        </w:tc>
        <w:tc>
          <w:tcPr>
            <w:tcW w:w="1461"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各乡镇、街道</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63" w:hRule="atLeast"/>
          <w:jc w:val="center"/>
        </w:trPr>
        <w:tc>
          <w:tcPr>
            <w:tcW w:w="896"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74"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2989"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5829"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（2）健康宣传栏社区覆盖率≥90%，内容至少2个月更新1次，1分。</w:t>
            </w:r>
          </w:p>
        </w:tc>
        <w:tc>
          <w:tcPr>
            <w:tcW w:w="761" w:type="dxa"/>
            <w:vMerge w:val="continue"/>
            <w:tcBorders>
              <w:left w:val="nil"/>
              <w:right w:val="single" w:color="000000" w:sz="4" w:space="0"/>
            </w:tcBorders>
            <w:vAlign w:val="center"/>
          </w:tcPr>
          <w:p>
            <w:pPr>
              <w:spacing w:line="280" w:lineRule="exact"/>
              <w:jc w:val="center"/>
              <w:rPr>
                <w:rFonts w:ascii="仿宋" w:hAnsi="仿宋" w:eastAsia="仿宋"/>
                <w:sz w:val="21"/>
                <w:szCs w:val="21"/>
              </w:rPr>
            </w:pPr>
          </w:p>
        </w:tc>
        <w:tc>
          <w:tcPr>
            <w:tcW w:w="2022" w:type="dxa"/>
            <w:vMerge w:val="continue"/>
            <w:tcBorders>
              <w:left w:val="nil"/>
              <w:right w:val="single" w:color="000000" w:sz="4" w:space="0"/>
            </w:tcBorders>
            <w:vAlign w:val="center"/>
          </w:tcPr>
          <w:p>
            <w:pPr>
              <w:spacing w:line="280" w:lineRule="exact"/>
              <w:rPr>
                <w:rFonts w:ascii="仿宋" w:hAnsi="仿宋" w:eastAsia="仿宋"/>
                <w:sz w:val="18"/>
                <w:szCs w:val="18"/>
              </w:rPr>
            </w:pPr>
          </w:p>
        </w:tc>
        <w:tc>
          <w:tcPr>
            <w:tcW w:w="1461" w:type="dxa"/>
            <w:vMerge w:val="continue"/>
            <w:tcBorders>
              <w:left w:val="nil"/>
              <w:right w:val="single" w:color="000000" w:sz="4" w:space="0"/>
            </w:tcBorders>
            <w:vAlign w:val="top"/>
          </w:tcPr>
          <w:p>
            <w:pPr>
              <w:spacing w:line="28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02" w:hRule="atLeast"/>
          <w:jc w:val="center"/>
        </w:trPr>
        <w:tc>
          <w:tcPr>
            <w:tcW w:w="896"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74"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2989"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5829"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（3）社区健康讲座每年≥4次，每次不少于50人，1分。</w:t>
            </w:r>
          </w:p>
        </w:tc>
        <w:tc>
          <w:tcPr>
            <w:tcW w:w="761" w:type="dxa"/>
            <w:vMerge w:val="continue"/>
            <w:tcBorders>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p>
        </w:tc>
        <w:tc>
          <w:tcPr>
            <w:tcW w:w="2022"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18"/>
                <w:szCs w:val="18"/>
              </w:rPr>
            </w:pPr>
          </w:p>
        </w:tc>
        <w:tc>
          <w:tcPr>
            <w:tcW w:w="1461" w:type="dxa"/>
            <w:vMerge w:val="continue"/>
            <w:tcBorders>
              <w:left w:val="nil"/>
              <w:bottom w:val="single" w:color="000000" w:sz="4" w:space="0"/>
              <w:right w:val="single" w:color="000000" w:sz="4" w:space="0"/>
            </w:tcBorders>
            <w:vAlign w:val="top"/>
          </w:tcPr>
          <w:p>
            <w:pPr>
              <w:spacing w:line="28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63" w:hRule="atLeast"/>
          <w:jc w:val="center"/>
        </w:trPr>
        <w:tc>
          <w:tcPr>
            <w:tcW w:w="896"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74"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2989"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4.开展幼儿园、中小学校健康行为方式教育。</w:t>
            </w:r>
          </w:p>
        </w:tc>
        <w:tc>
          <w:tcPr>
            <w:tcW w:w="5829"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（1）幼儿园、中、小学校开设健康教育课覆盖率达100%，1分。</w:t>
            </w:r>
          </w:p>
        </w:tc>
        <w:tc>
          <w:tcPr>
            <w:tcW w:w="761" w:type="dxa"/>
            <w:vMerge w:val="restart"/>
            <w:tcBorders>
              <w:top w:val="single" w:color="000000" w:sz="4" w:space="0"/>
              <w:left w:val="nil"/>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3</w:t>
            </w:r>
          </w:p>
        </w:tc>
        <w:tc>
          <w:tcPr>
            <w:tcW w:w="2022"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18"/>
                <w:szCs w:val="18"/>
              </w:rPr>
            </w:pPr>
            <w:r>
              <w:rPr>
                <w:rFonts w:hint="eastAsia" w:ascii="仿宋" w:hAnsi="仿宋" w:eastAsia="仿宋"/>
                <w:sz w:val="18"/>
                <w:szCs w:val="18"/>
              </w:rPr>
              <w:t>查阅资料，现场评估。查阅教育计划；资料即课程表、教材与教参，抽取1个点现场观察实际执行情况。</w:t>
            </w:r>
          </w:p>
        </w:tc>
        <w:tc>
          <w:tcPr>
            <w:tcW w:w="1461" w:type="dxa"/>
            <w:vMerge w:val="restart"/>
            <w:tcBorders>
              <w:top w:val="single" w:color="000000" w:sz="4" w:space="0"/>
              <w:left w:val="nil"/>
              <w:right w:val="single" w:color="auto"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市教科局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02" w:hRule="atLeast"/>
          <w:jc w:val="center"/>
        </w:trPr>
        <w:tc>
          <w:tcPr>
            <w:tcW w:w="896"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74"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2989"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5829"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（2）健康教育课包括营养均衡、口腔保健、健康体重、视力保护等内容，每学期以班级为单位，课程≥6学时，2分；低于6学时不得分。</w:t>
            </w:r>
          </w:p>
        </w:tc>
        <w:tc>
          <w:tcPr>
            <w:tcW w:w="761" w:type="dxa"/>
            <w:vMerge w:val="continue"/>
            <w:tcBorders>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p>
        </w:tc>
        <w:tc>
          <w:tcPr>
            <w:tcW w:w="2022"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1461" w:type="dxa"/>
            <w:vMerge w:val="continue"/>
            <w:tcBorders>
              <w:left w:val="nil"/>
              <w:bottom w:val="single" w:color="000000" w:sz="4" w:space="0"/>
              <w:right w:val="single" w:color="auto" w:sz="4" w:space="0"/>
            </w:tcBorders>
            <w:vAlign w:val="top"/>
          </w:tcPr>
          <w:p>
            <w:pPr>
              <w:spacing w:line="28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474" w:hRule="atLeast"/>
          <w:jc w:val="center"/>
        </w:trPr>
        <w:tc>
          <w:tcPr>
            <w:tcW w:w="896"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74"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18"/>
                <w:szCs w:val="18"/>
              </w:rPr>
            </w:pPr>
            <w:r>
              <w:rPr>
                <w:rFonts w:hint="eastAsia" w:ascii="仿宋" w:hAnsi="仿宋" w:eastAsia="仿宋"/>
                <w:sz w:val="18"/>
                <w:szCs w:val="18"/>
              </w:rPr>
              <w:t>（二）提高居民重点慢性病核心知识知晓率和居民健康素养水平（10分）</w:t>
            </w:r>
          </w:p>
        </w:tc>
        <w:tc>
          <w:tcPr>
            <w:tcW w:w="2989"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1.提高居民重点慢性病核心知识知晓率。</w:t>
            </w:r>
          </w:p>
        </w:tc>
        <w:tc>
          <w:tcPr>
            <w:tcW w:w="5829"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居民重点慢性病核心知识知晓率≥60%，6分；50-60%，4分；低于50%不得分。</w:t>
            </w:r>
          </w:p>
        </w:tc>
        <w:tc>
          <w:tcPr>
            <w:tcW w:w="761"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6</w:t>
            </w:r>
          </w:p>
        </w:tc>
        <w:tc>
          <w:tcPr>
            <w:tcW w:w="2022"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查阅社会因素调查报告。</w:t>
            </w:r>
          </w:p>
        </w:tc>
        <w:tc>
          <w:tcPr>
            <w:tcW w:w="1461"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市疾控中心</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678" w:hRule="atLeast"/>
          <w:jc w:val="center"/>
        </w:trPr>
        <w:tc>
          <w:tcPr>
            <w:tcW w:w="896" w:type="dxa"/>
            <w:vMerge w:val="continue"/>
            <w:tcBorders>
              <w:left w:val="single" w:color="000000" w:sz="4" w:space="0"/>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974"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2989"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2.提高居民健康素养水平。</w:t>
            </w:r>
          </w:p>
        </w:tc>
        <w:tc>
          <w:tcPr>
            <w:tcW w:w="5829"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居民健康素养水平达到20%，4分；10-20%，3分；10%以下不得分。</w:t>
            </w:r>
          </w:p>
        </w:tc>
        <w:tc>
          <w:tcPr>
            <w:tcW w:w="761"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4</w:t>
            </w:r>
          </w:p>
        </w:tc>
        <w:tc>
          <w:tcPr>
            <w:tcW w:w="2022"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查阅资料。</w:t>
            </w:r>
          </w:p>
        </w:tc>
        <w:tc>
          <w:tcPr>
            <w:tcW w:w="1461"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市健康教育所</w:t>
            </w:r>
          </w:p>
        </w:tc>
      </w:tr>
    </w:tbl>
    <w:p>
      <w:pPr>
        <w:sectPr>
          <w:pgSz w:w="16838" w:h="11906" w:orient="landscape"/>
          <w:pgMar w:top="1800" w:right="1440" w:bottom="1800" w:left="1440" w:header="851" w:footer="992" w:gutter="0"/>
          <w:cols w:space="425" w:num="1"/>
          <w:docGrid w:type="lines" w:linePitch="312" w:charSpace="0"/>
        </w:sectPr>
      </w:pPr>
      <w:bookmarkStart w:id="0" w:name="_GoBack"/>
      <w:bookmarkEnd w:id="0"/>
    </w:p>
    <w:tbl>
      <w:tblPr>
        <w:tblStyle w:val="6"/>
        <w:tblW w:w="15211" w:type="dxa"/>
        <w:jc w:val="center"/>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868"/>
        <w:gridCol w:w="1037"/>
        <w:gridCol w:w="3045"/>
        <w:gridCol w:w="5938"/>
        <w:gridCol w:w="775"/>
        <w:gridCol w:w="2060"/>
        <w:gridCol w:w="1488"/>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419" w:hRule="atLeast"/>
          <w:jc w:val="center"/>
        </w:trPr>
        <w:tc>
          <w:tcPr>
            <w:tcW w:w="86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仿宋" w:hAnsi="仿宋" w:eastAsia="仿宋"/>
                <w:b/>
                <w:bCs/>
                <w:sz w:val="21"/>
                <w:szCs w:val="21"/>
              </w:rPr>
            </w:pPr>
            <w:r>
              <w:rPr>
                <w:rFonts w:hint="eastAsia" w:ascii="仿宋" w:hAnsi="仿宋" w:eastAsia="仿宋"/>
                <w:b/>
                <w:bCs/>
                <w:sz w:val="21"/>
                <w:szCs w:val="21"/>
              </w:rPr>
              <w:t>指标</w:t>
            </w:r>
          </w:p>
          <w:p>
            <w:pPr>
              <w:spacing w:line="260" w:lineRule="exact"/>
              <w:jc w:val="center"/>
              <w:rPr>
                <w:rFonts w:ascii="仿宋" w:hAnsi="仿宋" w:eastAsia="仿宋"/>
                <w:b/>
                <w:bCs/>
                <w:sz w:val="21"/>
                <w:szCs w:val="21"/>
              </w:rPr>
            </w:pPr>
            <w:r>
              <w:rPr>
                <w:rFonts w:hint="eastAsia" w:ascii="仿宋" w:hAnsi="仿宋" w:eastAsia="仿宋"/>
                <w:b/>
                <w:bCs/>
                <w:sz w:val="21"/>
                <w:szCs w:val="21"/>
              </w:rPr>
              <w:t>分类</w:t>
            </w:r>
          </w:p>
        </w:tc>
        <w:tc>
          <w:tcPr>
            <w:tcW w:w="1037" w:type="dxa"/>
            <w:tcBorders>
              <w:top w:val="single" w:color="000000" w:sz="4" w:space="0"/>
              <w:left w:val="nil"/>
              <w:bottom w:val="single" w:color="000000" w:sz="4" w:space="0"/>
              <w:right w:val="single" w:color="000000" w:sz="4" w:space="0"/>
            </w:tcBorders>
            <w:vAlign w:val="center"/>
          </w:tcPr>
          <w:p>
            <w:pPr>
              <w:spacing w:line="260" w:lineRule="exact"/>
              <w:jc w:val="center"/>
              <w:rPr>
                <w:rFonts w:ascii="仿宋" w:hAnsi="仿宋" w:eastAsia="仿宋"/>
                <w:b/>
                <w:bCs/>
                <w:sz w:val="21"/>
                <w:szCs w:val="21"/>
              </w:rPr>
            </w:pPr>
            <w:r>
              <w:rPr>
                <w:rFonts w:hint="eastAsia" w:ascii="仿宋" w:hAnsi="仿宋" w:eastAsia="仿宋"/>
                <w:b/>
                <w:bCs/>
                <w:sz w:val="21"/>
                <w:szCs w:val="21"/>
              </w:rPr>
              <w:t>指标</w:t>
            </w:r>
          </w:p>
          <w:p>
            <w:pPr>
              <w:spacing w:line="260" w:lineRule="exact"/>
              <w:jc w:val="center"/>
              <w:rPr>
                <w:rFonts w:ascii="仿宋" w:hAnsi="仿宋" w:eastAsia="仿宋"/>
                <w:b/>
                <w:bCs/>
                <w:sz w:val="21"/>
                <w:szCs w:val="21"/>
              </w:rPr>
            </w:pPr>
            <w:r>
              <w:rPr>
                <w:rFonts w:hint="eastAsia" w:ascii="仿宋" w:hAnsi="仿宋" w:eastAsia="仿宋"/>
                <w:b/>
                <w:bCs/>
                <w:sz w:val="21"/>
                <w:szCs w:val="21"/>
              </w:rPr>
              <w:t>内容</w:t>
            </w:r>
          </w:p>
        </w:tc>
        <w:tc>
          <w:tcPr>
            <w:tcW w:w="3045" w:type="dxa"/>
            <w:tcBorders>
              <w:top w:val="single" w:color="000000" w:sz="4" w:space="0"/>
              <w:left w:val="nil"/>
              <w:bottom w:val="single" w:color="000000" w:sz="4" w:space="0"/>
              <w:right w:val="single" w:color="000000" w:sz="4" w:space="0"/>
            </w:tcBorders>
            <w:vAlign w:val="center"/>
          </w:tcPr>
          <w:p>
            <w:pPr>
              <w:spacing w:line="260" w:lineRule="exact"/>
              <w:jc w:val="center"/>
              <w:rPr>
                <w:rFonts w:ascii="仿宋" w:hAnsi="仿宋" w:eastAsia="仿宋"/>
                <w:b/>
                <w:bCs/>
                <w:sz w:val="21"/>
                <w:szCs w:val="21"/>
              </w:rPr>
            </w:pPr>
            <w:r>
              <w:rPr>
                <w:rFonts w:hint="eastAsia" w:ascii="仿宋" w:hAnsi="仿宋" w:eastAsia="仿宋"/>
                <w:b/>
                <w:bCs/>
                <w:sz w:val="21"/>
                <w:szCs w:val="21"/>
              </w:rPr>
              <w:t>指标要求</w:t>
            </w:r>
          </w:p>
        </w:tc>
        <w:tc>
          <w:tcPr>
            <w:tcW w:w="5938" w:type="dxa"/>
            <w:tcBorders>
              <w:top w:val="single" w:color="000000" w:sz="4" w:space="0"/>
              <w:left w:val="nil"/>
              <w:bottom w:val="single" w:color="000000" w:sz="4" w:space="0"/>
              <w:right w:val="single" w:color="000000" w:sz="4" w:space="0"/>
            </w:tcBorders>
            <w:vAlign w:val="center"/>
          </w:tcPr>
          <w:p>
            <w:pPr>
              <w:spacing w:line="260" w:lineRule="exact"/>
              <w:jc w:val="center"/>
              <w:rPr>
                <w:rFonts w:ascii="仿宋" w:hAnsi="仿宋" w:eastAsia="仿宋"/>
                <w:b/>
                <w:bCs/>
                <w:sz w:val="21"/>
                <w:szCs w:val="21"/>
              </w:rPr>
            </w:pPr>
            <w:r>
              <w:rPr>
                <w:rFonts w:hint="eastAsia" w:ascii="仿宋" w:hAnsi="仿宋" w:eastAsia="仿宋"/>
                <w:b/>
                <w:bCs/>
                <w:sz w:val="21"/>
                <w:szCs w:val="21"/>
              </w:rPr>
              <w:t>赋分标准</w:t>
            </w:r>
          </w:p>
        </w:tc>
        <w:tc>
          <w:tcPr>
            <w:tcW w:w="775" w:type="dxa"/>
            <w:tcBorders>
              <w:top w:val="single" w:color="000000" w:sz="4" w:space="0"/>
              <w:left w:val="nil"/>
              <w:bottom w:val="single" w:color="000000" w:sz="4" w:space="0"/>
              <w:right w:val="single" w:color="000000" w:sz="4" w:space="0"/>
            </w:tcBorders>
            <w:vAlign w:val="center"/>
          </w:tcPr>
          <w:p>
            <w:pPr>
              <w:spacing w:line="260" w:lineRule="exact"/>
              <w:jc w:val="center"/>
              <w:rPr>
                <w:rFonts w:ascii="仿宋" w:hAnsi="仿宋" w:eastAsia="仿宋"/>
                <w:b/>
                <w:bCs/>
                <w:sz w:val="21"/>
                <w:szCs w:val="21"/>
              </w:rPr>
            </w:pPr>
            <w:r>
              <w:rPr>
                <w:rFonts w:hint="eastAsia" w:ascii="仿宋" w:hAnsi="仿宋" w:eastAsia="仿宋"/>
                <w:b/>
                <w:bCs/>
                <w:sz w:val="21"/>
                <w:szCs w:val="21"/>
              </w:rPr>
              <w:t>权重分值</w:t>
            </w:r>
          </w:p>
        </w:tc>
        <w:tc>
          <w:tcPr>
            <w:tcW w:w="2060" w:type="dxa"/>
            <w:tcBorders>
              <w:top w:val="single" w:color="000000" w:sz="4" w:space="0"/>
              <w:left w:val="nil"/>
              <w:bottom w:val="single" w:color="000000" w:sz="4" w:space="0"/>
              <w:right w:val="single" w:color="000000" w:sz="4" w:space="0"/>
            </w:tcBorders>
            <w:vAlign w:val="center"/>
          </w:tcPr>
          <w:p>
            <w:pPr>
              <w:spacing w:line="260" w:lineRule="exact"/>
              <w:jc w:val="center"/>
              <w:rPr>
                <w:rFonts w:ascii="仿宋" w:hAnsi="仿宋" w:eastAsia="仿宋"/>
                <w:b/>
                <w:bCs/>
                <w:sz w:val="21"/>
                <w:szCs w:val="21"/>
              </w:rPr>
            </w:pPr>
            <w:r>
              <w:rPr>
                <w:rFonts w:hint="eastAsia" w:ascii="仿宋" w:hAnsi="仿宋" w:eastAsia="仿宋"/>
                <w:b/>
                <w:bCs/>
                <w:sz w:val="21"/>
                <w:szCs w:val="21"/>
              </w:rPr>
              <w:t>评价办法</w:t>
            </w:r>
          </w:p>
        </w:tc>
        <w:tc>
          <w:tcPr>
            <w:tcW w:w="1488" w:type="dxa"/>
            <w:tcBorders>
              <w:top w:val="single" w:color="000000" w:sz="4" w:space="0"/>
              <w:left w:val="nil"/>
              <w:bottom w:val="single" w:color="000000" w:sz="4" w:space="0"/>
              <w:right w:val="single" w:color="000000" w:sz="4" w:space="0"/>
            </w:tcBorders>
            <w:vAlign w:val="center"/>
          </w:tcPr>
          <w:p>
            <w:pPr>
              <w:spacing w:line="260" w:lineRule="exact"/>
              <w:jc w:val="center"/>
              <w:rPr>
                <w:rFonts w:ascii="仿宋" w:hAnsi="仿宋" w:eastAsia="仿宋"/>
                <w:b/>
                <w:bCs/>
                <w:sz w:val="21"/>
                <w:szCs w:val="21"/>
              </w:rPr>
            </w:pPr>
            <w:r>
              <w:rPr>
                <w:rFonts w:hint="eastAsia" w:ascii="仿宋" w:hAnsi="仿宋" w:eastAsia="仿宋"/>
                <w:b/>
                <w:bCs/>
                <w:sz w:val="21"/>
                <w:szCs w:val="21"/>
              </w:rPr>
              <w:t>责任单位</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423" w:hRule="atLeast"/>
          <w:jc w:val="center"/>
        </w:trPr>
        <w:tc>
          <w:tcPr>
            <w:tcW w:w="868" w:type="dxa"/>
            <w:vMerge w:val="restart"/>
            <w:tcBorders>
              <w:top w:val="single" w:color="auto" w:sz="4" w:space="0"/>
              <w:left w:val="single" w:color="000000" w:sz="4" w:space="0"/>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四、健康教育与健康促进（28分）</w:t>
            </w:r>
          </w:p>
        </w:tc>
        <w:tc>
          <w:tcPr>
            <w:tcW w:w="1037" w:type="dxa"/>
            <w:vMerge w:val="restart"/>
            <w:tcBorders>
              <w:top w:val="single" w:color="auto" w:sz="4" w:space="0"/>
              <w:left w:val="nil"/>
              <w:right w:val="single" w:color="000000" w:sz="4" w:space="0"/>
            </w:tcBorders>
            <w:vAlign w:val="center"/>
          </w:tcPr>
          <w:p>
            <w:pPr>
              <w:spacing w:line="260" w:lineRule="exact"/>
              <w:rPr>
                <w:rFonts w:ascii="仿宋" w:hAnsi="仿宋" w:eastAsia="仿宋"/>
                <w:sz w:val="18"/>
                <w:szCs w:val="18"/>
              </w:rPr>
            </w:pPr>
            <w:r>
              <w:rPr>
                <w:rFonts w:hint="eastAsia" w:ascii="仿宋" w:hAnsi="仿宋" w:eastAsia="仿宋"/>
                <w:sz w:val="18"/>
                <w:szCs w:val="18"/>
              </w:rPr>
              <w:t>（三）发挥社会团体和群众组织在慢性病防控中的积极作用。（8分）</w:t>
            </w:r>
          </w:p>
        </w:tc>
        <w:tc>
          <w:tcPr>
            <w:tcW w:w="3045" w:type="dxa"/>
            <w:vMerge w:val="restart"/>
            <w:tcBorders>
              <w:top w:val="single" w:color="000000" w:sz="4" w:space="0"/>
              <w:left w:val="nil"/>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1.辖区开展群众性健身运动。</w:t>
            </w:r>
          </w:p>
        </w:tc>
        <w:tc>
          <w:tcPr>
            <w:tcW w:w="5938" w:type="dxa"/>
            <w:tcBorders>
              <w:top w:val="single" w:color="000000" w:sz="4" w:space="0"/>
              <w:left w:val="nil"/>
              <w:bottom w:val="single" w:color="000000" w:sz="4" w:space="0"/>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（1）有5个及以上的群众健身团体，1分。</w:t>
            </w:r>
          </w:p>
        </w:tc>
        <w:tc>
          <w:tcPr>
            <w:tcW w:w="775" w:type="dxa"/>
            <w:vMerge w:val="restart"/>
            <w:tcBorders>
              <w:top w:val="single" w:color="000000" w:sz="4" w:space="0"/>
              <w:left w:val="nil"/>
              <w:right w:val="single" w:color="000000" w:sz="4" w:space="0"/>
            </w:tcBorders>
            <w:vAlign w:val="center"/>
          </w:tcPr>
          <w:p>
            <w:pPr>
              <w:spacing w:line="260" w:lineRule="exact"/>
              <w:jc w:val="center"/>
              <w:rPr>
                <w:rFonts w:ascii="仿宋" w:hAnsi="仿宋" w:eastAsia="仿宋"/>
                <w:sz w:val="21"/>
                <w:szCs w:val="21"/>
              </w:rPr>
            </w:pPr>
            <w:r>
              <w:rPr>
                <w:rFonts w:hint="eastAsia" w:ascii="仿宋" w:hAnsi="仿宋" w:eastAsia="仿宋"/>
                <w:sz w:val="21"/>
                <w:szCs w:val="21"/>
              </w:rPr>
              <w:t>2</w:t>
            </w:r>
          </w:p>
        </w:tc>
        <w:tc>
          <w:tcPr>
            <w:tcW w:w="2060" w:type="dxa"/>
            <w:vMerge w:val="restart"/>
            <w:tcBorders>
              <w:top w:val="single" w:color="000000" w:sz="4" w:space="0"/>
              <w:left w:val="nil"/>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查阅资料。</w:t>
            </w:r>
          </w:p>
        </w:tc>
        <w:tc>
          <w:tcPr>
            <w:tcW w:w="1488" w:type="dxa"/>
            <w:vMerge w:val="restart"/>
            <w:tcBorders>
              <w:top w:val="single" w:color="000000" w:sz="4" w:space="0"/>
              <w:left w:val="nil"/>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市文化局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606" w:hRule="atLeast"/>
          <w:jc w:val="center"/>
        </w:trPr>
        <w:tc>
          <w:tcPr>
            <w:tcW w:w="868" w:type="dxa"/>
            <w:vMerge w:val="continue"/>
            <w:tcBorders>
              <w:left w:val="single" w:color="000000" w:sz="4" w:space="0"/>
              <w:right w:val="single" w:color="000000" w:sz="4" w:space="0"/>
            </w:tcBorders>
            <w:vAlign w:val="center"/>
          </w:tcPr>
          <w:p>
            <w:pPr>
              <w:spacing w:line="260" w:lineRule="exact"/>
              <w:rPr>
                <w:rFonts w:ascii="仿宋" w:hAnsi="仿宋" w:eastAsia="仿宋"/>
                <w:sz w:val="21"/>
                <w:szCs w:val="21"/>
              </w:rPr>
            </w:pPr>
          </w:p>
        </w:tc>
        <w:tc>
          <w:tcPr>
            <w:tcW w:w="1037" w:type="dxa"/>
            <w:vMerge w:val="continue"/>
            <w:tcBorders>
              <w:left w:val="nil"/>
              <w:right w:val="single" w:color="000000" w:sz="4" w:space="0"/>
            </w:tcBorders>
            <w:vAlign w:val="center"/>
          </w:tcPr>
          <w:p>
            <w:pPr>
              <w:spacing w:line="260" w:lineRule="exact"/>
              <w:rPr>
                <w:rFonts w:ascii="仿宋" w:hAnsi="仿宋" w:eastAsia="仿宋"/>
                <w:sz w:val="21"/>
                <w:szCs w:val="21"/>
              </w:rPr>
            </w:pPr>
          </w:p>
        </w:tc>
        <w:tc>
          <w:tcPr>
            <w:tcW w:w="3045" w:type="dxa"/>
            <w:vMerge w:val="continue"/>
            <w:tcBorders>
              <w:left w:val="nil"/>
              <w:bottom w:val="single" w:color="000000" w:sz="4" w:space="0"/>
              <w:right w:val="single" w:color="000000" w:sz="4" w:space="0"/>
            </w:tcBorders>
            <w:vAlign w:val="center"/>
          </w:tcPr>
          <w:p>
            <w:pPr>
              <w:spacing w:line="260" w:lineRule="exact"/>
              <w:rPr>
                <w:rFonts w:ascii="仿宋" w:hAnsi="仿宋" w:eastAsia="仿宋"/>
                <w:sz w:val="21"/>
                <w:szCs w:val="21"/>
              </w:rPr>
            </w:pPr>
          </w:p>
        </w:tc>
        <w:tc>
          <w:tcPr>
            <w:tcW w:w="5938" w:type="dxa"/>
            <w:tcBorders>
              <w:top w:val="single" w:color="000000" w:sz="4" w:space="0"/>
              <w:left w:val="nil"/>
              <w:bottom w:val="single" w:color="000000" w:sz="4" w:space="0"/>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（2）配有健康指导员和志愿者，1分。</w:t>
            </w:r>
          </w:p>
        </w:tc>
        <w:tc>
          <w:tcPr>
            <w:tcW w:w="775" w:type="dxa"/>
            <w:vMerge w:val="continue"/>
            <w:tcBorders>
              <w:left w:val="nil"/>
              <w:bottom w:val="single" w:color="000000" w:sz="4" w:space="0"/>
              <w:right w:val="single" w:color="000000" w:sz="4" w:space="0"/>
            </w:tcBorders>
            <w:vAlign w:val="center"/>
          </w:tcPr>
          <w:p>
            <w:pPr>
              <w:spacing w:line="260" w:lineRule="exact"/>
              <w:jc w:val="center"/>
              <w:rPr>
                <w:rFonts w:ascii="仿宋" w:hAnsi="仿宋" w:eastAsia="仿宋"/>
                <w:sz w:val="21"/>
                <w:szCs w:val="21"/>
              </w:rPr>
            </w:pPr>
          </w:p>
        </w:tc>
        <w:tc>
          <w:tcPr>
            <w:tcW w:w="2060" w:type="dxa"/>
            <w:vMerge w:val="continue"/>
            <w:tcBorders>
              <w:left w:val="nil"/>
              <w:bottom w:val="single" w:color="000000" w:sz="4" w:space="0"/>
              <w:right w:val="single" w:color="000000" w:sz="4" w:space="0"/>
            </w:tcBorders>
            <w:vAlign w:val="center"/>
          </w:tcPr>
          <w:p>
            <w:pPr>
              <w:spacing w:line="260" w:lineRule="exact"/>
              <w:rPr>
                <w:rFonts w:ascii="仿宋" w:hAnsi="仿宋" w:eastAsia="仿宋"/>
                <w:sz w:val="21"/>
                <w:szCs w:val="21"/>
              </w:rPr>
            </w:pPr>
          </w:p>
        </w:tc>
        <w:tc>
          <w:tcPr>
            <w:tcW w:w="1488" w:type="dxa"/>
            <w:vMerge w:val="continue"/>
            <w:tcBorders>
              <w:left w:val="nil"/>
              <w:bottom w:val="single" w:color="000000" w:sz="4" w:space="0"/>
              <w:right w:val="single" w:color="000000" w:sz="4" w:space="0"/>
            </w:tcBorders>
            <w:vAlign w:val="top"/>
          </w:tcPr>
          <w:p>
            <w:pPr>
              <w:spacing w:line="26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401" w:hRule="atLeast"/>
          <w:jc w:val="center"/>
        </w:trPr>
        <w:tc>
          <w:tcPr>
            <w:tcW w:w="868" w:type="dxa"/>
            <w:vMerge w:val="continue"/>
            <w:tcBorders>
              <w:left w:val="single" w:color="000000" w:sz="4" w:space="0"/>
              <w:right w:val="single" w:color="000000" w:sz="4" w:space="0"/>
            </w:tcBorders>
            <w:vAlign w:val="center"/>
          </w:tcPr>
          <w:p>
            <w:pPr>
              <w:spacing w:line="260" w:lineRule="exact"/>
              <w:rPr>
                <w:rFonts w:ascii="仿宋" w:hAnsi="仿宋" w:eastAsia="仿宋"/>
                <w:sz w:val="21"/>
                <w:szCs w:val="21"/>
              </w:rPr>
            </w:pPr>
          </w:p>
        </w:tc>
        <w:tc>
          <w:tcPr>
            <w:tcW w:w="1037" w:type="dxa"/>
            <w:vMerge w:val="continue"/>
            <w:tcBorders>
              <w:left w:val="nil"/>
              <w:right w:val="single" w:color="000000" w:sz="4" w:space="0"/>
            </w:tcBorders>
            <w:vAlign w:val="center"/>
          </w:tcPr>
          <w:p>
            <w:pPr>
              <w:spacing w:line="260" w:lineRule="exact"/>
              <w:rPr>
                <w:rFonts w:ascii="仿宋" w:hAnsi="仿宋" w:eastAsia="仿宋"/>
                <w:sz w:val="21"/>
                <w:szCs w:val="21"/>
              </w:rPr>
            </w:pPr>
          </w:p>
        </w:tc>
        <w:tc>
          <w:tcPr>
            <w:tcW w:w="3045" w:type="dxa"/>
            <w:tcBorders>
              <w:top w:val="single" w:color="000000" w:sz="4" w:space="0"/>
              <w:left w:val="nil"/>
              <w:bottom w:val="single" w:color="000000" w:sz="4" w:space="0"/>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2.每年至少开展1次多部门组织的集体性健身活动。</w:t>
            </w:r>
          </w:p>
        </w:tc>
        <w:tc>
          <w:tcPr>
            <w:tcW w:w="5938" w:type="dxa"/>
            <w:tcBorders>
              <w:top w:val="single" w:color="000000" w:sz="4" w:space="0"/>
              <w:left w:val="nil"/>
              <w:bottom w:val="single" w:color="000000" w:sz="4" w:space="0"/>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定期开展政府支持、企事业单位承担参与并积极支持的健身活动，每年≥1次，2分；未开展，不得分。</w:t>
            </w:r>
          </w:p>
        </w:tc>
        <w:tc>
          <w:tcPr>
            <w:tcW w:w="775" w:type="dxa"/>
            <w:tcBorders>
              <w:top w:val="single" w:color="000000" w:sz="4" w:space="0"/>
              <w:left w:val="nil"/>
              <w:bottom w:val="single" w:color="000000" w:sz="4" w:space="0"/>
              <w:right w:val="single" w:color="000000" w:sz="4" w:space="0"/>
            </w:tcBorders>
            <w:vAlign w:val="center"/>
          </w:tcPr>
          <w:p>
            <w:pPr>
              <w:spacing w:line="260" w:lineRule="exact"/>
              <w:jc w:val="center"/>
              <w:rPr>
                <w:rFonts w:ascii="仿宋" w:hAnsi="仿宋" w:eastAsia="仿宋"/>
                <w:sz w:val="21"/>
                <w:szCs w:val="21"/>
              </w:rPr>
            </w:pPr>
            <w:r>
              <w:rPr>
                <w:rFonts w:hint="eastAsia" w:ascii="仿宋" w:hAnsi="仿宋" w:eastAsia="仿宋"/>
                <w:sz w:val="21"/>
                <w:szCs w:val="21"/>
              </w:rPr>
              <w:t>2</w:t>
            </w:r>
          </w:p>
        </w:tc>
        <w:tc>
          <w:tcPr>
            <w:tcW w:w="2060" w:type="dxa"/>
            <w:tcBorders>
              <w:top w:val="single" w:color="000000" w:sz="4" w:space="0"/>
              <w:left w:val="nil"/>
              <w:bottom w:val="single" w:color="000000" w:sz="4" w:space="0"/>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查阅资料。</w:t>
            </w:r>
          </w:p>
        </w:tc>
        <w:tc>
          <w:tcPr>
            <w:tcW w:w="1488" w:type="dxa"/>
            <w:tcBorders>
              <w:top w:val="single" w:color="000000" w:sz="4" w:space="0"/>
              <w:left w:val="nil"/>
              <w:bottom w:val="single" w:color="000000" w:sz="4" w:space="0"/>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市文化局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687" w:hRule="atLeast"/>
          <w:jc w:val="center"/>
        </w:trPr>
        <w:tc>
          <w:tcPr>
            <w:tcW w:w="868" w:type="dxa"/>
            <w:vMerge w:val="continue"/>
            <w:tcBorders>
              <w:left w:val="single" w:color="000000" w:sz="4" w:space="0"/>
              <w:bottom w:val="single" w:color="000000" w:sz="4" w:space="0"/>
              <w:right w:val="single" w:color="000000" w:sz="4" w:space="0"/>
            </w:tcBorders>
            <w:vAlign w:val="center"/>
          </w:tcPr>
          <w:p>
            <w:pPr>
              <w:spacing w:line="260" w:lineRule="exact"/>
              <w:rPr>
                <w:rFonts w:ascii="仿宋" w:hAnsi="仿宋" w:eastAsia="仿宋"/>
                <w:sz w:val="21"/>
                <w:szCs w:val="21"/>
              </w:rPr>
            </w:pPr>
          </w:p>
        </w:tc>
        <w:tc>
          <w:tcPr>
            <w:tcW w:w="1037" w:type="dxa"/>
            <w:vMerge w:val="continue"/>
            <w:tcBorders>
              <w:left w:val="nil"/>
              <w:bottom w:val="single" w:color="000000" w:sz="4" w:space="0"/>
              <w:right w:val="single" w:color="000000" w:sz="4" w:space="0"/>
            </w:tcBorders>
            <w:vAlign w:val="center"/>
          </w:tcPr>
          <w:p>
            <w:pPr>
              <w:spacing w:line="260" w:lineRule="exact"/>
              <w:rPr>
                <w:rFonts w:ascii="仿宋" w:hAnsi="仿宋" w:eastAsia="仿宋"/>
                <w:sz w:val="21"/>
                <w:szCs w:val="21"/>
              </w:rPr>
            </w:pPr>
          </w:p>
        </w:tc>
        <w:tc>
          <w:tcPr>
            <w:tcW w:w="3045" w:type="dxa"/>
            <w:tcBorders>
              <w:top w:val="single" w:color="000000" w:sz="4" w:space="0"/>
              <w:left w:val="nil"/>
              <w:bottom w:val="single" w:color="000000" w:sz="4" w:space="0"/>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3.鼓励社区慢性病患者积极参与社区自我健康管理活动。</w:t>
            </w:r>
          </w:p>
        </w:tc>
        <w:tc>
          <w:tcPr>
            <w:tcW w:w="5938" w:type="dxa"/>
            <w:tcBorders>
              <w:top w:val="single" w:color="000000" w:sz="4" w:space="0"/>
              <w:left w:val="nil"/>
              <w:bottom w:val="single" w:color="000000" w:sz="4" w:space="0"/>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有自我健康管理小组的社区覆盖率达到50%，4分；40-50%，2分；40%以下不得分。</w:t>
            </w:r>
          </w:p>
        </w:tc>
        <w:tc>
          <w:tcPr>
            <w:tcW w:w="775" w:type="dxa"/>
            <w:tcBorders>
              <w:top w:val="single" w:color="000000" w:sz="4" w:space="0"/>
              <w:left w:val="nil"/>
              <w:bottom w:val="single" w:color="000000" w:sz="4" w:space="0"/>
              <w:right w:val="single" w:color="000000" w:sz="4" w:space="0"/>
            </w:tcBorders>
            <w:vAlign w:val="center"/>
          </w:tcPr>
          <w:p>
            <w:pPr>
              <w:spacing w:line="260" w:lineRule="exact"/>
              <w:jc w:val="center"/>
              <w:rPr>
                <w:rFonts w:ascii="仿宋" w:hAnsi="仿宋" w:eastAsia="仿宋"/>
                <w:sz w:val="21"/>
                <w:szCs w:val="21"/>
              </w:rPr>
            </w:pPr>
            <w:r>
              <w:rPr>
                <w:rFonts w:hint="eastAsia" w:ascii="仿宋" w:hAnsi="仿宋" w:eastAsia="仿宋"/>
                <w:sz w:val="21"/>
                <w:szCs w:val="21"/>
              </w:rPr>
              <w:t>4</w:t>
            </w:r>
          </w:p>
        </w:tc>
        <w:tc>
          <w:tcPr>
            <w:tcW w:w="2060" w:type="dxa"/>
            <w:tcBorders>
              <w:top w:val="single" w:color="000000" w:sz="4" w:space="0"/>
              <w:left w:val="nil"/>
              <w:bottom w:val="single" w:color="000000" w:sz="4" w:space="0"/>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查阅资料。</w:t>
            </w:r>
          </w:p>
        </w:tc>
        <w:tc>
          <w:tcPr>
            <w:tcW w:w="1488" w:type="dxa"/>
            <w:tcBorders>
              <w:top w:val="single" w:color="000000" w:sz="4" w:space="0"/>
              <w:left w:val="nil"/>
              <w:bottom w:val="single" w:color="000000" w:sz="4" w:space="0"/>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各乡镇、街道、市医疗集团</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714" w:hRule="atLeast"/>
          <w:jc w:val="center"/>
        </w:trPr>
        <w:tc>
          <w:tcPr>
            <w:tcW w:w="868" w:type="dxa"/>
            <w:vMerge w:val="restart"/>
            <w:tcBorders>
              <w:top w:val="single" w:color="000000" w:sz="4" w:space="0"/>
              <w:left w:val="single" w:color="000000" w:sz="4" w:space="0"/>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五、慢性病全程管理（87分）</w:t>
            </w:r>
          </w:p>
        </w:tc>
        <w:tc>
          <w:tcPr>
            <w:tcW w:w="1037" w:type="dxa"/>
            <w:vMerge w:val="restart"/>
            <w:tcBorders>
              <w:top w:val="single" w:color="000000" w:sz="4" w:space="0"/>
              <w:left w:val="nil"/>
              <w:right w:val="single" w:color="000000" w:sz="4" w:space="0"/>
            </w:tcBorders>
            <w:vAlign w:val="center"/>
          </w:tcPr>
          <w:p>
            <w:pPr>
              <w:spacing w:line="260" w:lineRule="exact"/>
              <w:rPr>
                <w:rFonts w:ascii="仿宋" w:hAnsi="仿宋" w:eastAsia="仿宋"/>
                <w:sz w:val="18"/>
                <w:szCs w:val="18"/>
              </w:rPr>
            </w:pPr>
            <w:r>
              <w:rPr>
                <w:rFonts w:hint="eastAsia" w:ascii="仿宋" w:hAnsi="仿宋" w:eastAsia="仿宋"/>
                <w:sz w:val="18"/>
                <w:szCs w:val="18"/>
              </w:rPr>
              <w:t>（一）规范健康体检，开展高危人群筛查与干预，加强癌症、心脑血管疾病等重大慢性病的早期发现与管理。（20分）</w:t>
            </w:r>
          </w:p>
        </w:tc>
        <w:tc>
          <w:tcPr>
            <w:tcW w:w="3045" w:type="dxa"/>
            <w:vMerge w:val="restart"/>
            <w:tcBorders>
              <w:top w:val="single" w:color="000000" w:sz="4" w:space="0"/>
              <w:left w:val="nil"/>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1.开展学生、老年人等重点人群和职工定期健康体检和健康指导。</w:t>
            </w:r>
          </w:p>
        </w:tc>
        <w:tc>
          <w:tcPr>
            <w:tcW w:w="5938" w:type="dxa"/>
            <w:tcBorders>
              <w:top w:val="single" w:color="000000" w:sz="4" w:space="0"/>
              <w:left w:val="nil"/>
              <w:bottom w:val="single" w:color="000000" w:sz="4" w:space="0"/>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（1）学生健康体检率≥90%，2分；80-90%，1分；80%以下不得分。</w:t>
            </w:r>
          </w:p>
        </w:tc>
        <w:tc>
          <w:tcPr>
            <w:tcW w:w="775" w:type="dxa"/>
            <w:vMerge w:val="restart"/>
            <w:tcBorders>
              <w:top w:val="single" w:color="000000" w:sz="4" w:space="0"/>
              <w:left w:val="nil"/>
              <w:right w:val="single" w:color="000000" w:sz="4" w:space="0"/>
            </w:tcBorders>
            <w:vAlign w:val="center"/>
          </w:tcPr>
          <w:p>
            <w:pPr>
              <w:spacing w:line="260" w:lineRule="exact"/>
              <w:jc w:val="center"/>
              <w:rPr>
                <w:rFonts w:ascii="仿宋" w:hAnsi="仿宋" w:eastAsia="仿宋"/>
                <w:sz w:val="21"/>
                <w:szCs w:val="21"/>
              </w:rPr>
            </w:pPr>
            <w:r>
              <w:rPr>
                <w:rFonts w:hint="eastAsia" w:ascii="仿宋" w:hAnsi="仿宋" w:eastAsia="仿宋"/>
                <w:sz w:val="21"/>
                <w:szCs w:val="21"/>
              </w:rPr>
              <w:t>7</w:t>
            </w:r>
          </w:p>
        </w:tc>
        <w:tc>
          <w:tcPr>
            <w:tcW w:w="2060" w:type="dxa"/>
            <w:vMerge w:val="restart"/>
            <w:tcBorders>
              <w:top w:val="single" w:color="000000" w:sz="4" w:space="0"/>
              <w:left w:val="nil"/>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查阅统计数据和基本公共卫生服务项目统计数据等。</w:t>
            </w:r>
          </w:p>
        </w:tc>
        <w:tc>
          <w:tcPr>
            <w:tcW w:w="1488" w:type="dxa"/>
            <w:tcBorders>
              <w:top w:val="single" w:color="000000" w:sz="4" w:space="0"/>
              <w:left w:val="nil"/>
              <w:bottom w:val="single" w:color="000000" w:sz="4" w:space="0"/>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市教科局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0" w:hRule="atLeast"/>
          <w:jc w:val="center"/>
        </w:trPr>
        <w:tc>
          <w:tcPr>
            <w:tcW w:w="868" w:type="dxa"/>
            <w:vMerge w:val="continue"/>
            <w:tcBorders>
              <w:left w:val="single" w:color="000000" w:sz="4" w:space="0"/>
              <w:right w:val="single" w:color="000000" w:sz="4" w:space="0"/>
            </w:tcBorders>
            <w:vAlign w:val="center"/>
          </w:tcPr>
          <w:p>
            <w:pPr>
              <w:spacing w:line="260" w:lineRule="exact"/>
              <w:rPr>
                <w:rFonts w:ascii="仿宋" w:hAnsi="仿宋" w:eastAsia="仿宋"/>
                <w:sz w:val="21"/>
                <w:szCs w:val="21"/>
              </w:rPr>
            </w:pPr>
          </w:p>
        </w:tc>
        <w:tc>
          <w:tcPr>
            <w:tcW w:w="1037" w:type="dxa"/>
            <w:vMerge w:val="continue"/>
            <w:tcBorders>
              <w:left w:val="nil"/>
              <w:right w:val="single" w:color="000000" w:sz="4" w:space="0"/>
            </w:tcBorders>
            <w:vAlign w:val="center"/>
          </w:tcPr>
          <w:p>
            <w:pPr>
              <w:spacing w:line="260" w:lineRule="exact"/>
              <w:rPr>
                <w:rFonts w:ascii="仿宋" w:hAnsi="仿宋" w:eastAsia="仿宋"/>
                <w:sz w:val="21"/>
                <w:szCs w:val="21"/>
              </w:rPr>
            </w:pPr>
          </w:p>
        </w:tc>
        <w:tc>
          <w:tcPr>
            <w:tcW w:w="3045" w:type="dxa"/>
            <w:vMerge w:val="continue"/>
            <w:tcBorders>
              <w:left w:val="nil"/>
              <w:right w:val="single" w:color="000000" w:sz="4" w:space="0"/>
            </w:tcBorders>
            <w:vAlign w:val="center"/>
          </w:tcPr>
          <w:p>
            <w:pPr>
              <w:spacing w:line="260" w:lineRule="exact"/>
              <w:rPr>
                <w:rFonts w:ascii="仿宋" w:hAnsi="仿宋" w:eastAsia="仿宋"/>
                <w:sz w:val="21"/>
                <w:szCs w:val="21"/>
              </w:rPr>
            </w:pPr>
          </w:p>
        </w:tc>
        <w:tc>
          <w:tcPr>
            <w:tcW w:w="5938" w:type="dxa"/>
            <w:tcBorders>
              <w:top w:val="single" w:color="000000" w:sz="4" w:space="0"/>
              <w:left w:val="nil"/>
              <w:bottom w:val="single" w:color="000000" w:sz="4" w:space="0"/>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（2）65岁及以上老年人健康体检率≥90%，2分；80-90%，1分；80%以下不得分。</w:t>
            </w:r>
          </w:p>
        </w:tc>
        <w:tc>
          <w:tcPr>
            <w:tcW w:w="775" w:type="dxa"/>
            <w:vMerge w:val="continue"/>
            <w:tcBorders>
              <w:left w:val="nil"/>
              <w:right w:val="single" w:color="000000" w:sz="4" w:space="0"/>
            </w:tcBorders>
            <w:vAlign w:val="center"/>
          </w:tcPr>
          <w:p>
            <w:pPr>
              <w:spacing w:line="260" w:lineRule="exact"/>
              <w:jc w:val="center"/>
              <w:rPr>
                <w:rFonts w:ascii="仿宋" w:hAnsi="仿宋" w:eastAsia="仿宋"/>
                <w:sz w:val="21"/>
                <w:szCs w:val="21"/>
              </w:rPr>
            </w:pPr>
          </w:p>
        </w:tc>
        <w:tc>
          <w:tcPr>
            <w:tcW w:w="2060" w:type="dxa"/>
            <w:vMerge w:val="continue"/>
            <w:tcBorders>
              <w:left w:val="nil"/>
              <w:right w:val="single" w:color="000000" w:sz="4" w:space="0"/>
            </w:tcBorders>
            <w:vAlign w:val="center"/>
          </w:tcPr>
          <w:p>
            <w:pPr>
              <w:spacing w:line="260" w:lineRule="exact"/>
              <w:rPr>
                <w:rFonts w:ascii="仿宋" w:hAnsi="仿宋" w:eastAsia="仿宋"/>
                <w:sz w:val="21"/>
                <w:szCs w:val="21"/>
              </w:rPr>
            </w:pPr>
          </w:p>
        </w:tc>
        <w:tc>
          <w:tcPr>
            <w:tcW w:w="1488" w:type="dxa"/>
            <w:tcBorders>
              <w:top w:val="single" w:color="000000" w:sz="4" w:space="0"/>
              <w:left w:val="nil"/>
              <w:bottom w:val="single" w:color="000000" w:sz="4" w:space="0"/>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市医疗集团</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0" w:hRule="atLeast"/>
          <w:jc w:val="center"/>
        </w:trPr>
        <w:tc>
          <w:tcPr>
            <w:tcW w:w="868" w:type="dxa"/>
            <w:vMerge w:val="continue"/>
            <w:tcBorders>
              <w:left w:val="single" w:color="000000" w:sz="4" w:space="0"/>
              <w:right w:val="single" w:color="000000" w:sz="4" w:space="0"/>
            </w:tcBorders>
            <w:vAlign w:val="center"/>
          </w:tcPr>
          <w:p>
            <w:pPr>
              <w:spacing w:line="260" w:lineRule="exact"/>
              <w:rPr>
                <w:rFonts w:ascii="仿宋" w:hAnsi="仿宋" w:eastAsia="仿宋"/>
                <w:sz w:val="21"/>
                <w:szCs w:val="21"/>
              </w:rPr>
            </w:pPr>
          </w:p>
        </w:tc>
        <w:tc>
          <w:tcPr>
            <w:tcW w:w="1037" w:type="dxa"/>
            <w:vMerge w:val="continue"/>
            <w:tcBorders>
              <w:left w:val="nil"/>
              <w:right w:val="single" w:color="000000" w:sz="4" w:space="0"/>
            </w:tcBorders>
            <w:vAlign w:val="center"/>
          </w:tcPr>
          <w:p>
            <w:pPr>
              <w:spacing w:line="260" w:lineRule="exact"/>
              <w:rPr>
                <w:rFonts w:ascii="仿宋" w:hAnsi="仿宋" w:eastAsia="仿宋"/>
                <w:sz w:val="21"/>
                <w:szCs w:val="21"/>
              </w:rPr>
            </w:pPr>
          </w:p>
        </w:tc>
        <w:tc>
          <w:tcPr>
            <w:tcW w:w="3045" w:type="dxa"/>
            <w:vMerge w:val="continue"/>
            <w:tcBorders>
              <w:left w:val="nil"/>
              <w:bottom w:val="single" w:color="000000" w:sz="4" w:space="0"/>
              <w:right w:val="single" w:color="000000" w:sz="4" w:space="0"/>
            </w:tcBorders>
            <w:vAlign w:val="center"/>
          </w:tcPr>
          <w:p>
            <w:pPr>
              <w:spacing w:line="260" w:lineRule="exact"/>
              <w:rPr>
                <w:rFonts w:ascii="仿宋" w:hAnsi="仿宋" w:eastAsia="仿宋"/>
                <w:sz w:val="21"/>
                <w:szCs w:val="21"/>
              </w:rPr>
            </w:pPr>
          </w:p>
        </w:tc>
        <w:tc>
          <w:tcPr>
            <w:tcW w:w="5938" w:type="dxa"/>
            <w:tcBorders>
              <w:top w:val="single" w:color="000000" w:sz="4" w:space="0"/>
              <w:left w:val="nil"/>
              <w:bottom w:val="single" w:color="000000" w:sz="4" w:space="0"/>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（3）每2年1次体检并开展健康指导的机关事业单位和员工数超过50人的企业的覆盖率≥50%，3分；40-50%，2分；40%以下不得分。</w:t>
            </w:r>
          </w:p>
        </w:tc>
        <w:tc>
          <w:tcPr>
            <w:tcW w:w="775" w:type="dxa"/>
            <w:vMerge w:val="continue"/>
            <w:tcBorders>
              <w:left w:val="nil"/>
              <w:bottom w:val="single" w:color="000000" w:sz="4" w:space="0"/>
              <w:right w:val="single" w:color="000000" w:sz="4" w:space="0"/>
            </w:tcBorders>
            <w:vAlign w:val="center"/>
          </w:tcPr>
          <w:p>
            <w:pPr>
              <w:spacing w:line="260" w:lineRule="exact"/>
              <w:jc w:val="center"/>
              <w:rPr>
                <w:rFonts w:ascii="仿宋" w:hAnsi="仿宋" w:eastAsia="仿宋"/>
                <w:sz w:val="21"/>
                <w:szCs w:val="21"/>
              </w:rPr>
            </w:pPr>
          </w:p>
        </w:tc>
        <w:tc>
          <w:tcPr>
            <w:tcW w:w="2060" w:type="dxa"/>
            <w:vMerge w:val="continue"/>
            <w:tcBorders>
              <w:left w:val="nil"/>
              <w:bottom w:val="single" w:color="000000" w:sz="4" w:space="0"/>
              <w:right w:val="single" w:color="000000" w:sz="4" w:space="0"/>
            </w:tcBorders>
            <w:vAlign w:val="center"/>
          </w:tcPr>
          <w:p>
            <w:pPr>
              <w:spacing w:line="260" w:lineRule="exact"/>
              <w:rPr>
                <w:rFonts w:ascii="仿宋" w:hAnsi="仿宋" w:eastAsia="仿宋"/>
                <w:sz w:val="21"/>
                <w:szCs w:val="21"/>
              </w:rPr>
            </w:pPr>
          </w:p>
        </w:tc>
        <w:tc>
          <w:tcPr>
            <w:tcW w:w="1488" w:type="dxa"/>
            <w:tcBorders>
              <w:top w:val="single" w:color="000000" w:sz="4" w:space="0"/>
              <w:left w:val="nil"/>
              <w:bottom w:val="single" w:color="000000" w:sz="4" w:space="0"/>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市总工会</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401" w:hRule="atLeast"/>
          <w:jc w:val="center"/>
        </w:trPr>
        <w:tc>
          <w:tcPr>
            <w:tcW w:w="868" w:type="dxa"/>
            <w:vMerge w:val="continue"/>
            <w:tcBorders>
              <w:left w:val="single" w:color="000000" w:sz="4" w:space="0"/>
              <w:right w:val="single" w:color="000000" w:sz="4" w:space="0"/>
            </w:tcBorders>
            <w:vAlign w:val="center"/>
          </w:tcPr>
          <w:p>
            <w:pPr>
              <w:spacing w:line="260" w:lineRule="exact"/>
              <w:rPr>
                <w:rFonts w:ascii="仿宋" w:hAnsi="仿宋" w:eastAsia="仿宋"/>
                <w:sz w:val="21"/>
                <w:szCs w:val="21"/>
              </w:rPr>
            </w:pPr>
          </w:p>
        </w:tc>
        <w:tc>
          <w:tcPr>
            <w:tcW w:w="1037" w:type="dxa"/>
            <w:vMerge w:val="continue"/>
            <w:tcBorders>
              <w:left w:val="nil"/>
              <w:right w:val="single" w:color="000000" w:sz="4" w:space="0"/>
            </w:tcBorders>
            <w:vAlign w:val="center"/>
          </w:tcPr>
          <w:p>
            <w:pPr>
              <w:spacing w:line="260" w:lineRule="exact"/>
              <w:rPr>
                <w:rFonts w:ascii="仿宋" w:hAnsi="仿宋" w:eastAsia="仿宋"/>
                <w:sz w:val="21"/>
                <w:szCs w:val="21"/>
              </w:rPr>
            </w:pPr>
          </w:p>
        </w:tc>
        <w:tc>
          <w:tcPr>
            <w:tcW w:w="3045" w:type="dxa"/>
            <w:vMerge w:val="restart"/>
            <w:tcBorders>
              <w:top w:val="single" w:color="000000" w:sz="4" w:space="0"/>
              <w:left w:val="nil"/>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2.应用推广成熟的适宜技术，早期发现诊治患者，及时纳入基本公共卫生服务管理。</w:t>
            </w:r>
          </w:p>
        </w:tc>
        <w:tc>
          <w:tcPr>
            <w:tcW w:w="5938" w:type="dxa"/>
            <w:tcBorders>
              <w:top w:val="single" w:color="000000" w:sz="4" w:space="0"/>
              <w:left w:val="nil"/>
              <w:bottom w:val="single" w:color="000000" w:sz="4" w:space="0"/>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（1）医疗机构首诊测血压率≥90%，2分；低于90%不得分。</w:t>
            </w:r>
          </w:p>
        </w:tc>
        <w:tc>
          <w:tcPr>
            <w:tcW w:w="775" w:type="dxa"/>
            <w:vMerge w:val="restart"/>
            <w:tcBorders>
              <w:top w:val="single" w:color="000000" w:sz="4" w:space="0"/>
              <w:left w:val="nil"/>
              <w:right w:val="single" w:color="000000" w:sz="4" w:space="0"/>
            </w:tcBorders>
            <w:vAlign w:val="center"/>
          </w:tcPr>
          <w:p>
            <w:pPr>
              <w:spacing w:line="260" w:lineRule="exact"/>
              <w:jc w:val="center"/>
              <w:rPr>
                <w:rFonts w:ascii="仿宋" w:hAnsi="仿宋" w:eastAsia="仿宋"/>
                <w:sz w:val="21"/>
                <w:szCs w:val="21"/>
              </w:rPr>
            </w:pPr>
            <w:r>
              <w:rPr>
                <w:rFonts w:hint="eastAsia" w:ascii="仿宋" w:hAnsi="仿宋" w:eastAsia="仿宋"/>
                <w:sz w:val="21"/>
                <w:szCs w:val="21"/>
              </w:rPr>
              <w:t>13</w:t>
            </w:r>
          </w:p>
        </w:tc>
        <w:tc>
          <w:tcPr>
            <w:tcW w:w="2060" w:type="dxa"/>
            <w:vMerge w:val="restart"/>
            <w:tcBorders>
              <w:top w:val="single" w:color="000000" w:sz="4" w:space="0"/>
              <w:left w:val="nil"/>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查阅资料，现场评估，抽样调查医疗机构资料、信息系统。</w:t>
            </w:r>
          </w:p>
        </w:tc>
        <w:tc>
          <w:tcPr>
            <w:tcW w:w="1488" w:type="dxa"/>
            <w:vMerge w:val="restart"/>
            <w:tcBorders>
              <w:top w:val="single" w:color="000000" w:sz="4" w:space="0"/>
              <w:left w:val="nil"/>
              <w:right w:val="single" w:color="000000" w:sz="4" w:space="0"/>
            </w:tcBorders>
            <w:vAlign w:val="center"/>
          </w:tcPr>
          <w:p>
            <w:pPr>
              <w:spacing w:line="260" w:lineRule="exact"/>
              <w:rPr>
                <w:rFonts w:ascii="仿宋" w:hAnsi="仿宋" w:eastAsia="仿宋"/>
                <w:sz w:val="21"/>
                <w:szCs w:val="21"/>
              </w:rPr>
            </w:pPr>
            <w:r>
              <w:rPr>
                <w:rFonts w:hint="eastAsia" w:ascii="仿宋" w:hAnsi="仿宋" w:eastAsia="仿宋"/>
                <w:sz w:val="21"/>
                <w:szCs w:val="21"/>
              </w:rPr>
              <w:t>市卫计局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401" w:hRule="atLeast"/>
          <w:jc w:val="center"/>
        </w:trPr>
        <w:tc>
          <w:tcPr>
            <w:tcW w:w="868" w:type="dxa"/>
            <w:vMerge w:val="continue"/>
            <w:tcBorders>
              <w:left w:val="single" w:color="000000" w:sz="4" w:space="0"/>
              <w:right w:val="single" w:color="000000" w:sz="4" w:space="0"/>
            </w:tcBorders>
            <w:vAlign w:val="center"/>
          </w:tcPr>
          <w:p>
            <w:pPr>
              <w:spacing w:line="260" w:lineRule="exact"/>
              <w:rPr>
                <w:rFonts w:ascii="仿宋" w:hAnsi="仿宋" w:eastAsia="仿宋"/>
                <w:sz w:val="21"/>
                <w:szCs w:val="21"/>
              </w:rPr>
            </w:pPr>
          </w:p>
        </w:tc>
        <w:tc>
          <w:tcPr>
            <w:tcW w:w="1037" w:type="dxa"/>
            <w:vMerge w:val="continue"/>
            <w:tcBorders>
              <w:left w:val="nil"/>
              <w:right w:val="single" w:color="000000" w:sz="4" w:space="0"/>
            </w:tcBorders>
            <w:vAlign w:val="center"/>
          </w:tcPr>
          <w:p>
            <w:pPr>
              <w:spacing w:line="260" w:lineRule="exact"/>
              <w:rPr>
                <w:rFonts w:ascii="仿宋" w:hAnsi="仿宋" w:eastAsia="仿宋"/>
                <w:sz w:val="21"/>
                <w:szCs w:val="21"/>
              </w:rPr>
            </w:pPr>
          </w:p>
        </w:tc>
        <w:tc>
          <w:tcPr>
            <w:tcW w:w="3045" w:type="dxa"/>
            <w:vMerge w:val="continue"/>
            <w:tcBorders>
              <w:left w:val="nil"/>
              <w:right w:val="single" w:color="000000" w:sz="4" w:space="0"/>
            </w:tcBorders>
            <w:vAlign w:val="center"/>
          </w:tcPr>
          <w:p>
            <w:pPr>
              <w:spacing w:line="260" w:lineRule="exact"/>
              <w:rPr>
                <w:rFonts w:hint="eastAsia" w:ascii="仿宋" w:hAnsi="仿宋" w:eastAsia="仿宋"/>
                <w:sz w:val="21"/>
                <w:szCs w:val="21"/>
              </w:rPr>
            </w:pPr>
          </w:p>
        </w:tc>
        <w:tc>
          <w:tcPr>
            <w:tcW w:w="5938" w:type="dxa"/>
            <w:tcBorders>
              <w:top w:val="single" w:color="000000" w:sz="4" w:space="0"/>
              <w:left w:val="nil"/>
              <w:bottom w:val="single" w:color="000000" w:sz="4" w:space="0"/>
              <w:right w:val="single" w:color="000000" w:sz="4" w:space="0"/>
            </w:tcBorders>
            <w:vAlign w:val="center"/>
          </w:tcPr>
          <w:p>
            <w:pPr>
              <w:spacing w:line="260" w:lineRule="exact"/>
            </w:pPr>
            <w:r>
              <w:rPr>
                <w:rFonts w:hint="eastAsia" w:ascii="仿宋" w:hAnsi="仿宋" w:eastAsia="仿宋"/>
                <w:sz w:val="21"/>
                <w:szCs w:val="21"/>
              </w:rPr>
              <w:t>（2）开展心脑血管疾病、重点癌症、糖尿病、慢性阻塞性肺病等重大慢性病的筛查和早期诊断，每1项1分，满分4分。</w:t>
            </w:r>
          </w:p>
          <w:p>
            <w:pPr>
              <w:spacing w:line="260" w:lineRule="exact"/>
              <w:rPr>
                <w:rFonts w:hint="eastAsia" w:ascii="仿宋" w:hAnsi="仿宋" w:eastAsia="仿宋"/>
                <w:sz w:val="21"/>
                <w:szCs w:val="21"/>
              </w:rPr>
            </w:pPr>
          </w:p>
        </w:tc>
        <w:tc>
          <w:tcPr>
            <w:tcW w:w="775" w:type="dxa"/>
            <w:vMerge w:val="continue"/>
            <w:tcBorders>
              <w:left w:val="nil"/>
              <w:right w:val="single" w:color="000000" w:sz="4" w:space="0"/>
            </w:tcBorders>
            <w:vAlign w:val="center"/>
          </w:tcPr>
          <w:p>
            <w:pPr>
              <w:spacing w:line="260" w:lineRule="exact"/>
              <w:jc w:val="center"/>
              <w:rPr>
                <w:rFonts w:hint="eastAsia" w:ascii="仿宋" w:hAnsi="仿宋" w:eastAsia="仿宋"/>
                <w:sz w:val="21"/>
                <w:szCs w:val="21"/>
              </w:rPr>
            </w:pPr>
          </w:p>
        </w:tc>
        <w:tc>
          <w:tcPr>
            <w:tcW w:w="2060" w:type="dxa"/>
            <w:vMerge w:val="continue"/>
            <w:tcBorders>
              <w:left w:val="nil"/>
              <w:right w:val="single" w:color="000000" w:sz="4" w:space="0"/>
            </w:tcBorders>
            <w:vAlign w:val="center"/>
          </w:tcPr>
          <w:p>
            <w:pPr>
              <w:spacing w:line="260" w:lineRule="exact"/>
              <w:rPr>
                <w:rFonts w:hint="eastAsia" w:ascii="仿宋" w:hAnsi="仿宋" w:eastAsia="仿宋"/>
                <w:sz w:val="21"/>
                <w:szCs w:val="21"/>
              </w:rPr>
            </w:pPr>
          </w:p>
        </w:tc>
        <w:tc>
          <w:tcPr>
            <w:tcW w:w="1488" w:type="dxa"/>
            <w:vMerge w:val="continue"/>
            <w:tcBorders>
              <w:left w:val="nil"/>
              <w:right w:val="single" w:color="000000" w:sz="4" w:space="0"/>
            </w:tcBorders>
            <w:vAlign w:val="center"/>
          </w:tcPr>
          <w:p>
            <w:pPr>
              <w:spacing w:line="260" w:lineRule="exac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401" w:hRule="atLeast"/>
          <w:jc w:val="center"/>
        </w:trPr>
        <w:tc>
          <w:tcPr>
            <w:tcW w:w="868" w:type="dxa"/>
            <w:vMerge w:val="continue"/>
            <w:tcBorders>
              <w:left w:val="single" w:color="000000" w:sz="4" w:space="0"/>
              <w:right w:val="single" w:color="000000" w:sz="4" w:space="0"/>
            </w:tcBorders>
            <w:vAlign w:val="center"/>
          </w:tcPr>
          <w:p>
            <w:pPr>
              <w:spacing w:line="260" w:lineRule="exact"/>
              <w:rPr>
                <w:rFonts w:ascii="仿宋" w:hAnsi="仿宋" w:eastAsia="仿宋"/>
                <w:sz w:val="21"/>
                <w:szCs w:val="21"/>
              </w:rPr>
            </w:pPr>
          </w:p>
        </w:tc>
        <w:tc>
          <w:tcPr>
            <w:tcW w:w="1037" w:type="dxa"/>
            <w:vMerge w:val="continue"/>
            <w:tcBorders>
              <w:left w:val="nil"/>
              <w:right w:val="single" w:color="000000" w:sz="4" w:space="0"/>
            </w:tcBorders>
            <w:vAlign w:val="center"/>
          </w:tcPr>
          <w:p>
            <w:pPr>
              <w:spacing w:line="260" w:lineRule="exact"/>
              <w:rPr>
                <w:rFonts w:ascii="仿宋" w:hAnsi="仿宋" w:eastAsia="仿宋"/>
                <w:sz w:val="21"/>
                <w:szCs w:val="21"/>
              </w:rPr>
            </w:pPr>
          </w:p>
        </w:tc>
        <w:tc>
          <w:tcPr>
            <w:tcW w:w="3045" w:type="dxa"/>
            <w:vMerge w:val="continue"/>
            <w:tcBorders>
              <w:left w:val="nil"/>
              <w:right w:val="single" w:color="000000" w:sz="4" w:space="0"/>
            </w:tcBorders>
            <w:vAlign w:val="center"/>
          </w:tcPr>
          <w:p>
            <w:pPr>
              <w:spacing w:line="260" w:lineRule="exact"/>
              <w:rPr>
                <w:rFonts w:hint="eastAsia" w:ascii="仿宋" w:hAnsi="仿宋" w:eastAsia="仿宋"/>
                <w:sz w:val="21"/>
                <w:szCs w:val="21"/>
              </w:rPr>
            </w:pPr>
          </w:p>
        </w:tc>
        <w:tc>
          <w:tcPr>
            <w:tcW w:w="5938" w:type="dxa"/>
            <w:tcBorders>
              <w:top w:val="single" w:color="000000" w:sz="4" w:space="0"/>
              <w:left w:val="nil"/>
              <w:bottom w:val="single" w:color="000000" w:sz="4" w:space="0"/>
              <w:right w:val="single" w:color="000000" w:sz="4" w:space="0"/>
            </w:tcBorders>
            <w:vAlign w:val="center"/>
          </w:tcPr>
          <w:p>
            <w:pPr>
              <w:spacing w:line="260" w:lineRule="exact"/>
            </w:pPr>
            <w:r>
              <w:rPr>
                <w:rFonts w:hint="eastAsia" w:ascii="仿宋" w:hAnsi="仿宋" w:eastAsia="仿宋"/>
                <w:sz w:val="21"/>
                <w:szCs w:val="21"/>
              </w:rPr>
              <w:t>（3）具备血糖、血脂、简易肺功能测定和大便隐血检测等4种技术并提供服务的社区卫生服务中心和乡镇卫生院的覆盖率≥50%，3分；40-50%，1分；低于40%不得分。</w:t>
            </w:r>
          </w:p>
          <w:p>
            <w:pPr>
              <w:spacing w:line="260" w:lineRule="exact"/>
              <w:rPr>
                <w:rFonts w:hint="eastAsia" w:ascii="仿宋" w:hAnsi="仿宋" w:eastAsia="仿宋"/>
                <w:sz w:val="21"/>
                <w:szCs w:val="21"/>
              </w:rPr>
            </w:pPr>
          </w:p>
        </w:tc>
        <w:tc>
          <w:tcPr>
            <w:tcW w:w="775" w:type="dxa"/>
            <w:vMerge w:val="continue"/>
            <w:tcBorders>
              <w:left w:val="nil"/>
              <w:right w:val="single" w:color="000000" w:sz="4" w:space="0"/>
            </w:tcBorders>
            <w:vAlign w:val="center"/>
          </w:tcPr>
          <w:p>
            <w:pPr>
              <w:spacing w:line="260" w:lineRule="exact"/>
              <w:jc w:val="center"/>
              <w:rPr>
                <w:rFonts w:hint="eastAsia" w:ascii="仿宋" w:hAnsi="仿宋" w:eastAsia="仿宋"/>
                <w:sz w:val="21"/>
                <w:szCs w:val="21"/>
              </w:rPr>
            </w:pPr>
          </w:p>
        </w:tc>
        <w:tc>
          <w:tcPr>
            <w:tcW w:w="2060" w:type="dxa"/>
            <w:vMerge w:val="continue"/>
            <w:tcBorders>
              <w:left w:val="nil"/>
              <w:right w:val="single" w:color="000000" w:sz="4" w:space="0"/>
            </w:tcBorders>
            <w:vAlign w:val="center"/>
          </w:tcPr>
          <w:p>
            <w:pPr>
              <w:spacing w:line="260" w:lineRule="exact"/>
              <w:rPr>
                <w:rFonts w:hint="eastAsia" w:ascii="仿宋" w:hAnsi="仿宋" w:eastAsia="仿宋"/>
                <w:sz w:val="21"/>
                <w:szCs w:val="21"/>
              </w:rPr>
            </w:pPr>
          </w:p>
        </w:tc>
        <w:tc>
          <w:tcPr>
            <w:tcW w:w="1488" w:type="dxa"/>
            <w:vMerge w:val="continue"/>
            <w:tcBorders>
              <w:left w:val="nil"/>
              <w:right w:val="single" w:color="000000" w:sz="4" w:space="0"/>
            </w:tcBorders>
            <w:vAlign w:val="center"/>
          </w:tcPr>
          <w:p>
            <w:pPr>
              <w:spacing w:line="260" w:lineRule="exact"/>
              <w:rPr>
                <w:rFonts w:hint="eastAsia"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401" w:hRule="atLeast"/>
          <w:jc w:val="center"/>
        </w:trPr>
        <w:tc>
          <w:tcPr>
            <w:tcW w:w="868" w:type="dxa"/>
            <w:vMerge w:val="continue"/>
            <w:tcBorders>
              <w:left w:val="single" w:color="000000" w:sz="4" w:space="0"/>
              <w:bottom w:val="single" w:color="000000" w:sz="4" w:space="0"/>
              <w:right w:val="single" w:color="000000" w:sz="4" w:space="0"/>
            </w:tcBorders>
            <w:vAlign w:val="center"/>
          </w:tcPr>
          <w:p>
            <w:pPr>
              <w:spacing w:line="260" w:lineRule="exact"/>
              <w:rPr>
                <w:rFonts w:ascii="仿宋" w:hAnsi="仿宋" w:eastAsia="仿宋"/>
                <w:sz w:val="21"/>
                <w:szCs w:val="21"/>
              </w:rPr>
            </w:pPr>
          </w:p>
        </w:tc>
        <w:tc>
          <w:tcPr>
            <w:tcW w:w="1037" w:type="dxa"/>
            <w:vMerge w:val="continue"/>
            <w:tcBorders>
              <w:left w:val="nil"/>
              <w:bottom w:val="single" w:color="000000" w:sz="4" w:space="0"/>
              <w:right w:val="single" w:color="000000" w:sz="4" w:space="0"/>
            </w:tcBorders>
            <w:vAlign w:val="center"/>
          </w:tcPr>
          <w:p>
            <w:pPr>
              <w:spacing w:line="260" w:lineRule="exact"/>
              <w:rPr>
                <w:rFonts w:ascii="仿宋" w:hAnsi="仿宋" w:eastAsia="仿宋"/>
                <w:sz w:val="21"/>
                <w:szCs w:val="21"/>
              </w:rPr>
            </w:pPr>
          </w:p>
        </w:tc>
        <w:tc>
          <w:tcPr>
            <w:tcW w:w="3045" w:type="dxa"/>
            <w:vMerge w:val="continue"/>
            <w:tcBorders>
              <w:left w:val="nil"/>
              <w:bottom w:val="single" w:color="000000" w:sz="4" w:space="0"/>
              <w:right w:val="single" w:color="000000" w:sz="4" w:space="0"/>
            </w:tcBorders>
            <w:vAlign w:val="center"/>
          </w:tcPr>
          <w:p>
            <w:pPr>
              <w:spacing w:line="260" w:lineRule="exact"/>
              <w:rPr>
                <w:rFonts w:hint="eastAsia" w:ascii="仿宋" w:hAnsi="仿宋" w:eastAsia="仿宋"/>
                <w:sz w:val="21"/>
                <w:szCs w:val="21"/>
              </w:rPr>
            </w:pPr>
          </w:p>
        </w:tc>
        <w:tc>
          <w:tcPr>
            <w:tcW w:w="5938" w:type="dxa"/>
            <w:tcBorders>
              <w:top w:val="single" w:color="000000" w:sz="4" w:space="0"/>
              <w:left w:val="nil"/>
              <w:bottom w:val="single" w:color="000000" w:sz="4" w:space="0"/>
              <w:right w:val="single" w:color="000000" w:sz="4" w:space="0"/>
            </w:tcBorders>
            <w:vAlign w:val="center"/>
          </w:tcPr>
          <w:p>
            <w:pPr>
              <w:spacing w:line="260" w:lineRule="exact"/>
            </w:pPr>
            <w:r>
              <w:rPr>
                <w:rFonts w:hint="eastAsia" w:ascii="仿宋" w:hAnsi="仿宋" w:eastAsia="仿宋"/>
                <w:sz w:val="21"/>
                <w:szCs w:val="21"/>
              </w:rPr>
              <w:t>（4）提高加强个人健康档案与健康体检信息的利用，发现高危人群登记率100%,2分；高危人群纳入健康管理率≥30%，2分。</w:t>
            </w:r>
          </w:p>
          <w:p>
            <w:pPr>
              <w:spacing w:line="260" w:lineRule="exact"/>
              <w:rPr>
                <w:rFonts w:hint="eastAsia" w:ascii="仿宋" w:hAnsi="仿宋" w:eastAsia="仿宋"/>
                <w:sz w:val="21"/>
                <w:szCs w:val="21"/>
              </w:rPr>
            </w:pPr>
          </w:p>
        </w:tc>
        <w:tc>
          <w:tcPr>
            <w:tcW w:w="775" w:type="dxa"/>
            <w:vMerge w:val="continue"/>
            <w:tcBorders>
              <w:left w:val="nil"/>
              <w:bottom w:val="single" w:color="000000" w:sz="4" w:space="0"/>
              <w:right w:val="single" w:color="000000" w:sz="4" w:space="0"/>
            </w:tcBorders>
            <w:vAlign w:val="center"/>
          </w:tcPr>
          <w:p>
            <w:pPr>
              <w:spacing w:line="260" w:lineRule="exact"/>
              <w:jc w:val="center"/>
              <w:rPr>
                <w:rFonts w:hint="eastAsia" w:ascii="仿宋" w:hAnsi="仿宋" w:eastAsia="仿宋"/>
                <w:sz w:val="21"/>
                <w:szCs w:val="21"/>
              </w:rPr>
            </w:pPr>
          </w:p>
        </w:tc>
        <w:tc>
          <w:tcPr>
            <w:tcW w:w="2060" w:type="dxa"/>
            <w:vMerge w:val="continue"/>
            <w:tcBorders>
              <w:left w:val="nil"/>
              <w:bottom w:val="single" w:color="000000" w:sz="4" w:space="0"/>
              <w:right w:val="single" w:color="000000" w:sz="4" w:space="0"/>
            </w:tcBorders>
            <w:vAlign w:val="center"/>
          </w:tcPr>
          <w:p>
            <w:pPr>
              <w:spacing w:line="260" w:lineRule="exact"/>
              <w:rPr>
                <w:rFonts w:hint="eastAsia" w:ascii="仿宋" w:hAnsi="仿宋" w:eastAsia="仿宋"/>
                <w:sz w:val="21"/>
                <w:szCs w:val="21"/>
              </w:rPr>
            </w:pPr>
          </w:p>
        </w:tc>
        <w:tc>
          <w:tcPr>
            <w:tcW w:w="1488" w:type="dxa"/>
            <w:vMerge w:val="continue"/>
            <w:tcBorders>
              <w:left w:val="nil"/>
              <w:bottom w:val="single" w:color="000000" w:sz="4" w:space="0"/>
              <w:right w:val="single" w:color="000000" w:sz="4" w:space="0"/>
            </w:tcBorders>
            <w:vAlign w:val="center"/>
          </w:tcPr>
          <w:p>
            <w:pPr>
              <w:spacing w:line="260" w:lineRule="exact"/>
              <w:rPr>
                <w:rFonts w:hint="eastAsia" w:ascii="仿宋" w:hAnsi="仿宋" w:eastAsia="仿宋"/>
                <w:sz w:val="21"/>
                <w:szCs w:val="21"/>
              </w:rPr>
            </w:pPr>
          </w:p>
        </w:tc>
      </w:tr>
    </w:tbl>
    <w:p>
      <w:pPr>
        <w:sectPr>
          <w:pgSz w:w="16838" w:h="11906" w:orient="landscape"/>
          <w:pgMar w:top="1800" w:right="1440" w:bottom="1800" w:left="1440" w:header="851" w:footer="992" w:gutter="0"/>
          <w:cols w:space="425" w:num="1"/>
          <w:docGrid w:type="lines" w:linePitch="312" w:charSpace="0"/>
        </w:sectPr>
      </w:pPr>
    </w:p>
    <w:tbl>
      <w:tblPr>
        <w:tblStyle w:val="6"/>
        <w:tblW w:w="15326" w:type="dxa"/>
        <w:jc w:val="center"/>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920"/>
        <w:gridCol w:w="999"/>
        <w:gridCol w:w="3068"/>
        <w:gridCol w:w="5983"/>
        <w:gridCol w:w="781"/>
        <w:gridCol w:w="2076"/>
        <w:gridCol w:w="1499"/>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528" w:hRule="atLeast"/>
          <w:jc w:val="center"/>
        </w:trPr>
        <w:tc>
          <w:tcPr>
            <w:tcW w:w="9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指标</w:t>
            </w:r>
          </w:p>
          <w:p>
            <w:pPr>
              <w:spacing w:line="280" w:lineRule="exact"/>
              <w:jc w:val="center"/>
              <w:rPr>
                <w:rFonts w:ascii="仿宋" w:hAnsi="仿宋" w:eastAsia="仿宋"/>
                <w:b/>
                <w:bCs/>
                <w:sz w:val="21"/>
                <w:szCs w:val="21"/>
              </w:rPr>
            </w:pPr>
            <w:r>
              <w:rPr>
                <w:rFonts w:hint="eastAsia" w:ascii="仿宋" w:hAnsi="仿宋" w:eastAsia="仿宋"/>
                <w:b/>
                <w:bCs/>
                <w:sz w:val="21"/>
                <w:szCs w:val="21"/>
              </w:rPr>
              <w:t>分类</w:t>
            </w:r>
          </w:p>
        </w:tc>
        <w:tc>
          <w:tcPr>
            <w:tcW w:w="999"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指标</w:t>
            </w:r>
          </w:p>
          <w:p>
            <w:pPr>
              <w:spacing w:line="280" w:lineRule="exact"/>
              <w:jc w:val="center"/>
              <w:rPr>
                <w:rFonts w:ascii="仿宋" w:hAnsi="仿宋" w:eastAsia="仿宋"/>
                <w:b/>
                <w:bCs/>
                <w:sz w:val="21"/>
                <w:szCs w:val="21"/>
              </w:rPr>
            </w:pPr>
            <w:r>
              <w:rPr>
                <w:rFonts w:hint="eastAsia" w:ascii="仿宋" w:hAnsi="仿宋" w:eastAsia="仿宋"/>
                <w:b/>
                <w:bCs/>
                <w:sz w:val="21"/>
                <w:szCs w:val="21"/>
              </w:rPr>
              <w:t>内容</w:t>
            </w:r>
          </w:p>
        </w:tc>
        <w:tc>
          <w:tcPr>
            <w:tcW w:w="3068"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指标要求</w:t>
            </w:r>
          </w:p>
        </w:tc>
        <w:tc>
          <w:tcPr>
            <w:tcW w:w="5983"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赋分标准</w:t>
            </w:r>
          </w:p>
        </w:tc>
        <w:tc>
          <w:tcPr>
            <w:tcW w:w="781"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权重分值</w:t>
            </w:r>
          </w:p>
        </w:tc>
        <w:tc>
          <w:tcPr>
            <w:tcW w:w="2076"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评价办法</w:t>
            </w:r>
          </w:p>
        </w:tc>
        <w:tc>
          <w:tcPr>
            <w:tcW w:w="1499"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责任单位</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18" w:hRule="atLeast"/>
          <w:jc w:val="center"/>
        </w:trPr>
        <w:tc>
          <w:tcPr>
            <w:tcW w:w="920" w:type="dxa"/>
            <w:vMerge w:val="restart"/>
            <w:tcBorders>
              <w:top w:val="single" w:color="auto" w:sz="4" w:space="0"/>
              <w:left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五、慢性病全程管理</w:t>
            </w:r>
          </w:p>
          <w:p>
            <w:pPr>
              <w:spacing w:line="280" w:lineRule="exact"/>
              <w:rPr>
                <w:rFonts w:ascii="仿宋" w:hAnsi="仿宋" w:eastAsia="仿宋"/>
                <w:sz w:val="21"/>
                <w:szCs w:val="21"/>
              </w:rPr>
            </w:pPr>
            <w:r>
              <w:rPr>
                <w:rFonts w:hint="eastAsia" w:ascii="仿宋" w:hAnsi="仿宋" w:eastAsia="仿宋"/>
                <w:sz w:val="21"/>
                <w:szCs w:val="21"/>
              </w:rPr>
              <w:t>（87分）</w:t>
            </w:r>
          </w:p>
        </w:tc>
        <w:tc>
          <w:tcPr>
            <w:tcW w:w="999" w:type="dxa"/>
            <w:vMerge w:val="restart"/>
            <w:tcBorders>
              <w:top w:val="single" w:color="auto"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（二）建立分级诊疗制度，推进家庭医生签约服务，开展高血压、糖尿病等重点慢性病规范化管理。（25分）</w:t>
            </w:r>
          </w:p>
        </w:tc>
        <w:tc>
          <w:tcPr>
            <w:tcW w:w="3068"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1.开展基层首诊，双向转诊、急慢分治、上下联动的慢性病分级诊疗服务。</w:t>
            </w:r>
          </w:p>
        </w:tc>
        <w:tc>
          <w:tcPr>
            <w:tcW w:w="5983"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（1）建立分级诊疗制度，2分。</w:t>
            </w:r>
          </w:p>
        </w:tc>
        <w:tc>
          <w:tcPr>
            <w:tcW w:w="781" w:type="dxa"/>
            <w:vMerge w:val="restart"/>
            <w:tcBorders>
              <w:top w:val="single" w:color="000000" w:sz="4" w:space="0"/>
              <w:left w:val="nil"/>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7</w:t>
            </w:r>
          </w:p>
        </w:tc>
        <w:tc>
          <w:tcPr>
            <w:tcW w:w="2076"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查阅资料。</w:t>
            </w:r>
          </w:p>
        </w:tc>
        <w:tc>
          <w:tcPr>
            <w:tcW w:w="1499" w:type="dxa"/>
            <w:vMerge w:val="restart"/>
            <w:tcBorders>
              <w:top w:val="single" w:color="000000" w:sz="4" w:space="0"/>
              <w:left w:val="nil"/>
              <w:right w:val="single" w:color="auto"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市卫计局、市医疗集团</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18" w:hRule="atLeast"/>
          <w:jc w:val="center"/>
        </w:trPr>
        <w:tc>
          <w:tcPr>
            <w:tcW w:w="920"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99"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3068"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5983"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（2）落实并开展高血压与糖尿病基层首诊，双向转诊、急慢分治、上下联动的分级诊疗服务，3分。</w:t>
            </w:r>
          </w:p>
        </w:tc>
        <w:tc>
          <w:tcPr>
            <w:tcW w:w="781" w:type="dxa"/>
            <w:vMerge w:val="continue"/>
            <w:tcBorders>
              <w:left w:val="nil"/>
              <w:right w:val="single" w:color="000000" w:sz="4" w:space="0"/>
            </w:tcBorders>
            <w:vAlign w:val="center"/>
          </w:tcPr>
          <w:p>
            <w:pPr>
              <w:spacing w:line="280" w:lineRule="exact"/>
              <w:jc w:val="center"/>
              <w:rPr>
                <w:rFonts w:ascii="仿宋" w:hAnsi="仿宋" w:eastAsia="仿宋"/>
                <w:sz w:val="21"/>
                <w:szCs w:val="21"/>
              </w:rPr>
            </w:pPr>
          </w:p>
        </w:tc>
        <w:tc>
          <w:tcPr>
            <w:tcW w:w="2076"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1499" w:type="dxa"/>
            <w:vMerge w:val="continue"/>
            <w:tcBorders>
              <w:left w:val="nil"/>
              <w:right w:val="single" w:color="auto" w:sz="4" w:space="0"/>
            </w:tcBorders>
            <w:vAlign w:val="top"/>
          </w:tcPr>
          <w:p>
            <w:pPr>
              <w:spacing w:line="28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18" w:hRule="atLeast"/>
          <w:jc w:val="center"/>
        </w:trPr>
        <w:tc>
          <w:tcPr>
            <w:tcW w:w="920"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99"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3068"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5983"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（3）依托信息平台实现分级诊疗，2分。</w:t>
            </w:r>
          </w:p>
        </w:tc>
        <w:tc>
          <w:tcPr>
            <w:tcW w:w="781" w:type="dxa"/>
            <w:vMerge w:val="continue"/>
            <w:tcBorders>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p>
        </w:tc>
        <w:tc>
          <w:tcPr>
            <w:tcW w:w="2076"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1499" w:type="dxa"/>
            <w:vMerge w:val="continue"/>
            <w:tcBorders>
              <w:left w:val="nil"/>
              <w:bottom w:val="single" w:color="000000" w:sz="4" w:space="0"/>
              <w:right w:val="single" w:color="auto" w:sz="4" w:space="0"/>
            </w:tcBorders>
            <w:vAlign w:val="top"/>
          </w:tcPr>
          <w:p>
            <w:pPr>
              <w:spacing w:line="28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18" w:hRule="atLeast"/>
          <w:jc w:val="center"/>
        </w:trPr>
        <w:tc>
          <w:tcPr>
            <w:tcW w:w="920"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99"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3068"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2.推进家庭医生签约服务，签约团队负责提供约定的疾病医疗、公共卫生和健康管理服务。</w:t>
            </w:r>
          </w:p>
        </w:tc>
        <w:tc>
          <w:tcPr>
            <w:tcW w:w="5983"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家庭医生签约服务覆盖率≥本省平均水平30%，6分；25-30%，3分；15-25%，1分；低于15%不得分。</w:t>
            </w:r>
          </w:p>
        </w:tc>
        <w:tc>
          <w:tcPr>
            <w:tcW w:w="781"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6</w:t>
            </w:r>
          </w:p>
        </w:tc>
        <w:tc>
          <w:tcPr>
            <w:tcW w:w="2076"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查阅省级统计数据。</w:t>
            </w:r>
          </w:p>
        </w:tc>
        <w:tc>
          <w:tcPr>
            <w:tcW w:w="1499" w:type="dxa"/>
            <w:tcBorders>
              <w:top w:val="single" w:color="000000" w:sz="4" w:space="0"/>
              <w:left w:val="nil"/>
              <w:bottom w:val="single" w:color="000000" w:sz="4" w:space="0"/>
              <w:right w:val="single" w:color="auto"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市卫计局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18" w:hRule="atLeast"/>
          <w:jc w:val="center"/>
        </w:trPr>
        <w:tc>
          <w:tcPr>
            <w:tcW w:w="920"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99"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3068"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3.提高18岁以上人群高血压、糖尿病知晓率。</w:t>
            </w:r>
          </w:p>
        </w:tc>
        <w:tc>
          <w:tcPr>
            <w:tcW w:w="5983"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（1）18岁以上高血压知晓率≥60%，2分；40-60%，1分；低于40%不得分。</w:t>
            </w:r>
          </w:p>
        </w:tc>
        <w:tc>
          <w:tcPr>
            <w:tcW w:w="781" w:type="dxa"/>
            <w:vMerge w:val="restart"/>
            <w:tcBorders>
              <w:top w:val="single" w:color="000000" w:sz="4" w:space="0"/>
              <w:left w:val="nil"/>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4</w:t>
            </w:r>
          </w:p>
        </w:tc>
        <w:tc>
          <w:tcPr>
            <w:tcW w:w="2076"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查阅监测报告数据。</w:t>
            </w:r>
          </w:p>
        </w:tc>
        <w:tc>
          <w:tcPr>
            <w:tcW w:w="1499" w:type="dxa"/>
            <w:vMerge w:val="restart"/>
            <w:tcBorders>
              <w:top w:val="single" w:color="000000" w:sz="4" w:space="0"/>
              <w:left w:val="nil"/>
              <w:right w:val="single" w:color="auto"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市医疗集团</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18" w:hRule="atLeast"/>
          <w:jc w:val="center"/>
        </w:trPr>
        <w:tc>
          <w:tcPr>
            <w:tcW w:w="920"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99"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3068"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5983"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（2）18岁以上糖尿病知晓率≥50%，2分；30-50%，1分；低于30%不得分。</w:t>
            </w:r>
          </w:p>
        </w:tc>
        <w:tc>
          <w:tcPr>
            <w:tcW w:w="781" w:type="dxa"/>
            <w:vMerge w:val="continue"/>
            <w:tcBorders>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p>
        </w:tc>
        <w:tc>
          <w:tcPr>
            <w:tcW w:w="2076"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1499" w:type="dxa"/>
            <w:vMerge w:val="continue"/>
            <w:tcBorders>
              <w:left w:val="nil"/>
              <w:right w:val="single" w:color="auto" w:sz="4" w:space="0"/>
            </w:tcBorders>
            <w:vAlign w:val="top"/>
          </w:tcPr>
          <w:p>
            <w:pPr>
              <w:spacing w:line="28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18" w:hRule="atLeast"/>
          <w:jc w:val="center"/>
        </w:trPr>
        <w:tc>
          <w:tcPr>
            <w:tcW w:w="920"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99"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3068"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4.提高35岁以上人群高血压、糖尿病患者管理率。</w:t>
            </w:r>
          </w:p>
        </w:tc>
        <w:tc>
          <w:tcPr>
            <w:tcW w:w="5983"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（1）35岁以上高血压患者管理率高于全省平均水平5%，2分；高于3-5%，1分；低于3%不得分。</w:t>
            </w:r>
          </w:p>
        </w:tc>
        <w:tc>
          <w:tcPr>
            <w:tcW w:w="781"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4</w:t>
            </w:r>
          </w:p>
        </w:tc>
        <w:tc>
          <w:tcPr>
            <w:tcW w:w="2076"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查阅国家基本公共卫生服务项目数据。</w:t>
            </w:r>
          </w:p>
        </w:tc>
        <w:tc>
          <w:tcPr>
            <w:tcW w:w="1499" w:type="dxa"/>
            <w:vMerge w:val="continue"/>
            <w:tcBorders>
              <w:left w:val="nil"/>
              <w:right w:val="single" w:color="auto" w:sz="4" w:space="0"/>
            </w:tcBorders>
            <w:vAlign w:val="center"/>
          </w:tcPr>
          <w:p>
            <w:pPr>
              <w:spacing w:line="28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18" w:hRule="atLeast"/>
          <w:jc w:val="center"/>
        </w:trPr>
        <w:tc>
          <w:tcPr>
            <w:tcW w:w="920"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99"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3068"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5983"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（2）35岁以上糖尿病患者管理率高于全省平均水平5%，2分；高于3-5%，1分；低于3%不得分。</w:t>
            </w:r>
          </w:p>
        </w:tc>
        <w:tc>
          <w:tcPr>
            <w:tcW w:w="781" w:type="dxa"/>
            <w:vMerge w:val="restart"/>
            <w:tcBorders>
              <w:top w:val="single" w:color="000000" w:sz="4" w:space="0"/>
              <w:left w:val="nil"/>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4</w:t>
            </w:r>
          </w:p>
        </w:tc>
        <w:tc>
          <w:tcPr>
            <w:tcW w:w="2076"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查阅国家基本公共卫生服务项目数据。</w:t>
            </w:r>
          </w:p>
        </w:tc>
        <w:tc>
          <w:tcPr>
            <w:tcW w:w="1499" w:type="dxa"/>
            <w:vMerge w:val="continue"/>
            <w:tcBorders>
              <w:left w:val="nil"/>
              <w:right w:val="single" w:color="auto" w:sz="4" w:space="0"/>
            </w:tcBorders>
            <w:vAlign w:val="center"/>
          </w:tcPr>
          <w:p>
            <w:pPr>
              <w:spacing w:line="28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18" w:hRule="atLeast"/>
          <w:jc w:val="center"/>
        </w:trPr>
        <w:tc>
          <w:tcPr>
            <w:tcW w:w="920"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99"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3068"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5.提高管理人群高血压、糖尿病患者的控制率。</w:t>
            </w:r>
          </w:p>
        </w:tc>
        <w:tc>
          <w:tcPr>
            <w:tcW w:w="5983"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（1）高血压患者血压控制率高于全省平均水平5%，2分；高于3-5%，1分；低于3%不得分。</w:t>
            </w:r>
          </w:p>
        </w:tc>
        <w:tc>
          <w:tcPr>
            <w:tcW w:w="781" w:type="dxa"/>
            <w:vMerge w:val="continue"/>
            <w:tcBorders>
              <w:left w:val="nil"/>
              <w:right w:val="single" w:color="000000" w:sz="4" w:space="0"/>
            </w:tcBorders>
            <w:vAlign w:val="center"/>
          </w:tcPr>
          <w:p>
            <w:pPr>
              <w:spacing w:line="280" w:lineRule="exact"/>
              <w:jc w:val="center"/>
              <w:rPr>
                <w:rFonts w:ascii="仿宋" w:hAnsi="仿宋" w:eastAsia="仿宋"/>
                <w:sz w:val="21"/>
                <w:szCs w:val="21"/>
              </w:rPr>
            </w:pPr>
          </w:p>
        </w:tc>
        <w:tc>
          <w:tcPr>
            <w:tcW w:w="2076"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1499" w:type="dxa"/>
            <w:vMerge w:val="continue"/>
            <w:tcBorders>
              <w:left w:val="nil"/>
              <w:right w:val="single" w:color="auto" w:sz="4" w:space="0"/>
            </w:tcBorders>
            <w:vAlign w:val="center"/>
          </w:tcPr>
          <w:p>
            <w:pPr>
              <w:spacing w:line="28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18" w:hRule="atLeast"/>
          <w:jc w:val="center"/>
        </w:trPr>
        <w:tc>
          <w:tcPr>
            <w:tcW w:w="920"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99"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3068"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5983"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（2）糖尿病患者血糖控制率高于全省平均水平5%，2分；高于3-5%，1分；低于3%不得分。</w:t>
            </w:r>
          </w:p>
        </w:tc>
        <w:tc>
          <w:tcPr>
            <w:tcW w:w="781" w:type="dxa"/>
            <w:vMerge w:val="continue"/>
            <w:tcBorders>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p>
        </w:tc>
        <w:tc>
          <w:tcPr>
            <w:tcW w:w="2076"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1499" w:type="dxa"/>
            <w:vMerge w:val="continue"/>
            <w:tcBorders>
              <w:left w:val="nil"/>
              <w:bottom w:val="single" w:color="000000" w:sz="4" w:space="0"/>
              <w:right w:val="single" w:color="auto" w:sz="4" w:space="0"/>
            </w:tcBorders>
            <w:vAlign w:val="center"/>
          </w:tcPr>
          <w:p>
            <w:pPr>
              <w:spacing w:line="28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18" w:hRule="atLeast"/>
          <w:jc w:val="center"/>
        </w:trPr>
        <w:tc>
          <w:tcPr>
            <w:tcW w:w="920"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99" w:type="dxa"/>
            <w:vMerge w:val="restart"/>
            <w:tcBorders>
              <w:top w:val="single" w:color="auto" w:sz="4" w:space="0"/>
              <w:left w:val="nil"/>
              <w:right w:val="single" w:color="000000" w:sz="4" w:space="0"/>
            </w:tcBorders>
            <w:vAlign w:val="center"/>
          </w:tcPr>
          <w:p>
            <w:pPr>
              <w:spacing w:line="280" w:lineRule="exact"/>
              <w:rPr>
                <w:rFonts w:ascii="仿宋" w:hAnsi="仿宋" w:eastAsia="仿宋"/>
                <w:sz w:val="18"/>
                <w:szCs w:val="18"/>
              </w:rPr>
            </w:pPr>
            <w:r>
              <w:rPr>
                <w:rFonts w:hint="eastAsia" w:ascii="仿宋" w:hAnsi="仿宋" w:eastAsia="仿宋"/>
                <w:sz w:val="18"/>
                <w:szCs w:val="18"/>
              </w:rPr>
              <w:t>（三）在重点人群中控制口腔疾病防治。（6分）</w:t>
            </w:r>
          </w:p>
        </w:tc>
        <w:tc>
          <w:tcPr>
            <w:tcW w:w="3068"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1.实施儿童窝沟封闭，社区协同开展健康口腔活动。</w:t>
            </w:r>
          </w:p>
        </w:tc>
        <w:tc>
          <w:tcPr>
            <w:tcW w:w="5983"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（1）辖区内实施儿童窝沟封闭学校比例≥60%，2分；50-60%，1分，低于50%不得分。</w:t>
            </w:r>
          </w:p>
        </w:tc>
        <w:tc>
          <w:tcPr>
            <w:tcW w:w="781" w:type="dxa"/>
            <w:vMerge w:val="restart"/>
            <w:tcBorders>
              <w:top w:val="single" w:color="000000" w:sz="4" w:space="0"/>
              <w:left w:val="nil"/>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3</w:t>
            </w:r>
          </w:p>
        </w:tc>
        <w:tc>
          <w:tcPr>
            <w:tcW w:w="2076"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查阅资料。</w:t>
            </w:r>
          </w:p>
        </w:tc>
        <w:tc>
          <w:tcPr>
            <w:tcW w:w="1499"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市卫计局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528" w:hRule="atLeast"/>
          <w:jc w:val="center"/>
        </w:trPr>
        <w:tc>
          <w:tcPr>
            <w:tcW w:w="920"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99"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3068"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5983"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（2）社区协同开展健康口腔活动，1分。</w:t>
            </w:r>
          </w:p>
        </w:tc>
        <w:tc>
          <w:tcPr>
            <w:tcW w:w="781" w:type="dxa"/>
            <w:vMerge w:val="continue"/>
            <w:tcBorders>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p>
        </w:tc>
        <w:tc>
          <w:tcPr>
            <w:tcW w:w="2076"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1499"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528" w:hRule="atLeast"/>
          <w:jc w:val="center"/>
        </w:trPr>
        <w:tc>
          <w:tcPr>
            <w:tcW w:w="920" w:type="dxa"/>
            <w:vMerge w:val="continue"/>
            <w:tcBorders>
              <w:left w:val="single" w:color="000000" w:sz="4" w:space="0"/>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999"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3068"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2.控制12岁儿童患龋率。</w:t>
            </w:r>
          </w:p>
        </w:tc>
        <w:tc>
          <w:tcPr>
            <w:tcW w:w="5983"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辖区12岁儿童患龋率低于25%，3分；不达标不得分。</w:t>
            </w:r>
          </w:p>
        </w:tc>
        <w:tc>
          <w:tcPr>
            <w:tcW w:w="781"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3</w:t>
            </w:r>
          </w:p>
        </w:tc>
        <w:tc>
          <w:tcPr>
            <w:tcW w:w="2076"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查阅资料。</w:t>
            </w:r>
          </w:p>
        </w:tc>
        <w:tc>
          <w:tcPr>
            <w:tcW w:w="1499"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市教科局</w:t>
            </w:r>
          </w:p>
        </w:tc>
      </w:tr>
    </w:tbl>
    <w:p>
      <w:pPr>
        <w:sectPr>
          <w:pgSz w:w="16838" w:h="11906" w:orient="landscape"/>
          <w:pgMar w:top="1800" w:right="1440" w:bottom="1800" w:left="1440" w:header="851" w:footer="992" w:gutter="0"/>
          <w:cols w:space="425" w:num="1"/>
          <w:docGrid w:type="lines" w:linePitch="312" w:charSpace="0"/>
        </w:sectPr>
      </w:pPr>
    </w:p>
    <w:tbl>
      <w:tblPr>
        <w:tblStyle w:val="6"/>
        <w:tblW w:w="15300" w:type="dxa"/>
        <w:jc w:val="center"/>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919"/>
        <w:gridCol w:w="997"/>
        <w:gridCol w:w="3063"/>
        <w:gridCol w:w="5972"/>
        <w:gridCol w:w="780"/>
        <w:gridCol w:w="2072"/>
        <w:gridCol w:w="1497"/>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0" w:hRule="atLeast"/>
          <w:jc w:val="center"/>
        </w:trPr>
        <w:tc>
          <w:tcPr>
            <w:tcW w:w="919" w:type="dxa"/>
            <w:tcBorders>
              <w:top w:val="single" w:color="auto" w:sz="4" w:space="0"/>
              <w:left w:val="single" w:color="000000" w:sz="4" w:space="0"/>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指标</w:t>
            </w:r>
          </w:p>
          <w:p>
            <w:pPr>
              <w:spacing w:line="280" w:lineRule="exact"/>
              <w:jc w:val="center"/>
              <w:rPr>
                <w:rFonts w:ascii="仿宋" w:hAnsi="仿宋" w:eastAsia="仿宋"/>
                <w:b/>
                <w:bCs/>
                <w:sz w:val="21"/>
                <w:szCs w:val="21"/>
              </w:rPr>
            </w:pPr>
            <w:r>
              <w:rPr>
                <w:rFonts w:hint="eastAsia" w:ascii="仿宋" w:hAnsi="仿宋" w:eastAsia="仿宋"/>
                <w:b/>
                <w:bCs/>
                <w:sz w:val="21"/>
                <w:szCs w:val="21"/>
              </w:rPr>
              <w:t>分类</w:t>
            </w:r>
          </w:p>
        </w:tc>
        <w:tc>
          <w:tcPr>
            <w:tcW w:w="997" w:type="dxa"/>
            <w:tcBorders>
              <w:top w:val="single" w:color="auto"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指标</w:t>
            </w:r>
          </w:p>
          <w:p>
            <w:pPr>
              <w:spacing w:line="280" w:lineRule="exact"/>
              <w:jc w:val="center"/>
              <w:rPr>
                <w:rFonts w:ascii="仿宋" w:hAnsi="仿宋" w:eastAsia="仿宋"/>
                <w:b/>
                <w:bCs/>
                <w:sz w:val="21"/>
                <w:szCs w:val="21"/>
              </w:rPr>
            </w:pPr>
            <w:r>
              <w:rPr>
                <w:rFonts w:hint="eastAsia" w:ascii="仿宋" w:hAnsi="仿宋" w:eastAsia="仿宋"/>
                <w:b/>
                <w:bCs/>
                <w:sz w:val="21"/>
                <w:szCs w:val="21"/>
              </w:rPr>
              <w:t>内容</w:t>
            </w:r>
          </w:p>
        </w:tc>
        <w:tc>
          <w:tcPr>
            <w:tcW w:w="3063"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指标要求</w:t>
            </w:r>
          </w:p>
        </w:tc>
        <w:tc>
          <w:tcPr>
            <w:tcW w:w="5972"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赋分标准</w:t>
            </w:r>
          </w:p>
        </w:tc>
        <w:tc>
          <w:tcPr>
            <w:tcW w:w="780"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权重分值</w:t>
            </w:r>
          </w:p>
        </w:tc>
        <w:tc>
          <w:tcPr>
            <w:tcW w:w="2072"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评价办法</w:t>
            </w:r>
          </w:p>
        </w:tc>
        <w:tc>
          <w:tcPr>
            <w:tcW w:w="1497"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责任单位</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0" w:hRule="atLeast"/>
          <w:jc w:val="center"/>
        </w:trPr>
        <w:tc>
          <w:tcPr>
            <w:tcW w:w="919" w:type="dxa"/>
            <w:vMerge w:val="restart"/>
            <w:tcBorders>
              <w:top w:val="single" w:color="auto" w:sz="4" w:space="0"/>
              <w:left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五、慢性病全程管理（87分）</w:t>
            </w:r>
          </w:p>
        </w:tc>
        <w:tc>
          <w:tcPr>
            <w:tcW w:w="997" w:type="dxa"/>
            <w:vMerge w:val="restart"/>
            <w:tcBorders>
              <w:top w:val="single" w:color="auto" w:sz="4" w:space="0"/>
              <w:left w:val="nil"/>
              <w:right w:val="single" w:color="000000" w:sz="4" w:space="0"/>
            </w:tcBorders>
            <w:vAlign w:val="center"/>
          </w:tcPr>
          <w:p>
            <w:pPr>
              <w:spacing w:line="280" w:lineRule="exact"/>
              <w:rPr>
                <w:rFonts w:ascii="仿宋" w:hAnsi="仿宋" w:eastAsia="仿宋"/>
                <w:sz w:val="18"/>
                <w:szCs w:val="18"/>
              </w:rPr>
            </w:pPr>
            <w:r>
              <w:rPr>
                <w:rFonts w:hint="eastAsia" w:ascii="仿宋" w:hAnsi="仿宋" w:eastAsia="仿宋"/>
                <w:sz w:val="18"/>
                <w:szCs w:val="18"/>
              </w:rPr>
              <w:t>（四）完善区域信息平台，实现医疗卫生机构间互联互通、信息共享。（15分）</w:t>
            </w:r>
          </w:p>
        </w:tc>
        <w:tc>
          <w:tcPr>
            <w:tcW w:w="3063"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1.建立区域卫生信息平台，实现公共卫生服务、诊疗信息互联互通。</w:t>
            </w:r>
          </w:p>
        </w:tc>
        <w:tc>
          <w:tcPr>
            <w:tcW w:w="5972"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（1）建立区域卫生信息平台，4分。</w:t>
            </w:r>
          </w:p>
        </w:tc>
        <w:tc>
          <w:tcPr>
            <w:tcW w:w="780" w:type="dxa"/>
            <w:vMerge w:val="restart"/>
            <w:tcBorders>
              <w:top w:val="single" w:color="000000" w:sz="4" w:space="0"/>
              <w:left w:val="nil"/>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10</w:t>
            </w:r>
          </w:p>
        </w:tc>
        <w:tc>
          <w:tcPr>
            <w:tcW w:w="2072"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查阅资料，现场评估。</w:t>
            </w:r>
          </w:p>
        </w:tc>
        <w:tc>
          <w:tcPr>
            <w:tcW w:w="1497" w:type="dxa"/>
            <w:vMerge w:val="restart"/>
            <w:tcBorders>
              <w:top w:val="single" w:color="000000" w:sz="4" w:space="0"/>
              <w:left w:val="nil"/>
              <w:right w:val="single" w:color="auto"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市卫计局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0" w:hRule="atLeast"/>
          <w:jc w:val="center"/>
        </w:trPr>
        <w:tc>
          <w:tcPr>
            <w:tcW w:w="919"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97" w:type="dxa"/>
            <w:vMerge w:val="continue"/>
            <w:tcBorders>
              <w:left w:val="nil"/>
              <w:right w:val="single" w:color="000000" w:sz="4" w:space="0"/>
            </w:tcBorders>
            <w:vAlign w:val="center"/>
          </w:tcPr>
          <w:p>
            <w:pPr>
              <w:spacing w:line="280" w:lineRule="exact"/>
              <w:rPr>
                <w:rFonts w:ascii="仿宋" w:hAnsi="仿宋" w:eastAsia="仿宋"/>
                <w:sz w:val="18"/>
                <w:szCs w:val="18"/>
              </w:rPr>
            </w:pPr>
          </w:p>
        </w:tc>
        <w:tc>
          <w:tcPr>
            <w:tcW w:w="3063"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5972"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（2）专业公共卫生机构、二级及以上医院和基层医疗卫生机构之间实现互联互通和信息共享，3分。</w:t>
            </w:r>
          </w:p>
        </w:tc>
        <w:tc>
          <w:tcPr>
            <w:tcW w:w="780" w:type="dxa"/>
            <w:vMerge w:val="continue"/>
            <w:tcBorders>
              <w:left w:val="nil"/>
              <w:right w:val="single" w:color="000000" w:sz="4" w:space="0"/>
            </w:tcBorders>
            <w:vAlign w:val="center"/>
          </w:tcPr>
          <w:p>
            <w:pPr>
              <w:spacing w:line="280" w:lineRule="exact"/>
              <w:jc w:val="center"/>
              <w:rPr>
                <w:rFonts w:ascii="仿宋" w:hAnsi="仿宋" w:eastAsia="仿宋"/>
                <w:sz w:val="21"/>
                <w:szCs w:val="21"/>
              </w:rPr>
            </w:pPr>
          </w:p>
        </w:tc>
        <w:tc>
          <w:tcPr>
            <w:tcW w:w="2072"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1497" w:type="dxa"/>
            <w:vMerge w:val="continue"/>
            <w:tcBorders>
              <w:left w:val="nil"/>
              <w:right w:val="single" w:color="auto" w:sz="4" w:space="0"/>
            </w:tcBorders>
            <w:vAlign w:val="top"/>
          </w:tcPr>
          <w:p>
            <w:pPr>
              <w:spacing w:line="28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0" w:hRule="atLeast"/>
          <w:jc w:val="center"/>
        </w:trPr>
        <w:tc>
          <w:tcPr>
            <w:tcW w:w="919"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97" w:type="dxa"/>
            <w:vMerge w:val="continue"/>
            <w:tcBorders>
              <w:left w:val="nil"/>
              <w:right w:val="single" w:color="000000" w:sz="4" w:space="0"/>
            </w:tcBorders>
            <w:vAlign w:val="center"/>
          </w:tcPr>
          <w:p>
            <w:pPr>
              <w:spacing w:line="280" w:lineRule="exact"/>
              <w:rPr>
                <w:rFonts w:ascii="仿宋" w:hAnsi="仿宋" w:eastAsia="仿宋"/>
                <w:sz w:val="18"/>
                <w:szCs w:val="18"/>
              </w:rPr>
            </w:pPr>
          </w:p>
        </w:tc>
        <w:tc>
          <w:tcPr>
            <w:tcW w:w="3063"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5972"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（3）实现电子健康档案和电子病历的连续记录和信息共享，3分。</w:t>
            </w:r>
          </w:p>
        </w:tc>
        <w:tc>
          <w:tcPr>
            <w:tcW w:w="780" w:type="dxa"/>
            <w:vMerge w:val="continue"/>
            <w:tcBorders>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p>
        </w:tc>
        <w:tc>
          <w:tcPr>
            <w:tcW w:w="2072" w:type="dxa"/>
            <w:vMerge w:val="continue"/>
            <w:tcBorders>
              <w:left w:val="nil"/>
              <w:bottom w:val="single" w:color="auto" w:sz="4" w:space="0"/>
              <w:right w:val="single" w:color="000000" w:sz="4" w:space="0"/>
            </w:tcBorders>
            <w:vAlign w:val="center"/>
          </w:tcPr>
          <w:p>
            <w:pPr>
              <w:spacing w:line="280" w:lineRule="exact"/>
              <w:rPr>
                <w:rFonts w:ascii="仿宋" w:hAnsi="仿宋" w:eastAsia="仿宋"/>
                <w:sz w:val="21"/>
                <w:szCs w:val="21"/>
              </w:rPr>
            </w:pPr>
          </w:p>
        </w:tc>
        <w:tc>
          <w:tcPr>
            <w:tcW w:w="1497" w:type="dxa"/>
            <w:vMerge w:val="continue"/>
            <w:tcBorders>
              <w:left w:val="nil"/>
              <w:right w:val="single" w:color="auto" w:sz="4" w:space="0"/>
            </w:tcBorders>
            <w:vAlign w:val="top"/>
          </w:tcPr>
          <w:p>
            <w:pPr>
              <w:spacing w:line="28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0" w:hRule="atLeast"/>
          <w:jc w:val="center"/>
        </w:trPr>
        <w:tc>
          <w:tcPr>
            <w:tcW w:w="919"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97"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18"/>
                <w:szCs w:val="18"/>
              </w:rPr>
            </w:pPr>
          </w:p>
        </w:tc>
        <w:tc>
          <w:tcPr>
            <w:tcW w:w="3063"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2.应用互联网+、健康大数据提供便捷、高效的健康管理服务。</w:t>
            </w:r>
          </w:p>
        </w:tc>
        <w:tc>
          <w:tcPr>
            <w:tcW w:w="5972"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应用互联网+、健康大数据为签约服务的患者提供健康管理和诊疗服务，5分。</w:t>
            </w:r>
          </w:p>
        </w:tc>
        <w:tc>
          <w:tcPr>
            <w:tcW w:w="780"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5</w:t>
            </w:r>
          </w:p>
        </w:tc>
        <w:tc>
          <w:tcPr>
            <w:tcW w:w="2072" w:type="dxa"/>
            <w:tcBorders>
              <w:top w:val="single" w:color="auto"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查阅资料，现场评估。</w:t>
            </w:r>
          </w:p>
        </w:tc>
        <w:tc>
          <w:tcPr>
            <w:tcW w:w="1497" w:type="dxa"/>
            <w:vMerge w:val="continue"/>
            <w:tcBorders>
              <w:left w:val="nil"/>
              <w:bottom w:val="single" w:color="000000" w:sz="4" w:space="0"/>
              <w:right w:val="single" w:color="auto" w:sz="4" w:space="0"/>
            </w:tcBorders>
            <w:vAlign w:val="center"/>
          </w:tcPr>
          <w:p>
            <w:pPr>
              <w:spacing w:line="28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0" w:hRule="atLeast"/>
          <w:jc w:val="center"/>
        </w:trPr>
        <w:tc>
          <w:tcPr>
            <w:tcW w:w="919"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97"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18"/>
                <w:szCs w:val="18"/>
              </w:rPr>
            </w:pPr>
            <w:r>
              <w:rPr>
                <w:rFonts w:hint="eastAsia" w:ascii="仿宋" w:hAnsi="仿宋" w:eastAsia="仿宋"/>
                <w:sz w:val="18"/>
                <w:szCs w:val="18"/>
              </w:rPr>
              <w:t>（五）中西医并重，发挥中医药在慢性病预防、保健、诊疗、康复中的作用。（7分）</w:t>
            </w:r>
          </w:p>
        </w:tc>
        <w:tc>
          <w:tcPr>
            <w:tcW w:w="3063"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1.辖区各社区卫生服务中心、乡镇卫生院有中医综合服务区。</w:t>
            </w:r>
          </w:p>
        </w:tc>
        <w:tc>
          <w:tcPr>
            <w:tcW w:w="5972"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设有中医综合服务区的社区卫生服务中心、乡镇卫生院比例达100%，3分。</w:t>
            </w:r>
          </w:p>
        </w:tc>
        <w:tc>
          <w:tcPr>
            <w:tcW w:w="780"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3</w:t>
            </w:r>
          </w:p>
        </w:tc>
        <w:tc>
          <w:tcPr>
            <w:tcW w:w="2072" w:type="dxa"/>
            <w:tcBorders>
              <w:top w:val="single" w:color="000000" w:sz="4" w:space="0"/>
              <w:left w:val="nil"/>
              <w:bottom w:val="single" w:color="auto"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查阅资料。</w:t>
            </w:r>
          </w:p>
        </w:tc>
        <w:tc>
          <w:tcPr>
            <w:tcW w:w="1497" w:type="dxa"/>
            <w:tcBorders>
              <w:top w:val="single" w:color="000000" w:sz="4" w:space="0"/>
              <w:left w:val="nil"/>
              <w:bottom w:val="single" w:color="auto" w:sz="4" w:space="0"/>
              <w:right w:val="single" w:color="auto"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市医疗集团</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0" w:hRule="atLeast"/>
          <w:jc w:val="center"/>
        </w:trPr>
        <w:tc>
          <w:tcPr>
            <w:tcW w:w="919"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97"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3063"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2.开展中医药养生保健知识的宣传及中医适宜推广技术。</w:t>
            </w:r>
          </w:p>
        </w:tc>
        <w:tc>
          <w:tcPr>
            <w:tcW w:w="5972"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（1）宣传中医药养生保健知识,2分。</w:t>
            </w:r>
          </w:p>
        </w:tc>
        <w:tc>
          <w:tcPr>
            <w:tcW w:w="780" w:type="dxa"/>
            <w:vMerge w:val="restart"/>
            <w:tcBorders>
              <w:top w:val="single" w:color="000000" w:sz="4" w:space="0"/>
              <w:left w:val="nil"/>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4</w:t>
            </w:r>
          </w:p>
        </w:tc>
        <w:tc>
          <w:tcPr>
            <w:tcW w:w="2072" w:type="dxa"/>
            <w:vMerge w:val="restart"/>
            <w:tcBorders>
              <w:top w:val="single" w:color="auto"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查阅资料，现场评估。</w:t>
            </w:r>
          </w:p>
        </w:tc>
        <w:tc>
          <w:tcPr>
            <w:tcW w:w="1497" w:type="dxa"/>
            <w:vMerge w:val="restart"/>
            <w:tcBorders>
              <w:top w:val="single" w:color="auto" w:sz="4" w:space="0"/>
              <w:left w:val="nil"/>
              <w:right w:val="single" w:color="auto"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市卫计局、市医疗集团</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0" w:hRule="atLeast"/>
          <w:jc w:val="center"/>
        </w:trPr>
        <w:tc>
          <w:tcPr>
            <w:tcW w:w="919"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97"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3063"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5972"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（2）推广中医适宜技术，2分</w:t>
            </w:r>
          </w:p>
        </w:tc>
        <w:tc>
          <w:tcPr>
            <w:tcW w:w="780" w:type="dxa"/>
            <w:vMerge w:val="continue"/>
            <w:tcBorders>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p>
        </w:tc>
        <w:tc>
          <w:tcPr>
            <w:tcW w:w="2072"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1497" w:type="dxa"/>
            <w:vMerge w:val="continue"/>
            <w:tcBorders>
              <w:left w:val="nil"/>
              <w:bottom w:val="single" w:color="000000" w:sz="4" w:space="0"/>
              <w:right w:val="single" w:color="auto" w:sz="4" w:space="0"/>
            </w:tcBorders>
            <w:vAlign w:val="top"/>
          </w:tcPr>
          <w:p>
            <w:pPr>
              <w:spacing w:line="28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0" w:hRule="atLeast"/>
          <w:jc w:val="center"/>
        </w:trPr>
        <w:tc>
          <w:tcPr>
            <w:tcW w:w="919"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97"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18"/>
                <w:szCs w:val="18"/>
              </w:rPr>
            </w:pPr>
            <w:r>
              <w:rPr>
                <w:rFonts w:hint="eastAsia" w:ascii="仿宋" w:hAnsi="仿宋" w:eastAsia="仿宋"/>
                <w:sz w:val="18"/>
                <w:szCs w:val="18"/>
              </w:rPr>
              <w:t>（六）做好基本医疗保险、城乡居民大病保险和医疗救助重大疾病保障的衔接。（7分）</w:t>
            </w:r>
          </w:p>
        </w:tc>
        <w:tc>
          <w:tcPr>
            <w:tcW w:w="3063"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1.做好基本医疗保险、城乡居民大病保险和医疗救助重大疾病保障。</w:t>
            </w:r>
          </w:p>
        </w:tc>
        <w:tc>
          <w:tcPr>
            <w:tcW w:w="5972"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（1）落实基本医疗保险、大病保险和医疗救助重大疾病保障等相关政策，2分。</w:t>
            </w:r>
          </w:p>
        </w:tc>
        <w:tc>
          <w:tcPr>
            <w:tcW w:w="780" w:type="dxa"/>
            <w:vMerge w:val="restart"/>
            <w:tcBorders>
              <w:top w:val="single" w:color="000000" w:sz="4" w:space="0"/>
              <w:left w:val="nil"/>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4</w:t>
            </w:r>
          </w:p>
        </w:tc>
        <w:tc>
          <w:tcPr>
            <w:tcW w:w="2072"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查阅资料。</w:t>
            </w:r>
          </w:p>
        </w:tc>
        <w:tc>
          <w:tcPr>
            <w:tcW w:w="1497" w:type="dxa"/>
            <w:vMerge w:val="restart"/>
            <w:tcBorders>
              <w:top w:val="single" w:color="000000" w:sz="4" w:space="0"/>
              <w:left w:val="nil"/>
              <w:right w:val="single" w:color="auto"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市人社局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0" w:hRule="atLeast"/>
          <w:jc w:val="center"/>
        </w:trPr>
        <w:tc>
          <w:tcPr>
            <w:tcW w:w="919"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97"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3063"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5972"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（2）提高签约患者的医疗保障水平和残疾人、流动人口、低收入等人群医疗救助水平的具体措施，2分。</w:t>
            </w:r>
          </w:p>
        </w:tc>
        <w:tc>
          <w:tcPr>
            <w:tcW w:w="780" w:type="dxa"/>
            <w:vMerge w:val="continue"/>
            <w:tcBorders>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p>
        </w:tc>
        <w:tc>
          <w:tcPr>
            <w:tcW w:w="2072"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1497" w:type="dxa"/>
            <w:vMerge w:val="continue"/>
            <w:tcBorders>
              <w:left w:val="nil"/>
              <w:bottom w:val="single" w:color="000000" w:sz="4" w:space="0"/>
              <w:right w:val="single" w:color="auto" w:sz="4" w:space="0"/>
            </w:tcBorders>
            <w:vAlign w:val="top"/>
          </w:tcPr>
          <w:p>
            <w:pPr>
              <w:spacing w:line="28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0" w:hRule="atLeast"/>
          <w:jc w:val="center"/>
        </w:trPr>
        <w:tc>
          <w:tcPr>
            <w:tcW w:w="919"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97"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3063"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2.基层医疗卫生机构优先配备使用基本药物，根据省级医保药品报销目录，配备使用一定数量或比例的药品。</w:t>
            </w:r>
          </w:p>
        </w:tc>
        <w:tc>
          <w:tcPr>
            <w:tcW w:w="5972"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（1）按基本药物目录配置，1分。</w:t>
            </w:r>
          </w:p>
        </w:tc>
        <w:tc>
          <w:tcPr>
            <w:tcW w:w="780" w:type="dxa"/>
            <w:vMerge w:val="restart"/>
            <w:tcBorders>
              <w:top w:val="single" w:color="000000" w:sz="4" w:space="0"/>
              <w:left w:val="nil"/>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3</w:t>
            </w:r>
          </w:p>
        </w:tc>
        <w:tc>
          <w:tcPr>
            <w:tcW w:w="2072"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查阅资料，现场评估。</w:t>
            </w:r>
          </w:p>
        </w:tc>
        <w:tc>
          <w:tcPr>
            <w:tcW w:w="1497" w:type="dxa"/>
            <w:vMerge w:val="restart"/>
            <w:tcBorders>
              <w:top w:val="single" w:color="000000" w:sz="4" w:space="0"/>
              <w:left w:val="nil"/>
              <w:right w:val="single" w:color="auto"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市卫计局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0" w:hRule="atLeast"/>
          <w:jc w:val="center"/>
        </w:trPr>
        <w:tc>
          <w:tcPr>
            <w:tcW w:w="919"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97"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3063" w:type="dxa"/>
            <w:vMerge w:val="continue"/>
            <w:tcBorders>
              <w:left w:val="nil"/>
              <w:bottom w:val="single" w:color="000000" w:sz="4" w:space="0"/>
              <w:right w:val="single" w:color="000000" w:sz="4" w:space="0"/>
            </w:tcBorders>
            <w:vAlign w:val="center"/>
          </w:tcPr>
          <w:p>
            <w:pPr>
              <w:spacing w:line="280" w:lineRule="exact"/>
              <w:rPr>
                <w:rFonts w:hint="eastAsia" w:ascii="仿宋" w:hAnsi="仿宋" w:eastAsia="仿宋"/>
                <w:sz w:val="21"/>
                <w:szCs w:val="21"/>
              </w:rPr>
            </w:pPr>
          </w:p>
        </w:tc>
        <w:tc>
          <w:tcPr>
            <w:tcW w:w="5972" w:type="dxa"/>
            <w:tcBorders>
              <w:top w:val="single" w:color="000000" w:sz="4" w:space="0"/>
              <w:left w:val="nil"/>
              <w:bottom w:val="single" w:color="000000" w:sz="4" w:space="0"/>
              <w:right w:val="single" w:color="000000" w:sz="4" w:space="0"/>
            </w:tcBorders>
            <w:vAlign w:val="center"/>
          </w:tcPr>
          <w:p>
            <w:pPr>
              <w:spacing w:line="280" w:lineRule="exact"/>
            </w:pPr>
            <w:r>
              <w:rPr>
                <w:rFonts w:hint="eastAsia" w:ascii="仿宋" w:hAnsi="仿宋" w:eastAsia="仿宋"/>
                <w:sz w:val="21"/>
                <w:szCs w:val="21"/>
              </w:rPr>
              <w:t>（2）按省级卫生计生行政部门规定和要求配备使用医保报销药物，非基本药物占基层用药的30%及以上，2分；低于30%不得分。</w:t>
            </w:r>
          </w:p>
          <w:p>
            <w:pPr>
              <w:spacing w:line="280" w:lineRule="exact"/>
              <w:rPr>
                <w:rFonts w:hint="eastAsia" w:ascii="仿宋" w:hAnsi="仿宋" w:eastAsia="仿宋"/>
                <w:sz w:val="21"/>
                <w:szCs w:val="21"/>
              </w:rPr>
            </w:pPr>
          </w:p>
        </w:tc>
        <w:tc>
          <w:tcPr>
            <w:tcW w:w="780" w:type="dxa"/>
            <w:vMerge w:val="continue"/>
            <w:tcBorders>
              <w:left w:val="nil"/>
              <w:bottom w:val="single" w:color="000000" w:sz="4" w:space="0"/>
              <w:right w:val="single" w:color="000000" w:sz="4" w:space="0"/>
            </w:tcBorders>
            <w:vAlign w:val="center"/>
          </w:tcPr>
          <w:p>
            <w:pPr>
              <w:spacing w:line="280" w:lineRule="exact"/>
              <w:jc w:val="center"/>
              <w:rPr>
                <w:rFonts w:hint="eastAsia" w:ascii="仿宋" w:hAnsi="仿宋" w:eastAsia="仿宋"/>
                <w:sz w:val="21"/>
                <w:szCs w:val="21"/>
              </w:rPr>
            </w:pPr>
          </w:p>
        </w:tc>
        <w:tc>
          <w:tcPr>
            <w:tcW w:w="2072" w:type="dxa"/>
            <w:vMerge w:val="continue"/>
            <w:tcBorders>
              <w:left w:val="nil"/>
              <w:bottom w:val="single" w:color="000000" w:sz="4" w:space="0"/>
              <w:right w:val="single" w:color="000000" w:sz="4" w:space="0"/>
            </w:tcBorders>
            <w:vAlign w:val="center"/>
          </w:tcPr>
          <w:p>
            <w:pPr>
              <w:spacing w:line="280" w:lineRule="exact"/>
              <w:rPr>
                <w:rFonts w:hint="eastAsia" w:ascii="仿宋" w:hAnsi="仿宋" w:eastAsia="仿宋"/>
                <w:sz w:val="21"/>
                <w:szCs w:val="21"/>
              </w:rPr>
            </w:pPr>
          </w:p>
        </w:tc>
        <w:tc>
          <w:tcPr>
            <w:tcW w:w="1497" w:type="dxa"/>
            <w:vMerge w:val="continue"/>
            <w:tcBorders>
              <w:left w:val="nil"/>
              <w:bottom w:val="single" w:color="000000" w:sz="4" w:space="0"/>
              <w:right w:val="single" w:color="auto" w:sz="4" w:space="0"/>
            </w:tcBorders>
            <w:vAlign w:val="center"/>
          </w:tcPr>
          <w:p>
            <w:pPr>
              <w:spacing w:line="280" w:lineRule="exact"/>
              <w:rPr>
                <w:rFonts w:hint="eastAsia" w:ascii="仿宋" w:hAnsi="仿宋" w:eastAsia="仿宋"/>
                <w:sz w:val="21"/>
                <w:szCs w:val="21"/>
              </w:rPr>
            </w:pPr>
          </w:p>
        </w:tc>
      </w:tr>
    </w:tbl>
    <w:p>
      <w:pPr>
        <w:sectPr>
          <w:pgSz w:w="16838" w:h="11906" w:orient="landscape"/>
          <w:pgMar w:top="1800" w:right="1440" w:bottom="1800" w:left="1440" w:header="851" w:footer="992" w:gutter="0"/>
          <w:cols w:space="425" w:num="1"/>
          <w:docGrid w:type="lines" w:linePitch="312" w:charSpace="0"/>
        </w:sectPr>
      </w:pPr>
    </w:p>
    <w:tbl>
      <w:tblPr>
        <w:tblStyle w:val="6"/>
        <w:tblW w:w="15211" w:type="dxa"/>
        <w:jc w:val="center"/>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913"/>
        <w:gridCol w:w="992"/>
        <w:gridCol w:w="3045"/>
        <w:gridCol w:w="5938"/>
        <w:gridCol w:w="775"/>
        <w:gridCol w:w="2060"/>
        <w:gridCol w:w="1488"/>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560" w:hRule="atLeast"/>
          <w:jc w:val="center"/>
        </w:trPr>
        <w:tc>
          <w:tcPr>
            <w:tcW w:w="91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指标</w:t>
            </w:r>
          </w:p>
          <w:p>
            <w:pPr>
              <w:spacing w:line="280" w:lineRule="exact"/>
              <w:jc w:val="center"/>
              <w:rPr>
                <w:rFonts w:ascii="仿宋" w:hAnsi="仿宋" w:eastAsia="仿宋"/>
                <w:b/>
                <w:bCs/>
                <w:sz w:val="21"/>
                <w:szCs w:val="21"/>
              </w:rPr>
            </w:pPr>
            <w:r>
              <w:rPr>
                <w:rFonts w:hint="eastAsia" w:ascii="仿宋" w:hAnsi="仿宋" w:eastAsia="仿宋"/>
                <w:b/>
                <w:bCs/>
                <w:sz w:val="21"/>
                <w:szCs w:val="21"/>
              </w:rPr>
              <w:t>分类</w:t>
            </w:r>
          </w:p>
        </w:tc>
        <w:tc>
          <w:tcPr>
            <w:tcW w:w="992"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指标</w:t>
            </w:r>
          </w:p>
          <w:p>
            <w:pPr>
              <w:spacing w:line="280" w:lineRule="exact"/>
              <w:jc w:val="center"/>
              <w:rPr>
                <w:rFonts w:ascii="仿宋" w:hAnsi="仿宋" w:eastAsia="仿宋"/>
                <w:b/>
                <w:bCs/>
                <w:sz w:val="21"/>
                <w:szCs w:val="21"/>
              </w:rPr>
            </w:pPr>
            <w:r>
              <w:rPr>
                <w:rFonts w:hint="eastAsia" w:ascii="仿宋" w:hAnsi="仿宋" w:eastAsia="仿宋"/>
                <w:b/>
                <w:bCs/>
                <w:sz w:val="21"/>
                <w:szCs w:val="21"/>
              </w:rPr>
              <w:t>内容</w:t>
            </w:r>
          </w:p>
        </w:tc>
        <w:tc>
          <w:tcPr>
            <w:tcW w:w="3045"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指标要求</w:t>
            </w:r>
          </w:p>
        </w:tc>
        <w:tc>
          <w:tcPr>
            <w:tcW w:w="5938"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赋分标准</w:t>
            </w:r>
          </w:p>
        </w:tc>
        <w:tc>
          <w:tcPr>
            <w:tcW w:w="775"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权重分值</w:t>
            </w:r>
          </w:p>
        </w:tc>
        <w:tc>
          <w:tcPr>
            <w:tcW w:w="2060"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评价办法</w:t>
            </w:r>
          </w:p>
        </w:tc>
        <w:tc>
          <w:tcPr>
            <w:tcW w:w="1488"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b/>
                <w:bCs/>
                <w:sz w:val="21"/>
                <w:szCs w:val="21"/>
              </w:rPr>
            </w:pPr>
            <w:r>
              <w:rPr>
                <w:rFonts w:hint="eastAsia" w:ascii="仿宋" w:hAnsi="仿宋" w:eastAsia="仿宋"/>
                <w:b/>
                <w:bCs/>
                <w:sz w:val="21"/>
                <w:szCs w:val="21"/>
              </w:rPr>
              <w:t>责任单位</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470" w:hRule="atLeast"/>
          <w:jc w:val="center"/>
        </w:trPr>
        <w:tc>
          <w:tcPr>
            <w:tcW w:w="913" w:type="dxa"/>
            <w:vMerge w:val="restart"/>
            <w:tcBorders>
              <w:top w:val="single" w:color="000000" w:sz="4" w:space="0"/>
              <w:left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五、慢性病全程管理（87分）</w:t>
            </w:r>
          </w:p>
        </w:tc>
        <w:tc>
          <w:tcPr>
            <w:tcW w:w="992"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（七）动员社会力量参与慢性病防控工作，促进医养结合。（7分）</w:t>
            </w:r>
          </w:p>
        </w:tc>
        <w:tc>
          <w:tcPr>
            <w:tcW w:w="3045"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1.政府引导、市场驱动、社会力量参与，为慢性病患者提供健康管理服务。</w:t>
            </w:r>
          </w:p>
        </w:tc>
        <w:tc>
          <w:tcPr>
            <w:tcW w:w="5938"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（1）有效引进社会资本参与慢性病防控，1分。</w:t>
            </w:r>
          </w:p>
        </w:tc>
        <w:tc>
          <w:tcPr>
            <w:tcW w:w="775" w:type="dxa"/>
            <w:vMerge w:val="restart"/>
            <w:tcBorders>
              <w:top w:val="single" w:color="000000" w:sz="4" w:space="0"/>
              <w:left w:val="nil"/>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4</w:t>
            </w:r>
          </w:p>
        </w:tc>
        <w:tc>
          <w:tcPr>
            <w:tcW w:w="2060"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查阅资料。</w:t>
            </w:r>
          </w:p>
        </w:tc>
        <w:tc>
          <w:tcPr>
            <w:tcW w:w="1488" w:type="dxa"/>
            <w:tcBorders>
              <w:top w:val="single" w:color="000000" w:sz="4" w:space="0"/>
              <w:left w:val="nil"/>
              <w:bottom w:val="single" w:color="000000" w:sz="4" w:space="0"/>
              <w:right w:val="single" w:color="auto"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市卫计局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470" w:hRule="atLeast"/>
          <w:jc w:val="center"/>
        </w:trPr>
        <w:tc>
          <w:tcPr>
            <w:tcW w:w="913"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92"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3045"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5938"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（2）商业健康保险参与医疗救助，1分。</w:t>
            </w:r>
          </w:p>
        </w:tc>
        <w:tc>
          <w:tcPr>
            <w:tcW w:w="775" w:type="dxa"/>
            <w:vMerge w:val="continue"/>
            <w:tcBorders>
              <w:left w:val="nil"/>
              <w:right w:val="single" w:color="000000" w:sz="4" w:space="0"/>
            </w:tcBorders>
            <w:vAlign w:val="center"/>
          </w:tcPr>
          <w:p>
            <w:pPr>
              <w:spacing w:line="280" w:lineRule="exact"/>
              <w:jc w:val="center"/>
              <w:rPr>
                <w:rFonts w:ascii="仿宋" w:hAnsi="仿宋" w:eastAsia="仿宋"/>
                <w:sz w:val="21"/>
                <w:szCs w:val="21"/>
              </w:rPr>
            </w:pPr>
          </w:p>
        </w:tc>
        <w:tc>
          <w:tcPr>
            <w:tcW w:w="2060"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查阅资料。</w:t>
            </w:r>
          </w:p>
        </w:tc>
        <w:tc>
          <w:tcPr>
            <w:tcW w:w="1488" w:type="dxa"/>
            <w:tcBorders>
              <w:top w:val="single" w:color="000000" w:sz="4" w:space="0"/>
              <w:left w:val="nil"/>
              <w:bottom w:val="single" w:color="000000" w:sz="4" w:space="0"/>
              <w:right w:val="single" w:color="auto"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市人社局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0" w:hRule="atLeast"/>
          <w:jc w:val="center"/>
        </w:trPr>
        <w:tc>
          <w:tcPr>
            <w:tcW w:w="913"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92"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3045"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5938"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（3）通过向社会力量购买服务的方式，为慢性病患者提供健康管理服务，2分。</w:t>
            </w:r>
          </w:p>
        </w:tc>
        <w:tc>
          <w:tcPr>
            <w:tcW w:w="775" w:type="dxa"/>
            <w:vMerge w:val="continue"/>
            <w:tcBorders>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p>
        </w:tc>
        <w:tc>
          <w:tcPr>
            <w:tcW w:w="2060"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查阅资料。</w:t>
            </w:r>
          </w:p>
        </w:tc>
        <w:tc>
          <w:tcPr>
            <w:tcW w:w="1488" w:type="dxa"/>
            <w:vMerge w:val="restart"/>
            <w:tcBorders>
              <w:top w:val="single" w:color="000000" w:sz="4" w:space="0"/>
              <w:left w:val="nil"/>
              <w:right w:val="single" w:color="auto"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市卫计局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0" w:hRule="atLeast"/>
          <w:jc w:val="center"/>
        </w:trPr>
        <w:tc>
          <w:tcPr>
            <w:tcW w:w="913"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92"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3045"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2.促进慢性病全程防治管理服务与居家养老、社区养老和机构养老服务融合。</w:t>
            </w:r>
          </w:p>
        </w:tc>
        <w:tc>
          <w:tcPr>
            <w:tcW w:w="5938"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（1）医疗机构向居家养老、社区养老与机构养老的老年人提供医养结合的健康养老服务覆盖比例≥80%，2分；60-70%，1分；低于60%不得分。</w:t>
            </w:r>
          </w:p>
        </w:tc>
        <w:tc>
          <w:tcPr>
            <w:tcW w:w="775" w:type="dxa"/>
            <w:vMerge w:val="restart"/>
            <w:tcBorders>
              <w:top w:val="single" w:color="000000" w:sz="4" w:space="0"/>
              <w:left w:val="nil"/>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3</w:t>
            </w:r>
          </w:p>
        </w:tc>
        <w:tc>
          <w:tcPr>
            <w:tcW w:w="2060"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查阅资料。</w:t>
            </w:r>
          </w:p>
        </w:tc>
        <w:tc>
          <w:tcPr>
            <w:tcW w:w="1488" w:type="dxa"/>
            <w:vMerge w:val="continue"/>
            <w:tcBorders>
              <w:left w:val="nil"/>
              <w:right w:val="single" w:color="auto" w:sz="4" w:space="0"/>
            </w:tcBorders>
            <w:vAlign w:val="center"/>
          </w:tcPr>
          <w:p>
            <w:pPr>
              <w:spacing w:line="28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407" w:hRule="atLeast"/>
          <w:jc w:val="center"/>
        </w:trPr>
        <w:tc>
          <w:tcPr>
            <w:tcW w:w="913" w:type="dxa"/>
            <w:vMerge w:val="continue"/>
            <w:tcBorders>
              <w:left w:val="single" w:color="000000" w:sz="4" w:space="0"/>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992"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3045"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5938"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（2）具有医养结合机构的街道/乡镇覆盖率≥10%，1分。</w:t>
            </w:r>
          </w:p>
        </w:tc>
        <w:tc>
          <w:tcPr>
            <w:tcW w:w="775" w:type="dxa"/>
            <w:vMerge w:val="continue"/>
            <w:tcBorders>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p>
        </w:tc>
        <w:tc>
          <w:tcPr>
            <w:tcW w:w="2060"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1488" w:type="dxa"/>
            <w:vMerge w:val="continue"/>
            <w:tcBorders>
              <w:left w:val="nil"/>
              <w:bottom w:val="single" w:color="000000" w:sz="4" w:space="0"/>
              <w:right w:val="single" w:color="auto" w:sz="4" w:space="0"/>
            </w:tcBorders>
            <w:vAlign w:val="top"/>
          </w:tcPr>
          <w:p>
            <w:pPr>
              <w:spacing w:line="28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413" w:hRule="atLeast"/>
          <w:jc w:val="center"/>
        </w:trPr>
        <w:tc>
          <w:tcPr>
            <w:tcW w:w="913" w:type="dxa"/>
            <w:vMerge w:val="restart"/>
            <w:tcBorders>
              <w:top w:val="single" w:color="000000" w:sz="4" w:space="0"/>
              <w:left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六、监测评估（30分）</w:t>
            </w:r>
          </w:p>
        </w:tc>
        <w:tc>
          <w:tcPr>
            <w:tcW w:w="992"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（一）开展过程质量控制和重点慢性病监测工作。（15分）</w:t>
            </w:r>
          </w:p>
        </w:tc>
        <w:tc>
          <w:tcPr>
            <w:tcW w:w="3045"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1.规范开展覆盖辖区慢性病及相关危险因素监测，掌握辖区重点慢性病状况、影响因素和疾病负担。</w:t>
            </w:r>
          </w:p>
        </w:tc>
        <w:tc>
          <w:tcPr>
            <w:tcW w:w="5938"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全人群的死因监测、慢病与营养监测、心脑血管疾病、肿瘤、慢阻肺等重大慢性病登记报告达到基本技术指标，完成报告。</w:t>
            </w:r>
          </w:p>
        </w:tc>
        <w:tc>
          <w:tcPr>
            <w:tcW w:w="775" w:type="dxa"/>
            <w:vMerge w:val="restart"/>
            <w:tcBorders>
              <w:top w:val="single" w:color="000000" w:sz="4" w:space="0"/>
              <w:left w:val="nil"/>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10</w:t>
            </w:r>
          </w:p>
        </w:tc>
        <w:tc>
          <w:tcPr>
            <w:tcW w:w="2060" w:type="dxa"/>
            <w:vMerge w:val="restart"/>
            <w:tcBorders>
              <w:top w:val="single" w:color="000000" w:sz="4" w:space="0"/>
              <w:left w:val="nil"/>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查阅资料。</w:t>
            </w:r>
          </w:p>
        </w:tc>
        <w:tc>
          <w:tcPr>
            <w:tcW w:w="1488" w:type="dxa"/>
            <w:vMerge w:val="restart"/>
            <w:tcBorders>
              <w:top w:val="single" w:color="000000" w:sz="4" w:space="0"/>
              <w:left w:val="nil"/>
              <w:right w:val="single" w:color="auto"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市疾控中心</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413" w:hRule="atLeast"/>
          <w:jc w:val="center"/>
        </w:trPr>
        <w:tc>
          <w:tcPr>
            <w:tcW w:w="913"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92" w:type="dxa"/>
            <w:vMerge w:val="continue"/>
            <w:tcBorders>
              <w:left w:val="nil"/>
              <w:right w:val="single" w:color="000000" w:sz="4" w:space="0"/>
            </w:tcBorders>
            <w:vAlign w:val="center"/>
          </w:tcPr>
          <w:p>
            <w:pPr>
              <w:spacing w:line="280" w:lineRule="exact"/>
              <w:rPr>
                <w:rFonts w:ascii="仿宋" w:hAnsi="仿宋" w:eastAsia="仿宋"/>
                <w:sz w:val="21"/>
                <w:szCs w:val="21"/>
              </w:rPr>
            </w:pPr>
          </w:p>
        </w:tc>
        <w:tc>
          <w:tcPr>
            <w:tcW w:w="3045" w:type="dxa"/>
            <w:vMerge w:val="continue"/>
            <w:tcBorders>
              <w:left w:val="nil"/>
              <w:bottom w:val="single" w:color="auto" w:sz="4" w:space="0"/>
              <w:right w:val="single" w:color="000000" w:sz="4" w:space="0"/>
            </w:tcBorders>
            <w:vAlign w:val="center"/>
          </w:tcPr>
          <w:p>
            <w:pPr>
              <w:spacing w:line="280" w:lineRule="exact"/>
              <w:rPr>
                <w:rFonts w:ascii="仿宋" w:hAnsi="仿宋" w:eastAsia="仿宋"/>
                <w:sz w:val="21"/>
                <w:szCs w:val="21"/>
              </w:rPr>
            </w:pPr>
          </w:p>
        </w:tc>
        <w:tc>
          <w:tcPr>
            <w:tcW w:w="5938" w:type="dxa"/>
            <w:tcBorders>
              <w:top w:val="single" w:color="000000" w:sz="4" w:space="0"/>
              <w:left w:val="nil"/>
              <w:bottom w:val="single" w:color="auto"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死因监测，2分；每5年1次慢病与营养监测，2分；心脑血管疾病报告，2分；肿瘤随访登记，2分；慢阻肺监测，2分。</w:t>
            </w:r>
          </w:p>
        </w:tc>
        <w:tc>
          <w:tcPr>
            <w:tcW w:w="775" w:type="dxa"/>
            <w:vMerge w:val="continue"/>
            <w:tcBorders>
              <w:left w:val="nil"/>
              <w:bottom w:val="single" w:color="auto" w:sz="4" w:space="0"/>
              <w:right w:val="single" w:color="000000" w:sz="4" w:space="0"/>
            </w:tcBorders>
            <w:vAlign w:val="center"/>
          </w:tcPr>
          <w:p>
            <w:pPr>
              <w:spacing w:line="280" w:lineRule="exact"/>
              <w:jc w:val="center"/>
              <w:rPr>
                <w:rFonts w:ascii="仿宋" w:hAnsi="仿宋" w:eastAsia="仿宋"/>
                <w:sz w:val="21"/>
                <w:szCs w:val="21"/>
              </w:rPr>
            </w:pPr>
          </w:p>
        </w:tc>
        <w:tc>
          <w:tcPr>
            <w:tcW w:w="2060" w:type="dxa"/>
            <w:vMerge w:val="continue"/>
            <w:tcBorders>
              <w:left w:val="nil"/>
              <w:bottom w:val="single" w:color="auto" w:sz="4" w:space="0"/>
              <w:right w:val="single" w:color="000000" w:sz="4" w:space="0"/>
            </w:tcBorders>
            <w:vAlign w:val="center"/>
          </w:tcPr>
          <w:p>
            <w:pPr>
              <w:spacing w:line="280" w:lineRule="exact"/>
              <w:rPr>
                <w:rFonts w:ascii="仿宋" w:hAnsi="仿宋" w:eastAsia="仿宋"/>
                <w:sz w:val="21"/>
                <w:szCs w:val="21"/>
              </w:rPr>
            </w:pPr>
          </w:p>
        </w:tc>
        <w:tc>
          <w:tcPr>
            <w:tcW w:w="1488" w:type="dxa"/>
            <w:vMerge w:val="continue"/>
            <w:tcBorders>
              <w:left w:val="nil"/>
              <w:bottom w:val="single" w:color="auto" w:sz="4" w:space="0"/>
              <w:right w:val="single" w:color="auto" w:sz="4" w:space="0"/>
            </w:tcBorders>
            <w:vAlign w:val="top"/>
          </w:tcPr>
          <w:p>
            <w:pPr>
              <w:spacing w:line="28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413" w:hRule="atLeast"/>
          <w:jc w:val="center"/>
        </w:trPr>
        <w:tc>
          <w:tcPr>
            <w:tcW w:w="913" w:type="dxa"/>
            <w:vMerge w:val="continue"/>
            <w:tcBorders>
              <w:left w:val="single" w:color="000000" w:sz="4" w:space="0"/>
              <w:right w:val="single" w:color="000000" w:sz="4" w:space="0"/>
            </w:tcBorders>
            <w:vAlign w:val="center"/>
          </w:tcPr>
          <w:p>
            <w:pPr>
              <w:spacing w:line="280" w:lineRule="exact"/>
              <w:rPr>
                <w:rFonts w:ascii="仿宋" w:hAnsi="仿宋" w:eastAsia="仿宋"/>
                <w:sz w:val="21"/>
                <w:szCs w:val="21"/>
              </w:rPr>
            </w:pPr>
          </w:p>
        </w:tc>
        <w:tc>
          <w:tcPr>
            <w:tcW w:w="992" w:type="dxa"/>
            <w:vMerge w:val="continue"/>
            <w:tcBorders>
              <w:left w:val="nil"/>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3045" w:type="dxa"/>
            <w:tcBorders>
              <w:top w:val="single" w:color="auto"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2.慢性病监测数据互联互通。</w:t>
            </w:r>
          </w:p>
        </w:tc>
        <w:tc>
          <w:tcPr>
            <w:tcW w:w="5938"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利用省、地区、县三级人口健康信息和疾病预防控制信息管理系统，实现重点慢性病监测数据互联互通，5分。</w:t>
            </w:r>
          </w:p>
        </w:tc>
        <w:tc>
          <w:tcPr>
            <w:tcW w:w="775"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5</w:t>
            </w:r>
          </w:p>
        </w:tc>
        <w:tc>
          <w:tcPr>
            <w:tcW w:w="2060"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现场评估。</w:t>
            </w:r>
          </w:p>
        </w:tc>
        <w:tc>
          <w:tcPr>
            <w:tcW w:w="1488" w:type="dxa"/>
            <w:tcBorders>
              <w:top w:val="single" w:color="000000" w:sz="4" w:space="0"/>
              <w:left w:val="nil"/>
              <w:bottom w:val="single" w:color="auto" w:sz="4" w:space="0"/>
              <w:right w:val="single" w:color="auto"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市卫计局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413" w:hRule="atLeast"/>
          <w:jc w:val="center"/>
        </w:trPr>
        <w:tc>
          <w:tcPr>
            <w:tcW w:w="913" w:type="dxa"/>
            <w:vMerge w:val="continue"/>
            <w:tcBorders>
              <w:left w:val="single" w:color="000000" w:sz="4" w:space="0"/>
              <w:bottom w:val="single" w:color="000000" w:sz="4" w:space="0"/>
              <w:right w:val="single" w:color="000000" w:sz="4" w:space="0"/>
            </w:tcBorders>
            <w:vAlign w:val="center"/>
          </w:tcPr>
          <w:p>
            <w:pPr>
              <w:spacing w:line="280" w:lineRule="exact"/>
              <w:rPr>
                <w:rFonts w:ascii="仿宋" w:hAnsi="仿宋" w:eastAsia="仿宋"/>
                <w:sz w:val="21"/>
                <w:szCs w:val="21"/>
              </w:rPr>
            </w:pPr>
          </w:p>
        </w:tc>
        <w:tc>
          <w:tcPr>
            <w:tcW w:w="992"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18"/>
                <w:szCs w:val="18"/>
              </w:rPr>
            </w:pPr>
            <w:r>
              <w:rPr>
                <w:rFonts w:hint="eastAsia" w:ascii="仿宋" w:hAnsi="仿宋" w:eastAsia="仿宋"/>
                <w:sz w:val="18"/>
                <w:szCs w:val="18"/>
              </w:rPr>
              <w:t>（二）开展慢性病防控社会因素调查，定期发布调查结果。（15分）</w:t>
            </w:r>
          </w:p>
        </w:tc>
        <w:tc>
          <w:tcPr>
            <w:tcW w:w="3045"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1.辖区每5年开展一次慢性病防控社会因素调查。</w:t>
            </w:r>
          </w:p>
        </w:tc>
        <w:tc>
          <w:tcPr>
            <w:tcW w:w="5938"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（1）综合运用社会学、流行病学及管理学理论与方法开展社会因素调查，完成调查报告，3分。</w:t>
            </w:r>
          </w:p>
        </w:tc>
        <w:tc>
          <w:tcPr>
            <w:tcW w:w="775" w:type="dxa"/>
            <w:tcBorders>
              <w:top w:val="single" w:color="000000" w:sz="4" w:space="0"/>
              <w:left w:val="nil"/>
              <w:bottom w:val="single" w:color="000000" w:sz="4" w:space="0"/>
              <w:right w:val="single" w:color="000000" w:sz="4" w:space="0"/>
            </w:tcBorders>
            <w:vAlign w:val="center"/>
          </w:tcPr>
          <w:p>
            <w:pPr>
              <w:spacing w:line="280" w:lineRule="exact"/>
              <w:jc w:val="center"/>
              <w:rPr>
                <w:rFonts w:ascii="仿宋" w:hAnsi="仿宋" w:eastAsia="仿宋"/>
                <w:sz w:val="21"/>
                <w:szCs w:val="21"/>
              </w:rPr>
            </w:pPr>
            <w:r>
              <w:rPr>
                <w:rFonts w:hint="eastAsia" w:ascii="仿宋" w:hAnsi="仿宋" w:eastAsia="仿宋"/>
                <w:sz w:val="21"/>
                <w:szCs w:val="21"/>
              </w:rPr>
              <w:t>9</w:t>
            </w:r>
          </w:p>
        </w:tc>
        <w:tc>
          <w:tcPr>
            <w:tcW w:w="2060" w:type="dxa"/>
            <w:tcBorders>
              <w:top w:val="single" w:color="000000" w:sz="4" w:space="0"/>
              <w:left w:val="nil"/>
              <w:bottom w:val="single" w:color="000000" w:sz="4" w:space="0"/>
              <w:right w:val="single" w:color="000000"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查阅资料。</w:t>
            </w:r>
          </w:p>
        </w:tc>
        <w:tc>
          <w:tcPr>
            <w:tcW w:w="1488" w:type="dxa"/>
            <w:tcBorders>
              <w:top w:val="single" w:color="auto" w:sz="4" w:space="0"/>
              <w:left w:val="nil"/>
              <w:bottom w:val="single" w:color="000000" w:sz="4" w:space="0"/>
              <w:right w:val="single" w:color="auto" w:sz="4" w:space="0"/>
            </w:tcBorders>
            <w:vAlign w:val="center"/>
          </w:tcPr>
          <w:p>
            <w:pPr>
              <w:spacing w:line="280" w:lineRule="exact"/>
              <w:rPr>
                <w:rFonts w:ascii="仿宋" w:hAnsi="仿宋" w:eastAsia="仿宋"/>
                <w:sz w:val="21"/>
                <w:szCs w:val="21"/>
              </w:rPr>
            </w:pPr>
            <w:r>
              <w:rPr>
                <w:rFonts w:hint="eastAsia" w:ascii="仿宋" w:hAnsi="仿宋" w:eastAsia="仿宋"/>
                <w:sz w:val="21"/>
                <w:szCs w:val="21"/>
              </w:rPr>
              <w:t>示范区工作领导组办公室</w:t>
            </w:r>
          </w:p>
        </w:tc>
      </w:tr>
    </w:tbl>
    <w:p>
      <w:pPr>
        <w:sectPr>
          <w:pgSz w:w="16838" w:h="11906" w:orient="landscape"/>
          <w:pgMar w:top="1800" w:right="1440" w:bottom="1800" w:left="1440" w:header="851" w:footer="992" w:gutter="0"/>
          <w:cols w:space="425" w:num="1"/>
          <w:docGrid w:type="lines" w:linePitch="312" w:charSpace="0"/>
        </w:sectPr>
      </w:pPr>
    </w:p>
    <w:tbl>
      <w:tblPr>
        <w:tblStyle w:val="6"/>
        <w:tblW w:w="15211" w:type="dxa"/>
        <w:jc w:val="center"/>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913"/>
        <w:gridCol w:w="992"/>
        <w:gridCol w:w="3045"/>
        <w:gridCol w:w="5938"/>
        <w:gridCol w:w="775"/>
        <w:gridCol w:w="2060"/>
        <w:gridCol w:w="1488"/>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19" w:hRule="atLeast"/>
          <w:jc w:val="center"/>
        </w:trPr>
        <w:tc>
          <w:tcPr>
            <w:tcW w:w="91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b/>
                <w:bCs/>
                <w:sz w:val="21"/>
                <w:szCs w:val="21"/>
              </w:rPr>
            </w:pPr>
            <w:r>
              <w:rPr>
                <w:rFonts w:hint="eastAsia" w:ascii="仿宋" w:hAnsi="仿宋" w:eastAsia="仿宋"/>
                <w:b/>
                <w:bCs/>
                <w:sz w:val="21"/>
                <w:szCs w:val="21"/>
              </w:rPr>
              <w:t>指标</w:t>
            </w:r>
          </w:p>
          <w:p>
            <w:pPr>
              <w:spacing w:line="300" w:lineRule="exact"/>
              <w:jc w:val="center"/>
              <w:rPr>
                <w:rFonts w:ascii="仿宋" w:hAnsi="仿宋" w:eastAsia="仿宋"/>
                <w:b/>
                <w:bCs/>
                <w:sz w:val="21"/>
                <w:szCs w:val="21"/>
              </w:rPr>
            </w:pPr>
            <w:r>
              <w:rPr>
                <w:rFonts w:hint="eastAsia" w:ascii="仿宋" w:hAnsi="仿宋" w:eastAsia="仿宋"/>
                <w:b/>
                <w:bCs/>
                <w:sz w:val="21"/>
                <w:szCs w:val="21"/>
              </w:rPr>
              <w:t>分类</w:t>
            </w:r>
          </w:p>
        </w:tc>
        <w:tc>
          <w:tcPr>
            <w:tcW w:w="992"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b/>
                <w:bCs/>
                <w:sz w:val="21"/>
                <w:szCs w:val="21"/>
              </w:rPr>
            </w:pPr>
            <w:r>
              <w:rPr>
                <w:rFonts w:hint="eastAsia" w:ascii="仿宋" w:hAnsi="仿宋" w:eastAsia="仿宋"/>
                <w:b/>
                <w:bCs/>
                <w:sz w:val="21"/>
                <w:szCs w:val="21"/>
              </w:rPr>
              <w:t>指标</w:t>
            </w:r>
          </w:p>
          <w:p>
            <w:pPr>
              <w:spacing w:line="300" w:lineRule="exact"/>
              <w:jc w:val="center"/>
              <w:rPr>
                <w:rFonts w:ascii="仿宋" w:hAnsi="仿宋" w:eastAsia="仿宋"/>
                <w:b/>
                <w:bCs/>
                <w:sz w:val="21"/>
                <w:szCs w:val="21"/>
              </w:rPr>
            </w:pPr>
            <w:r>
              <w:rPr>
                <w:rFonts w:hint="eastAsia" w:ascii="仿宋" w:hAnsi="仿宋" w:eastAsia="仿宋"/>
                <w:b/>
                <w:bCs/>
                <w:sz w:val="21"/>
                <w:szCs w:val="21"/>
              </w:rPr>
              <w:t>内容</w:t>
            </w:r>
          </w:p>
        </w:tc>
        <w:tc>
          <w:tcPr>
            <w:tcW w:w="3045"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b/>
                <w:bCs/>
                <w:sz w:val="21"/>
                <w:szCs w:val="21"/>
              </w:rPr>
            </w:pPr>
            <w:r>
              <w:rPr>
                <w:rFonts w:hint="eastAsia" w:ascii="仿宋" w:hAnsi="仿宋" w:eastAsia="仿宋"/>
                <w:b/>
                <w:bCs/>
                <w:sz w:val="21"/>
                <w:szCs w:val="21"/>
              </w:rPr>
              <w:t>指标要求</w:t>
            </w:r>
          </w:p>
        </w:tc>
        <w:tc>
          <w:tcPr>
            <w:tcW w:w="5938"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b/>
                <w:bCs/>
                <w:sz w:val="21"/>
                <w:szCs w:val="21"/>
              </w:rPr>
            </w:pPr>
            <w:r>
              <w:rPr>
                <w:rFonts w:hint="eastAsia" w:ascii="仿宋" w:hAnsi="仿宋" w:eastAsia="仿宋"/>
                <w:b/>
                <w:bCs/>
                <w:sz w:val="21"/>
                <w:szCs w:val="21"/>
              </w:rPr>
              <w:t>赋分标准</w:t>
            </w:r>
          </w:p>
        </w:tc>
        <w:tc>
          <w:tcPr>
            <w:tcW w:w="775"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b/>
                <w:bCs/>
                <w:sz w:val="21"/>
                <w:szCs w:val="21"/>
              </w:rPr>
            </w:pPr>
            <w:r>
              <w:rPr>
                <w:rFonts w:hint="eastAsia" w:ascii="仿宋" w:hAnsi="仿宋" w:eastAsia="仿宋"/>
                <w:b/>
                <w:bCs/>
                <w:sz w:val="21"/>
                <w:szCs w:val="21"/>
              </w:rPr>
              <w:t>权重分值</w:t>
            </w:r>
          </w:p>
        </w:tc>
        <w:tc>
          <w:tcPr>
            <w:tcW w:w="2060"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b/>
                <w:bCs/>
                <w:sz w:val="21"/>
                <w:szCs w:val="21"/>
              </w:rPr>
            </w:pPr>
            <w:r>
              <w:rPr>
                <w:rFonts w:hint="eastAsia" w:ascii="仿宋" w:hAnsi="仿宋" w:eastAsia="仿宋"/>
                <w:b/>
                <w:bCs/>
                <w:sz w:val="21"/>
                <w:szCs w:val="21"/>
              </w:rPr>
              <w:t>评价办法</w:t>
            </w:r>
          </w:p>
        </w:tc>
        <w:tc>
          <w:tcPr>
            <w:tcW w:w="1488"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b/>
                <w:bCs/>
                <w:sz w:val="21"/>
                <w:szCs w:val="21"/>
              </w:rPr>
            </w:pPr>
            <w:r>
              <w:rPr>
                <w:rFonts w:hint="eastAsia" w:ascii="仿宋" w:hAnsi="仿宋" w:eastAsia="仿宋"/>
                <w:b/>
                <w:bCs/>
                <w:sz w:val="21"/>
                <w:szCs w:val="21"/>
              </w:rPr>
              <w:t>责任单位</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413" w:hRule="atLeast"/>
          <w:jc w:val="center"/>
        </w:trPr>
        <w:tc>
          <w:tcPr>
            <w:tcW w:w="913" w:type="dxa"/>
            <w:vMerge w:val="restart"/>
            <w:tcBorders>
              <w:top w:val="single" w:color="000000" w:sz="4" w:space="0"/>
              <w:left w:val="single" w:color="000000" w:sz="4" w:space="0"/>
              <w:right w:val="single" w:color="000000" w:sz="4" w:space="0"/>
            </w:tcBorders>
            <w:vAlign w:val="center"/>
          </w:tcPr>
          <w:p>
            <w:pPr>
              <w:spacing w:line="300" w:lineRule="exact"/>
              <w:rPr>
                <w:rFonts w:ascii="仿宋" w:hAnsi="仿宋" w:eastAsia="仿宋"/>
                <w:sz w:val="21"/>
                <w:szCs w:val="21"/>
              </w:rPr>
            </w:pPr>
            <w:r>
              <w:rPr>
                <w:rFonts w:hint="eastAsia" w:ascii="仿宋" w:hAnsi="仿宋" w:eastAsia="仿宋"/>
                <w:sz w:val="21"/>
                <w:szCs w:val="21"/>
              </w:rPr>
              <w:t>六、监测评估（30分）</w:t>
            </w:r>
          </w:p>
        </w:tc>
        <w:tc>
          <w:tcPr>
            <w:tcW w:w="992" w:type="dxa"/>
            <w:vMerge w:val="restart"/>
            <w:tcBorders>
              <w:top w:val="single" w:color="000000" w:sz="4" w:space="0"/>
              <w:left w:val="nil"/>
              <w:right w:val="single" w:color="000000" w:sz="4" w:space="0"/>
            </w:tcBorders>
            <w:vAlign w:val="center"/>
          </w:tcPr>
          <w:p>
            <w:pPr>
              <w:spacing w:line="300" w:lineRule="exact"/>
              <w:rPr>
                <w:rFonts w:ascii="仿宋" w:hAnsi="仿宋" w:eastAsia="仿宋"/>
                <w:sz w:val="21"/>
                <w:szCs w:val="21"/>
              </w:rPr>
            </w:pPr>
            <w:r>
              <w:rPr>
                <w:rFonts w:hint="eastAsia" w:ascii="仿宋" w:hAnsi="仿宋" w:eastAsia="仿宋"/>
                <w:sz w:val="21"/>
                <w:szCs w:val="21"/>
              </w:rPr>
              <w:t>（二）开展慢性病综合防控社会因素调查，定期发布调查结果。（15分）</w:t>
            </w:r>
          </w:p>
        </w:tc>
        <w:tc>
          <w:tcPr>
            <w:tcW w:w="3045" w:type="dxa"/>
            <w:vMerge w:val="restart"/>
            <w:tcBorders>
              <w:top w:val="single" w:color="000000" w:sz="4" w:space="0"/>
              <w:left w:val="nil"/>
              <w:right w:val="single" w:color="000000" w:sz="4" w:space="0"/>
            </w:tcBorders>
            <w:vAlign w:val="center"/>
          </w:tcPr>
          <w:p>
            <w:pPr>
              <w:spacing w:line="300" w:lineRule="exact"/>
              <w:rPr>
                <w:rFonts w:ascii="仿宋" w:hAnsi="仿宋" w:eastAsia="仿宋"/>
                <w:sz w:val="21"/>
                <w:szCs w:val="21"/>
              </w:rPr>
            </w:pPr>
            <w:r>
              <w:rPr>
                <w:rFonts w:hint="eastAsia" w:ascii="仿宋" w:hAnsi="仿宋" w:eastAsia="仿宋"/>
                <w:sz w:val="21"/>
                <w:szCs w:val="21"/>
              </w:rPr>
              <w:t>1.辖区每5年开展一次慢性病防控社会因素调查。</w:t>
            </w:r>
          </w:p>
        </w:tc>
        <w:tc>
          <w:tcPr>
            <w:tcW w:w="5938"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sz w:val="21"/>
                <w:szCs w:val="21"/>
              </w:rPr>
            </w:pPr>
            <w:r>
              <w:rPr>
                <w:rFonts w:hint="eastAsia" w:ascii="仿宋" w:hAnsi="仿宋" w:eastAsia="仿宋"/>
                <w:sz w:val="21"/>
                <w:szCs w:val="21"/>
              </w:rPr>
              <w:t>（2）报告信息来源权威、准确、多元、综合，报告结构完整，有背景、方法、现状与主要问题、资源分析、预期目标、主要对策与具体措施等内容，2分。</w:t>
            </w:r>
          </w:p>
        </w:tc>
        <w:tc>
          <w:tcPr>
            <w:tcW w:w="775" w:type="dxa"/>
            <w:vMerge w:val="restart"/>
            <w:tcBorders>
              <w:top w:val="single" w:color="000000" w:sz="4" w:space="0"/>
              <w:left w:val="nil"/>
              <w:right w:val="single" w:color="000000" w:sz="4" w:space="0"/>
            </w:tcBorders>
            <w:vAlign w:val="center"/>
          </w:tcPr>
          <w:p>
            <w:pPr>
              <w:spacing w:line="300" w:lineRule="exact"/>
              <w:jc w:val="center"/>
              <w:rPr>
                <w:rFonts w:ascii="仿宋" w:hAnsi="仿宋" w:eastAsia="仿宋"/>
                <w:sz w:val="21"/>
                <w:szCs w:val="21"/>
              </w:rPr>
            </w:pPr>
            <w:r>
              <w:rPr>
                <w:rFonts w:hint="eastAsia" w:ascii="仿宋" w:hAnsi="仿宋" w:eastAsia="仿宋"/>
                <w:sz w:val="21"/>
                <w:szCs w:val="21"/>
              </w:rPr>
              <w:t>9</w:t>
            </w:r>
          </w:p>
        </w:tc>
        <w:tc>
          <w:tcPr>
            <w:tcW w:w="2060" w:type="dxa"/>
            <w:vMerge w:val="restart"/>
            <w:tcBorders>
              <w:top w:val="single" w:color="000000" w:sz="4" w:space="0"/>
              <w:left w:val="nil"/>
              <w:right w:val="single" w:color="000000" w:sz="4" w:space="0"/>
            </w:tcBorders>
            <w:vAlign w:val="center"/>
          </w:tcPr>
          <w:p>
            <w:pPr>
              <w:spacing w:line="300" w:lineRule="exact"/>
              <w:rPr>
                <w:rFonts w:ascii="仿宋" w:hAnsi="仿宋" w:eastAsia="仿宋"/>
                <w:sz w:val="21"/>
                <w:szCs w:val="21"/>
              </w:rPr>
            </w:pPr>
            <w:r>
              <w:rPr>
                <w:rFonts w:hint="eastAsia" w:ascii="仿宋" w:hAnsi="仿宋" w:eastAsia="仿宋"/>
                <w:sz w:val="21"/>
                <w:szCs w:val="21"/>
              </w:rPr>
              <w:t>查阅资料。</w:t>
            </w:r>
          </w:p>
        </w:tc>
        <w:tc>
          <w:tcPr>
            <w:tcW w:w="1488" w:type="dxa"/>
            <w:vMerge w:val="restart"/>
            <w:tcBorders>
              <w:top w:val="single" w:color="000000" w:sz="4" w:space="0"/>
              <w:left w:val="nil"/>
              <w:right w:val="single" w:color="auto" w:sz="4" w:space="0"/>
            </w:tcBorders>
            <w:vAlign w:val="center"/>
          </w:tcPr>
          <w:p>
            <w:pPr>
              <w:spacing w:line="300" w:lineRule="exact"/>
              <w:rPr>
                <w:rFonts w:ascii="仿宋" w:hAnsi="仿宋" w:eastAsia="仿宋"/>
                <w:sz w:val="21"/>
                <w:szCs w:val="21"/>
              </w:rPr>
            </w:pPr>
            <w:r>
              <w:rPr>
                <w:rFonts w:hint="eastAsia" w:ascii="仿宋" w:hAnsi="仿宋" w:eastAsia="仿宋"/>
                <w:sz w:val="21"/>
                <w:szCs w:val="21"/>
              </w:rPr>
              <w:t>示范区工作领导组办公室</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413" w:hRule="atLeast"/>
          <w:jc w:val="center"/>
        </w:trPr>
        <w:tc>
          <w:tcPr>
            <w:tcW w:w="913" w:type="dxa"/>
            <w:vMerge w:val="continue"/>
            <w:tcBorders>
              <w:left w:val="single" w:color="000000" w:sz="4" w:space="0"/>
              <w:right w:val="single" w:color="000000" w:sz="4" w:space="0"/>
            </w:tcBorders>
            <w:vAlign w:val="center"/>
          </w:tcPr>
          <w:p>
            <w:pPr>
              <w:spacing w:line="300" w:lineRule="exact"/>
              <w:rPr>
                <w:rFonts w:ascii="仿宋" w:hAnsi="仿宋" w:eastAsia="仿宋"/>
                <w:sz w:val="21"/>
                <w:szCs w:val="21"/>
              </w:rPr>
            </w:pPr>
          </w:p>
        </w:tc>
        <w:tc>
          <w:tcPr>
            <w:tcW w:w="992" w:type="dxa"/>
            <w:vMerge w:val="continue"/>
            <w:tcBorders>
              <w:left w:val="nil"/>
              <w:right w:val="single" w:color="000000" w:sz="4" w:space="0"/>
            </w:tcBorders>
            <w:vAlign w:val="center"/>
          </w:tcPr>
          <w:p>
            <w:pPr>
              <w:spacing w:line="300" w:lineRule="exact"/>
              <w:rPr>
                <w:rFonts w:ascii="仿宋" w:hAnsi="仿宋" w:eastAsia="仿宋"/>
                <w:sz w:val="21"/>
                <w:szCs w:val="21"/>
              </w:rPr>
            </w:pPr>
          </w:p>
        </w:tc>
        <w:tc>
          <w:tcPr>
            <w:tcW w:w="3045" w:type="dxa"/>
            <w:vMerge w:val="continue"/>
            <w:tcBorders>
              <w:left w:val="nil"/>
              <w:right w:val="single" w:color="000000" w:sz="4" w:space="0"/>
            </w:tcBorders>
            <w:vAlign w:val="center"/>
          </w:tcPr>
          <w:p>
            <w:pPr>
              <w:spacing w:line="300" w:lineRule="exact"/>
              <w:rPr>
                <w:rFonts w:ascii="仿宋" w:hAnsi="仿宋" w:eastAsia="仿宋"/>
                <w:sz w:val="21"/>
                <w:szCs w:val="21"/>
              </w:rPr>
            </w:pPr>
          </w:p>
        </w:tc>
        <w:tc>
          <w:tcPr>
            <w:tcW w:w="5938"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sz w:val="21"/>
                <w:szCs w:val="21"/>
              </w:rPr>
            </w:pPr>
            <w:r>
              <w:rPr>
                <w:rFonts w:hint="eastAsia" w:ascii="仿宋" w:hAnsi="仿宋" w:eastAsia="仿宋"/>
                <w:sz w:val="21"/>
                <w:szCs w:val="21"/>
              </w:rPr>
              <w:t>（3）报告调查结果清晰、调查依据正确、对策合乎逻辑、目标设定科学、措施设计得当，2分。</w:t>
            </w:r>
          </w:p>
        </w:tc>
        <w:tc>
          <w:tcPr>
            <w:tcW w:w="775" w:type="dxa"/>
            <w:vMerge w:val="continue"/>
            <w:tcBorders>
              <w:left w:val="nil"/>
              <w:right w:val="single" w:color="000000" w:sz="4" w:space="0"/>
            </w:tcBorders>
            <w:vAlign w:val="center"/>
          </w:tcPr>
          <w:p>
            <w:pPr>
              <w:spacing w:line="300" w:lineRule="exact"/>
              <w:jc w:val="center"/>
              <w:rPr>
                <w:rFonts w:ascii="仿宋" w:hAnsi="仿宋" w:eastAsia="仿宋"/>
                <w:sz w:val="21"/>
                <w:szCs w:val="21"/>
              </w:rPr>
            </w:pPr>
          </w:p>
        </w:tc>
        <w:tc>
          <w:tcPr>
            <w:tcW w:w="2060" w:type="dxa"/>
            <w:vMerge w:val="continue"/>
            <w:tcBorders>
              <w:left w:val="nil"/>
              <w:right w:val="single" w:color="000000" w:sz="4" w:space="0"/>
            </w:tcBorders>
            <w:vAlign w:val="center"/>
          </w:tcPr>
          <w:p>
            <w:pPr>
              <w:spacing w:line="300" w:lineRule="exact"/>
              <w:rPr>
                <w:rFonts w:ascii="仿宋" w:hAnsi="仿宋" w:eastAsia="仿宋"/>
                <w:sz w:val="21"/>
                <w:szCs w:val="21"/>
              </w:rPr>
            </w:pPr>
          </w:p>
        </w:tc>
        <w:tc>
          <w:tcPr>
            <w:tcW w:w="1488" w:type="dxa"/>
            <w:vMerge w:val="continue"/>
            <w:tcBorders>
              <w:left w:val="nil"/>
              <w:right w:val="single" w:color="auto" w:sz="4" w:space="0"/>
            </w:tcBorders>
            <w:vAlign w:val="top"/>
          </w:tcPr>
          <w:p>
            <w:pPr>
              <w:spacing w:line="30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413" w:hRule="atLeast"/>
          <w:jc w:val="center"/>
        </w:trPr>
        <w:tc>
          <w:tcPr>
            <w:tcW w:w="913" w:type="dxa"/>
            <w:vMerge w:val="continue"/>
            <w:tcBorders>
              <w:left w:val="single" w:color="000000" w:sz="4" w:space="0"/>
              <w:right w:val="single" w:color="000000" w:sz="4" w:space="0"/>
            </w:tcBorders>
            <w:vAlign w:val="center"/>
          </w:tcPr>
          <w:p>
            <w:pPr>
              <w:spacing w:line="300" w:lineRule="exact"/>
              <w:rPr>
                <w:rFonts w:ascii="仿宋" w:hAnsi="仿宋" w:eastAsia="仿宋"/>
                <w:sz w:val="21"/>
                <w:szCs w:val="21"/>
              </w:rPr>
            </w:pPr>
          </w:p>
        </w:tc>
        <w:tc>
          <w:tcPr>
            <w:tcW w:w="992" w:type="dxa"/>
            <w:vMerge w:val="continue"/>
            <w:tcBorders>
              <w:left w:val="nil"/>
              <w:right w:val="single" w:color="000000" w:sz="4" w:space="0"/>
            </w:tcBorders>
            <w:vAlign w:val="center"/>
          </w:tcPr>
          <w:p>
            <w:pPr>
              <w:spacing w:line="300" w:lineRule="exact"/>
              <w:rPr>
                <w:rFonts w:ascii="仿宋" w:hAnsi="仿宋" w:eastAsia="仿宋"/>
                <w:sz w:val="21"/>
                <w:szCs w:val="21"/>
              </w:rPr>
            </w:pPr>
          </w:p>
        </w:tc>
        <w:tc>
          <w:tcPr>
            <w:tcW w:w="3045" w:type="dxa"/>
            <w:vMerge w:val="continue"/>
            <w:tcBorders>
              <w:left w:val="nil"/>
              <w:bottom w:val="single" w:color="000000" w:sz="4" w:space="0"/>
              <w:right w:val="single" w:color="000000" w:sz="4" w:space="0"/>
            </w:tcBorders>
            <w:vAlign w:val="center"/>
          </w:tcPr>
          <w:p>
            <w:pPr>
              <w:spacing w:line="300" w:lineRule="exact"/>
              <w:rPr>
                <w:rFonts w:ascii="仿宋" w:hAnsi="仿宋" w:eastAsia="仿宋"/>
                <w:sz w:val="21"/>
                <w:szCs w:val="21"/>
              </w:rPr>
            </w:pPr>
          </w:p>
        </w:tc>
        <w:tc>
          <w:tcPr>
            <w:tcW w:w="5938"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sz w:val="21"/>
                <w:szCs w:val="21"/>
              </w:rPr>
            </w:pPr>
            <w:r>
              <w:rPr>
                <w:rFonts w:hint="eastAsia" w:ascii="仿宋" w:hAnsi="仿宋" w:eastAsia="仿宋"/>
                <w:sz w:val="21"/>
                <w:szCs w:val="21"/>
              </w:rPr>
              <w:t>（4）报告结果用于指引、评估示范区建设及慢性病综合防控工作计划的制定，2分。</w:t>
            </w:r>
          </w:p>
        </w:tc>
        <w:tc>
          <w:tcPr>
            <w:tcW w:w="775" w:type="dxa"/>
            <w:vMerge w:val="continue"/>
            <w:tcBorders>
              <w:left w:val="nil"/>
              <w:bottom w:val="single" w:color="000000" w:sz="4" w:space="0"/>
              <w:right w:val="single" w:color="000000" w:sz="4" w:space="0"/>
            </w:tcBorders>
            <w:vAlign w:val="center"/>
          </w:tcPr>
          <w:p>
            <w:pPr>
              <w:spacing w:line="300" w:lineRule="exact"/>
              <w:jc w:val="center"/>
              <w:rPr>
                <w:rFonts w:ascii="仿宋" w:hAnsi="仿宋" w:eastAsia="仿宋"/>
                <w:sz w:val="21"/>
                <w:szCs w:val="21"/>
              </w:rPr>
            </w:pPr>
          </w:p>
        </w:tc>
        <w:tc>
          <w:tcPr>
            <w:tcW w:w="2060" w:type="dxa"/>
            <w:vMerge w:val="continue"/>
            <w:tcBorders>
              <w:left w:val="nil"/>
              <w:bottom w:val="single" w:color="000000" w:sz="4" w:space="0"/>
              <w:right w:val="single" w:color="000000" w:sz="4" w:space="0"/>
            </w:tcBorders>
            <w:vAlign w:val="center"/>
          </w:tcPr>
          <w:p>
            <w:pPr>
              <w:spacing w:line="300" w:lineRule="exact"/>
              <w:rPr>
                <w:rFonts w:ascii="仿宋" w:hAnsi="仿宋" w:eastAsia="仿宋"/>
                <w:sz w:val="21"/>
                <w:szCs w:val="21"/>
              </w:rPr>
            </w:pPr>
          </w:p>
        </w:tc>
        <w:tc>
          <w:tcPr>
            <w:tcW w:w="1488" w:type="dxa"/>
            <w:vMerge w:val="continue"/>
            <w:tcBorders>
              <w:left w:val="nil"/>
              <w:bottom w:val="single" w:color="000000" w:sz="4" w:space="0"/>
              <w:right w:val="single" w:color="auto" w:sz="4" w:space="0"/>
            </w:tcBorders>
            <w:vAlign w:val="top"/>
          </w:tcPr>
          <w:p>
            <w:pPr>
              <w:spacing w:line="30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413" w:hRule="atLeast"/>
          <w:jc w:val="center"/>
        </w:trPr>
        <w:tc>
          <w:tcPr>
            <w:tcW w:w="913" w:type="dxa"/>
            <w:vMerge w:val="continue"/>
            <w:tcBorders>
              <w:left w:val="single" w:color="000000" w:sz="4" w:space="0"/>
              <w:right w:val="single" w:color="000000" w:sz="4" w:space="0"/>
            </w:tcBorders>
            <w:vAlign w:val="center"/>
          </w:tcPr>
          <w:p>
            <w:pPr>
              <w:spacing w:line="300" w:lineRule="exact"/>
              <w:rPr>
                <w:rFonts w:ascii="仿宋" w:hAnsi="仿宋" w:eastAsia="仿宋"/>
                <w:sz w:val="21"/>
                <w:szCs w:val="21"/>
              </w:rPr>
            </w:pPr>
          </w:p>
        </w:tc>
        <w:tc>
          <w:tcPr>
            <w:tcW w:w="992" w:type="dxa"/>
            <w:vMerge w:val="continue"/>
            <w:tcBorders>
              <w:left w:val="nil"/>
              <w:right w:val="single" w:color="000000" w:sz="4" w:space="0"/>
            </w:tcBorders>
            <w:vAlign w:val="center"/>
          </w:tcPr>
          <w:p>
            <w:pPr>
              <w:spacing w:line="300" w:lineRule="exact"/>
              <w:rPr>
                <w:rFonts w:ascii="仿宋" w:hAnsi="仿宋" w:eastAsia="仿宋"/>
                <w:sz w:val="21"/>
                <w:szCs w:val="21"/>
              </w:rPr>
            </w:pPr>
          </w:p>
        </w:tc>
        <w:tc>
          <w:tcPr>
            <w:tcW w:w="3045" w:type="dxa"/>
            <w:vMerge w:val="restart"/>
            <w:tcBorders>
              <w:top w:val="single" w:color="000000" w:sz="4" w:space="0"/>
              <w:left w:val="nil"/>
              <w:right w:val="single" w:color="000000" w:sz="4" w:space="0"/>
            </w:tcBorders>
            <w:vAlign w:val="center"/>
          </w:tcPr>
          <w:p>
            <w:pPr>
              <w:spacing w:line="300" w:lineRule="exact"/>
              <w:rPr>
                <w:rFonts w:ascii="仿宋" w:hAnsi="仿宋" w:eastAsia="仿宋"/>
                <w:sz w:val="21"/>
                <w:szCs w:val="21"/>
              </w:rPr>
            </w:pPr>
            <w:r>
              <w:rPr>
                <w:rFonts w:hint="eastAsia" w:ascii="仿宋" w:hAnsi="仿宋" w:eastAsia="仿宋"/>
                <w:sz w:val="21"/>
                <w:szCs w:val="21"/>
              </w:rPr>
              <w:t>2.辖区政府发布人群慢性病防控有关健康信息。</w:t>
            </w:r>
          </w:p>
        </w:tc>
        <w:tc>
          <w:tcPr>
            <w:tcW w:w="5938"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sz w:val="21"/>
                <w:szCs w:val="21"/>
              </w:rPr>
            </w:pPr>
            <w:r>
              <w:rPr>
                <w:rFonts w:hint="eastAsia" w:ascii="仿宋" w:hAnsi="仿宋" w:eastAsia="仿宋"/>
                <w:sz w:val="21"/>
                <w:szCs w:val="21"/>
              </w:rPr>
              <w:t>（1）辖区政府每5年发布含慢性病防控内容的综合健康报告，3分。</w:t>
            </w:r>
          </w:p>
        </w:tc>
        <w:tc>
          <w:tcPr>
            <w:tcW w:w="775" w:type="dxa"/>
            <w:vMerge w:val="restart"/>
            <w:tcBorders>
              <w:top w:val="single" w:color="000000" w:sz="4" w:space="0"/>
              <w:left w:val="nil"/>
              <w:right w:val="single" w:color="000000" w:sz="4" w:space="0"/>
            </w:tcBorders>
            <w:vAlign w:val="center"/>
          </w:tcPr>
          <w:p>
            <w:pPr>
              <w:spacing w:line="300" w:lineRule="exact"/>
              <w:jc w:val="center"/>
              <w:rPr>
                <w:rFonts w:ascii="仿宋" w:hAnsi="仿宋" w:eastAsia="仿宋"/>
                <w:sz w:val="21"/>
                <w:szCs w:val="21"/>
              </w:rPr>
            </w:pPr>
            <w:r>
              <w:rPr>
                <w:rFonts w:hint="eastAsia" w:ascii="仿宋" w:hAnsi="仿宋" w:eastAsia="仿宋"/>
                <w:sz w:val="21"/>
                <w:szCs w:val="21"/>
              </w:rPr>
              <w:t>6</w:t>
            </w:r>
          </w:p>
        </w:tc>
        <w:tc>
          <w:tcPr>
            <w:tcW w:w="2060" w:type="dxa"/>
            <w:vMerge w:val="restart"/>
            <w:tcBorders>
              <w:top w:val="single" w:color="000000" w:sz="4" w:space="0"/>
              <w:left w:val="nil"/>
              <w:right w:val="single" w:color="000000" w:sz="4" w:space="0"/>
            </w:tcBorders>
            <w:vAlign w:val="center"/>
          </w:tcPr>
          <w:p>
            <w:pPr>
              <w:spacing w:line="300" w:lineRule="exact"/>
              <w:rPr>
                <w:rFonts w:ascii="仿宋" w:hAnsi="仿宋" w:eastAsia="仿宋"/>
                <w:sz w:val="21"/>
                <w:szCs w:val="21"/>
              </w:rPr>
            </w:pPr>
            <w:r>
              <w:rPr>
                <w:rFonts w:hint="eastAsia" w:ascii="仿宋" w:hAnsi="仿宋" w:eastAsia="仿宋"/>
                <w:sz w:val="21"/>
                <w:szCs w:val="21"/>
              </w:rPr>
              <w:t>查阅资料。</w:t>
            </w:r>
          </w:p>
        </w:tc>
        <w:tc>
          <w:tcPr>
            <w:tcW w:w="1488" w:type="dxa"/>
            <w:vMerge w:val="restart"/>
            <w:tcBorders>
              <w:top w:val="single" w:color="000000" w:sz="4" w:space="0"/>
              <w:left w:val="nil"/>
              <w:right w:val="single" w:color="000000" w:sz="4" w:space="0"/>
            </w:tcBorders>
            <w:vAlign w:val="center"/>
          </w:tcPr>
          <w:p>
            <w:pPr>
              <w:spacing w:line="300" w:lineRule="exact"/>
              <w:rPr>
                <w:rFonts w:ascii="仿宋" w:hAnsi="仿宋" w:eastAsia="仿宋"/>
                <w:sz w:val="21"/>
                <w:szCs w:val="21"/>
              </w:rPr>
            </w:pPr>
            <w:r>
              <w:rPr>
                <w:rFonts w:hint="eastAsia" w:ascii="仿宋" w:hAnsi="仿宋" w:eastAsia="仿宋"/>
                <w:sz w:val="21"/>
                <w:szCs w:val="21"/>
              </w:rPr>
              <w:t>市卫计局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0" w:hRule="atLeast"/>
          <w:jc w:val="center"/>
        </w:trPr>
        <w:tc>
          <w:tcPr>
            <w:tcW w:w="913" w:type="dxa"/>
            <w:vMerge w:val="continue"/>
            <w:tcBorders>
              <w:left w:val="single" w:color="000000" w:sz="4" w:space="0"/>
              <w:bottom w:val="single" w:color="000000" w:sz="4" w:space="0"/>
              <w:right w:val="single" w:color="000000" w:sz="4" w:space="0"/>
            </w:tcBorders>
            <w:vAlign w:val="center"/>
          </w:tcPr>
          <w:p>
            <w:pPr>
              <w:spacing w:line="300" w:lineRule="exact"/>
              <w:rPr>
                <w:rFonts w:ascii="仿宋" w:hAnsi="仿宋" w:eastAsia="仿宋"/>
                <w:sz w:val="21"/>
                <w:szCs w:val="21"/>
              </w:rPr>
            </w:pPr>
          </w:p>
        </w:tc>
        <w:tc>
          <w:tcPr>
            <w:tcW w:w="992" w:type="dxa"/>
            <w:vMerge w:val="continue"/>
            <w:tcBorders>
              <w:left w:val="nil"/>
              <w:bottom w:val="single" w:color="000000" w:sz="4" w:space="0"/>
              <w:right w:val="single" w:color="000000" w:sz="4" w:space="0"/>
            </w:tcBorders>
            <w:vAlign w:val="center"/>
          </w:tcPr>
          <w:p>
            <w:pPr>
              <w:spacing w:line="300" w:lineRule="exact"/>
              <w:rPr>
                <w:rFonts w:ascii="仿宋" w:hAnsi="仿宋" w:eastAsia="仿宋"/>
                <w:sz w:val="21"/>
                <w:szCs w:val="21"/>
              </w:rPr>
            </w:pPr>
          </w:p>
        </w:tc>
        <w:tc>
          <w:tcPr>
            <w:tcW w:w="3045" w:type="dxa"/>
            <w:vMerge w:val="continue"/>
            <w:tcBorders>
              <w:left w:val="nil"/>
              <w:bottom w:val="single" w:color="000000" w:sz="4" w:space="0"/>
              <w:right w:val="single" w:color="000000" w:sz="4" w:space="0"/>
            </w:tcBorders>
            <w:vAlign w:val="center"/>
          </w:tcPr>
          <w:p>
            <w:pPr>
              <w:spacing w:line="300" w:lineRule="exact"/>
              <w:rPr>
                <w:rFonts w:ascii="仿宋" w:hAnsi="仿宋" w:eastAsia="仿宋"/>
                <w:sz w:val="21"/>
                <w:szCs w:val="21"/>
              </w:rPr>
            </w:pPr>
          </w:p>
        </w:tc>
        <w:tc>
          <w:tcPr>
            <w:tcW w:w="5938"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sz w:val="21"/>
                <w:szCs w:val="21"/>
              </w:rPr>
            </w:pPr>
            <w:r>
              <w:rPr>
                <w:rFonts w:hint="eastAsia" w:ascii="仿宋" w:hAnsi="仿宋" w:eastAsia="仿宋"/>
                <w:sz w:val="21"/>
                <w:szCs w:val="21"/>
              </w:rPr>
              <w:t>（2）综合健康报告主要结果用于政府工作报告，3分。</w:t>
            </w:r>
          </w:p>
        </w:tc>
        <w:tc>
          <w:tcPr>
            <w:tcW w:w="775" w:type="dxa"/>
            <w:vMerge w:val="continue"/>
            <w:tcBorders>
              <w:left w:val="nil"/>
              <w:bottom w:val="single" w:color="000000" w:sz="4" w:space="0"/>
              <w:right w:val="single" w:color="000000" w:sz="4" w:space="0"/>
            </w:tcBorders>
            <w:vAlign w:val="center"/>
          </w:tcPr>
          <w:p>
            <w:pPr>
              <w:spacing w:line="300" w:lineRule="exact"/>
              <w:jc w:val="center"/>
              <w:rPr>
                <w:rFonts w:ascii="仿宋" w:hAnsi="仿宋" w:eastAsia="仿宋"/>
                <w:sz w:val="21"/>
                <w:szCs w:val="21"/>
              </w:rPr>
            </w:pPr>
          </w:p>
        </w:tc>
        <w:tc>
          <w:tcPr>
            <w:tcW w:w="2060" w:type="dxa"/>
            <w:vMerge w:val="continue"/>
            <w:tcBorders>
              <w:left w:val="nil"/>
              <w:bottom w:val="single" w:color="000000" w:sz="4" w:space="0"/>
              <w:right w:val="single" w:color="000000" w:sz="4" w:space="0"/>
            </w:tcBorders>
            <w:vAlign w:val="center"/>
          </w:tcPr>
          <w:p>
            <w:pPr>
              <w:spacing w:line="300" w:lineRule="exact"/>
              <w:rPr>
                <w:rFonts w:ascii="仿宋" w:hAnsi="仿宋" w:eastAsia="仿宋"/>
                <w:sz w:val="21"/>
                <w:szCs w:val="21"/>
              </w:rPr>
            </w:pPr>
          </w:p>
        </w:tc>
        <w:tc>
          <w:tcPr>
            <w:tcW w:w="1488" w:type="dxa"/>
            <w:vMerge w:val="continue"/>
            <w:tcBorders>
              <w:left w:val="nil"/>
              <w:bottom w:val="single" w:color="000000" w:sz="4" w:space="0"/>
              <w:right w:val="single" w:color="000000" w:sz="4" w:space="0"/>
            </w:tcBorders>
            <w:vAlign w:val="top"/>
          </w:tcPr>
          <w:p>
            <w:pPr>
              <w:spacing w:line="30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265" w:hRule="atLeast"/>
          <w:jc w:val="center"/>
        </w:trPr>
        <w:tc>
          <w:tcPr>
            <w:tcW w:w="913" w:type="dxa"/>
            <w:vMerge w:val="restart"/>
            <w:tcBorders>
              <w:top w:val="single" w:color="000000" w:sz="4" w:space="0"/>
              <w:left w:val="single" w:color="000000" w:sz="4" w:space="0"/>
              <w:right w:val="single" w:color="000000" w:sz="4" w:space="0"/>
            </w:tcBorders>
            <w:vAlign w:val="center"/>
          </w:tcPr>
          <w:p>
            <w:pPr>
              <w:spacing w:line="300" w:lineRule="exact"/>
              <w:rPr>
                <w:rFonts w:ascii="仿宋" w:hAnsi="仿宋" w:eastAsia="仿宋"/>
                <w:sz w:val="21"/>
                <w:szCs w:val="21"/>
              </w:rPr>
            </w:pPr>
            <w:r>
              <w:rPr>
                <w:rFonts w:hint="eastAsia" w:ascii="仿宋" w:hAnsi="仿宋" w:eastAsia="仿宋"/>
                <w:sz w:val="21"/>
                <w:szCs w:val="21"/>
              </w:rPr>
              <w:t>七、创新引领（30分）</w:t>
            </w:r>
          </w:p>
        </w:tc>
        <w:tc>
          <w:tcPr>
            <w:tcW w:w="992" w:type="dxa"/>
            <w:vMerge w:val="restart"/>
            <w:tcBorders>
              <w:top w:val="single" w:color="000000" w:sz="4" w:space="0"/>
              <w:left w:val="nil"/>
              <w:right w:val="single" w:color="000000" w:sz="4" w:space="0"/>
            </w:tcBorders>
            <w:vAlign w:val="center"/>
          </w:tcPr>
          <w:p>
            <w:pPr>
              <w:spacing w:line="300" w:lineRule="exact"/>
              <w:rPr>
                <w:rFonts w:ascii="仿宋" w:hAnsi="仿宋" w:eastAsia="仿宋"/>
                <w:sz w:val="21"/>
                <w:szCs w:val="21"/>
              </w:rPr>
            </w:pPr>
            <w:r>
              <w:rPr>
                <w:rFonts w:hint="eastAsia" w:ascii="仿宋" w:hAnsi="仿宋" w:eastAsia="仿宋"/>
                <w:sz w:val="21"/>
                <w:szCs w:val="21"/>
              </w:rPr>
              <w:t>慢性病综合防控工作有特色、可复制、可推广。（30分）</w:t>
            </w:r>
          </w:p>
        </w:tc>
        <w:tc>
          <w:tcPr>
            <w:tcW w:w="3045"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sz w:val="21"/>
                <w:szCs w:val="21"/>
              </w:rPr>
            </w:pPr>
            <w:r>
              <w:rPr>
                <w:rFonts w:hint="eastAsia" w:ascii="仿宋" w:hAnsi="仿宋" w:eastAsia="仿宋"/>
                <w:sz w:val="21"/>
                <w:szCs w:val="21"/>
              </w:rPr>
              <w:t>1.倡导慢性病综合防控工作与当地社会、文化等建设和公共服务、公共产品供给相结合。</w:t>
            </w:r>
          </w:p>
        </w:tc>
        <w:tc>
          <w:tcPr>
            <w:tcW w:w="5938"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sz w:val="21"/>
                <w:szCs w:val="21"/>
              </w:rPr>
            </w:pPr>
            <w:r>
              <w:rPr>
                <w:rFonts w:hint="eastAsia" w:ascii="仿宋" w:hAnsi="仿宋" w:eastAsia="仿宋"/>
                <w:sz w:val="21"/>
                <w:szCs w:val="21"/>
              </w:rPr>
              <w:t>慢性病综合防控工作与辖区社区文化建设、健康城市建设、文明创建、公共服务与公共产品等相关项目有机会衔接整合，以达到1+1&gt;2的实际效果。建立协同工作机制并有效衔接达3项，10分；1-2项，5分。</w:t>
            </w:r>
          </w:p>
        </w:tc>
        <w:tc>
          <w:tcPr>
            <w:tcW w:w="775"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sz w:val="21"/>
                <w:szCs w:val="21"/>
              </w:rPr>
            </w:pPr>
            <w:r>
              <w:rPr>
                <w:rFonts w:hint="eastAsia" w:ascii="仿宋" w:hAnsi="仿宋" w:eastAsia="仿宋"/>
                <w:sz w:val="21"/>
                <w:szCs w:val="21"/>
              </w:rPr>
              <w:t>10</w:t>
            </w:r>
          </w:p>
        </w:tc>
        <w:tc>
          <w:tcPr>
            <w:tcW w:w="2060"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sz w:val="21"/>
                <w:szCs w:val="21"/>
              </w:rPr>
            </w:pPr>
            <w:r>
              <w:rPr>
                <w:rFonts w:hint="eastAsia" w:ascii="仿宋" w:hAnsi="仿宋" w:eastAsia="仿宋"/>
                <w:sz w:val="21"/>
                <w:szCs w:val="21"/>
              </w:rPr>
              <w:t>查阅项目计划书与总结报告等资料，现场评估。</w:t>
            </w:r>
          </w:p>
        </w:tc>
        <w:tc>
          <w:tcPr>
            <w:tcW w:w="1488"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sz w:val="21"/>
                <w:szCs w:val="21"/>
              </w:rPr>
            </w:pPr>
            <w:r>
              <w:rPr>
                <w:rFonts w:hint="eastAsia" w:ascii="仿宋" w:hAnsi="仿宋" w:eastAsia="仿宋"/>
                <w:sz w:val="21"/>
                <w:szCs w:val="21"/>
              </w:rPr>
              <w:t>市政府办</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0" w:hRule="atLeast"/>
          <w:jc w:val="center"/>
        </w:trPr>
        <w:tc>
          <w:tcPr>
            <w:tcW w:w="913" w:type="dxa"/>
            <w:vMerge w:val="continue"/>
            <w:tcBorders>
              <w:left w:val="single" w:color="000000" w:sz="4" w:space="0"/>
              <w:right w:val="single" w:color="000000" w:sz="4" w:space="0"/>
            </w:tcBorders>
            <w:vAlign w:val="center"/>
          </w:tcPr>
          <w:p>
            <w:pPr>
              <w:spacing w:line="300" w:lineRule="exact"/>
              <w:rPr>
                <w:rFonts w:ascii="仿宋" w:hAnsi="仿宋" w:eastAsia="仿宋"/>
                <w:sz w:val="21"/>
                <w:szCs w:val="21"/>
              </w:rPr>
            </w:pPr>
          </w:p>
        </w:tc>
        <w:tc>
          <w:tcPr>
            <w:tcW w:w="992" w:type="dxa"/>
            <w:vMerge w:val="continue"/>
            <w:tcBorders>
              <w:left w:val="nil"/>
              <w:right w:val="single" w:color="000000" w:sz="4" w:space="0"/>
            </w:tcBorders>
            <w:vAlign w:val="center"/>
          </w:tcPr>
          <w:p>
            <w:pPr>
              <w:spacing w:line="300" w:lineRule="exact"/>
              <w:rPr>
                <w:rFonts w:ascii="仿宋" w:hAnsi="仿宋" w:eastAsia="仿宋"/>
                <w:sz w:val="21"/>
                <w:szCs w:val="21"/>
              </w:rPr>
            </w:pPr>
          </w:p>
        </w:tc>
        <w:tc>
          <w:tcPr>
            <w:tcW w:w="3045"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sz w:val="21"/>
                <w:szCs w:val="21"/>
              </w:rPr>
            </w:pPr>
            <w:r>
              <w:rPr>
                <w:rFonts w:hint="eastAsia" w:ascii="仿宋" w:hAnsi="仿宋" w:eastAsia="仿宋"/>
                <w:sz w:val="21"/>
                <w:szCs w:val="21"/>
              </w:rPr>
              <w:t>2.总结有创新、特色案例。</w:t>
            </w:r>
          </w:p>
        </w:tc>
        <w:tc>
          <w:tcPr>
            <w:tcW w:w="5938"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sz w:val="21"/>
                <w:szCs w:val="21"/>
              </w:rPr>
            </w:pPr>
            <w:r>
              <w:rPr>
                <w:rFonts w:hint="eastAsia" w:ascii="仿宋" w:hAnsi="仿宋" w:eastAsia="仿宋"/>
                <w:sz w:val="21"/>
                <w:szCs w:val="21"/>
              </w:rPr>
              <w:t>创新特色案例达2个，案例撰写符合要求，15分；1个，10分。</w:t>
            </w:r>
          </w:p>
        </w:tc>
        <w:tc>
          <w:tcPr>
            <w:tcW w:w="775"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sz w:val="21"/>
                <w:szCs w:val="21"/>
              </w:rPr>
            </w:pPr>
            <w:r>
              <w:rPr>
                <w:rFonts w:hint="eastAsia" w:ascii="仿宋" w:hAnsi="仿宋" w:eastAsia="仿宋"/>
                <w:sz w:val="21"/>
                <w:szCs w:val="21"/>
              </w:rPr>
              <w:t>15</w:t>
            </w:r>
          </w:p>
        </w:tc>
        <w:tc>
          <w:tcPr>
            <w:tcW w:w="2060"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sz w:val="21"/>
                <w:szCs w:val="21"/>
              </w:rPr>
            </w:pPr>
            <w:r>
              <w:rPr>
                <w:rFonts w:hint="eastAsia" w:ascii="仿宋" w:hAnsi="仿宋" w:eastAsia="仿宋"/>
                <w:sz w:val="21"/>
                <w:szCs w:val="21"/>
              </w:rPr>
              <w:t>查阅案例文件，查阅该案例的原始素材等资料，现场评估。</w:t>
            </w:r>
          </w:p>
        </w:tc>
        <w:tc>
          <w:tcPr>
            <w:tcW w:w="1488"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sz w:val="21"/>
                <w:szCs w:val="21"/>
              </w:rPr>
            </w:pPr>
            <w:r>
              <w:rPr>
                <w:rFonts w:hint="eastAsia" w:ascii="仿宋" w:hAnsi="仿宋" w:eastAsia="仿宋"/>
                <w:sz w:val="21"/>
                <w:szCs w:val="21"/>
              </w:rPr>
              <w:t>示范区工作领导组办公室</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1032" w:hRule="atLeast"/>
          <w:jc w:val="center"/>
        </w:trPr>
        <w:tc>
          <w:tcPr>
            <w:tcW w:w="913" w:type="dxa"/>
            <w:vMerge w:val="continue"/>
            <w:tcBorders>
              <w:left w:val="single" w:color="000000" w:sz="4" w:space="0"/>
              <w:bottom w:val="single" w:color="000000" w:sz="4" w:space="0"/>
              <w:right w:val="single" w:color="000000" w:sz="4" w:space="0"/>
            </w:tcBorders>
            <w:vAlign w:val="center"/>
          </w:tcPr>
          <w:p>
            <w:pPr>
              <w:spacing w:line="300" w:lineRule="exact"/>
              <w:rPr>
                <w:rFonts w:ascii="仿宋" w:hAnsi="仿宋" w:eastAsia="仿宋"/>
                <w:sz w:val="21"/>
                <w:szCs w:val="21"/>
              </w:rPr>
            </w:pPr>
          </w:p>
        </w:tc>
        <w:tc>
          <w:tcPr>
            <w:tcW w:w="992" w:type="dxa"/>
            <w:vMerge w:val="continue"/>
            <w:tcBorders>
              <w:left w:val="nil"/>
              <w:bottom w:val="single" w:color="000000" w:sz="4" w:space="0"/>
              <w:right w:val="single" w:color="000000" w:sz="4" w:space="0"/>
            </w:tcBorders>
            <w:vAlign w:val="center"/>
          </w:tcPr>
          <w:p>
            <w:pPr>
              <w:spacing w:line="300" w:lineRule="exact"/>
              <w:rPr>
                <w:rFonts w:ascii="仿宋" w:hAnsi="仿宋" w:eastAsia="仿宋"/>
                <w:sz w:val="21"/>
                <w:szCs w:val="21"/>
              </w:rPr>
            </w:pPr>
          </w:p>
        </w:tc>
        <w:tc>
          <w:tcPr>
            <w:tcW w:w="3045"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sz w:val="21"/>
                <w:szCs w:val="21"/>
              </w:rPr>
            </w:pPr>
            <w:r>
              <w:rPr>
                <w:rFonts w:hint="eastAsia" w:ascii="仿宋" w:hAnsi="仿宋" w:eastAsia="仿宋"/>
                <w:sz w:val="21"/>
                <w:szCs w:val="21"/>
              </w:rPr>
              <w:t>3.示范区成功经验在全省被推广应用。</w:t>
            </w:r>
          </w:p>
        </w:tc>
        <w:tc>
          <w:tcPr>
            <w:tcW w:w="5938"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sz w:val="21"/>
                <w:szCs w:val="21"/>
              </w:rPr>
            </w:pPr>
            <w:r>
              <w:rPr>
                <w:rFonts w:hint="eastAsia" w:ascii="仿宋" w:hAnsi="仿宋" w:eastAsia="仿宋"/>
                <w:sz w:val="21"/>
                <w:szCs w:val="21"/>
              </w:rPr>
              <w:t>示范区成功经验被推广2项，5分；1项，3分。</w:t>
            </w:r>
          </w:p>
        </w:tc>
        <w:tc>
          <w:tcPr>
            <w:tcW w:w="775"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sz w:val="21"/>
                <w:szCs w:val="21"/>
              </w:rPr>
            </w:pPr>
            <w:r>
              <w:rPr>
                <w:rFonts w:hint="eastAsia" w:ascii="仿宋" w:hAnsi="仿宋" w:eastAsia="仿宋"/>
                <w:sz w:val="21"/>
                <w:szCs w:val="21"/>
              </w:rPr>
              <w:t>5</w:t>
            </w:r>
          </w:p>
        </w:tc>
        <w:tc>
          <w:tcPr>
            <w:tcW w:w="2060"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sz w:val="21"/>
                <w:szCs w:val="21"/>
              </w:rPr>
            </w:pPr>
            <w:r>
              <w:rPr>
                <w:rFonts w:hint="eastAsia" w:ascii="仿宋" w:hAnsi="仿宋" w:eastAsia="仿宋"/>
                <w:sz w:val="21"/>
                <w:szCs w:val="21"/>
              </w:rPr>
              <w:t>查阅每项被推广应查看成功经验描述件、省级要求的推广文件、推广后的反响等资料，现场评估。</w:t>
            </w:r>
          </w:p>
        </w:tc>
        <w:tc>
          <w:tcPr>
            <w:tcW w:w="1488"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Ex>
        <w:trPr>
          <w:trHeight w:val="90" w:hRule="atLeast"/>
          <w:jc w:val="center"/>
        </w:trPr>
        <w:tc>
          <w:tcPr>
            <w:tcW w:w="91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仿宋" w:hAnsi="仿宋" w:eastAsia="仿宋"/>
                <w:sz w:val="21"/>
                <w:szCs w:val="21"/>
              </w:rPr>
            </w:pPr>
            <w:r>
              <w:rPr>
                <w:rFonts w:hint="eastAsia" w:ascii="仿宋" w:hAnsi="仿宋" w:eastAsia="仿宋"/>
                <w:sz w:val="21"/>
                <w:szCs w:val="21"/>
              </w:rPr>
              <w:t>合计</w:t>
            </w:r>
          </w:p>
        </w:tc>
        <w:tc>
          <w:tcPr>
            <w:tcW w:w="992"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sz w:val="21"/>
                <w:szCs w:val="21"/>
              </w:rPr>
            </w:pPr>
          </w:p>
        </w:tc>
        <w:tc>
          <w:tcPr>
            <w:tcW w:w="3045"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sz w:val="21"/>
                <w:szCs w:val="21"/>
              </w:rPr>
            </w:pPr>
          </w:p>
        </w:tc>
        <w:tc>
          <w:tcPr>
            <w:tcW w:w="5938"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sz w:val="21"/>
                <w:szCs w:val="21"/>
              </w:rPr>
            </w:pPr>
          </w:p>
        </w:tc>
        <w:tc>
          <w:tcPr>
            <w:tcW w:w="775"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sz w:val="21"/>
                <w:szCs w:val="21"/>
              </w:rPr>
            </w:pPr>
            <w:r>
              <w:rPr>
                <w:rFonts w:hint="eastAsia" w:ascii="仿宋" w:hAnsi="仿宋" w:eastAsia="仿宋"/>
                <w:sz w:val="21"/>
                <w:szCs w:val="21"/>
              </w:rPr>
              <w:t>300</w:t>
            </w:r>
          </w:p>
        </w:tc>
        <w:tc>
          <w:tcPr>
            <w:tcW w:w="2060"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sz w:val="21"/>
                <w:szCs w:val="21"/>
              </w:rPr>
            </w:pPr>
          </w:p>
        </w:tc>
        <w:tc>
          <w:tcPr>
            <w:tcW w:w="1488"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sz w:val="21"/>
                <w:szCs w:val="21"/>
              </w:rPr>
            </w:pPr>
          </w:p>
        </w:tc>
      </w:tr>
    </w:tbl>
    <w:p>
      <w:pPr>
        <w:sectPr>
          <w:pgSz w:w="16838" w:h="11906" w:orient="landscape"/>
          <w:pgMar w:top="1800" w:right="1440" w:bottom="1800" w:left="1440" w:header="851" w:footer="992" w:gutter="0"/>
          <w:cols w:space="425" w:num="1"/>
          <w:docGrid w:type="lines" w:linePitch="312" w:charSpace="0"/>
        </w:sectPr>
      </w:pPr>
    </w:p>
    <w:p>
      <w:pPr>
        <w:sectPr>
          <w:pgSz w:w="16838" w:h="11906" w:orient="landscape"/>
          <w:pgMar w:top="1800" w:right="1440" w:bottom="1800" w:left="1440" w:header="851" w:footer="992" w:gutter="0"/>
          <w:cols w:space="425" w:num="1"/>
          <w:docGrid w:type="lines" w:linePitch="312" w:charSpace="0"/>
        </w:sectPr>
      </w:pPr>
    </w:p>
    <w:p>
      <w:pPr>
        <w:sectPr>
          <w:pgSz w:w="11906" w:h="16838"/>
          <w:pgMar w:top="1440" w:right="1800" w:bottom="1440" w:left="180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443AE"/>
    <w:rsid w:val="04267259"/>
    <w:rsid w:val="0B6443AE"/>
    <w:rsid w:val="1B8F07B0"/>
    <w:rsid w:val="1CEC358E"/>
    <w:rsid w:val="51022CCC"/>
    <w:rsid w:val="65C5427F"/>
    <w:rsid w:val="661C448F"/>
    <w:rsid w:val="7C7F4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宋体" w:eastAsia="宋体" w:cs="宋体"/>
      <w:kern w:val="2"/>
      <w:sz w:val="24"/>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2018-12-11T09:40:00Z</dcterms:created>
  <dc:creator>网络信息</dc:creator>
  <cp:lastModifiedBy>网络信息</cp:lastModifiedBy>
  <dcterms:modified xsi:type="dcterms:W3CDTF">2018-12-11T09:50:09Z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