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/>
        </w:rPr>
        <w:t>汾阳债务情况说明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               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2019年，我市共新增债务61813万元，其中新增一般债券212万元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用于火车站修建循环路占用土地及广场拆除恢复、迁移补偿费；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新增专项债券35100万元用于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白酒产品质检中心建设项目、白酒交易中心建设项目、建昌片区棚户区改造项目、杏花经济技术开发区及周边村镇集中供热项目、杏花经济技术开发区招商基础服务平台建设项目、文峰东街土储项目；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新增外债2301万元（包括欧投行沿黄河流域治理贷款1790万元，亚行贷款利费本金化及机构能力建设费511万元）；新增再融资债券24200万元。　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年到期债券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24242</w:t>
      </w:r>
      <w:r>
        <w:rPr>
          <w:rFonts w:hint="eastAsia" w:ascii="仿宋_GB2312" w:hAnsi="仿宋" w:eastAsia="仿宋_GB2312"/>
          <w:sz w:val="32"/>
          <w:szCs w:val="32"/>
        </w:rPr>
        <w:t>万元，使用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一般公共预算安排</w:t>
      </w:r>
      <w:r>
        <w:rPr>
          <w:rFonts w:hint="eastAsia" w:ascii="仿宋_GB2312" w:hAnsi="仿宋" w:eastAsia="仿宋_GB2312"/>
          <w:sz w:val="32"/>
          <w:szCs w:val="32"/>
        </w:rPr>
        <w:t>偿还到期债券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使用再融资债券偿还24200万元，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债务付息支出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5653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专项债务付息支出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278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截至2019年底，全市政府性债务余额242506万元，未突破吕梁市下达我市债务限额295833万元，债务率由2018年的68.6%降低为66%，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债务风险可控。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2020年到期债券11177万元，市财政将通过一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般公共预算安排、债券置换等方式，偿还到期债务，有效防范债务风险，维护政府信誉。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 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中安排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债务付息支出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6400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政府性基金预算安排专项债务付息支出1366万元。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2020年收到提前告知新增一般债券2200万元，拟用于冀村镇截污工程、贾家庄镇及城北污水主管网工程，专项债券18000万元，拟用于职教中心建设项目，按要求编入年初预算。</w:t>
      </w:r>
    </w:p>
    <w:p>
      <w:pPr>
        <w:spacing w:line="600" w:lineRule="exact"/>
        <w:ind w:firstLine="6080" w:firstLineChars="19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080" w:firstLineChars="1900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2020年4月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574B8"/>
    <w:rsid w:val="1DA65C13"/>
    <w:rsid w:val="212B5554"/>
    <w:rsid w:val="2F1574B8"/>
    <w:rsid w:val="36082AD5"/>
    <w:rsid w:val="3A317262"/>
    <w:rsid w:val="408F6528"/>
    <w:rsid w:val="45CB255C"/>
    <w:rsid w:val="4E637620"/>
    <w:rsid w:val="5D1C50B2"/>
    <w:rsid w:val="5D770C0D"/>
    <w:rsid w:val="695E0CD4"/>
    <w:rsid w:val="6F710398"/>
    <w:rsid w:val="714126C0"/>
    <w:rsid w:val="71895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2019-09-03T01:22:00Z</dcterms:created>
  <dc:creator>HP</dc:creator>
  <cp:lastModifiedBy>Administrator</cp:lastModifiedBy>
  <dcterms:modified xsi:type="dcterms:W3CDTF">2021-05-20T03:44:10Z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3B041EF5AFF4499A9E2D56ED86EE96E0</vt:lpwstr>
  </property>
</Properties>
</file>