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r>
        <w:rPr>
          <w:rFonts w:hint="eastAsia"/>
          <w:lang w:val="en-US" w:eastAsia="zh-CN"/>
        </w:rPr>
        <w:t>附件1</w:t>
      </w: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72"/>
          <w:szCs w:val="72"/>
          <w:lang w:val="en-US" w:eastAsia="zh-CN"/>
        </w:rPr>
        <w:t>202</w:t>
      </w:r>
      <w:r>
        <w:rPr>
          <w:rFonts w:hint="eastAsia" w:ascii="宋体" w:hAnsi="宋体" w:cs="宋体"/>
          <w:b/>
          <w:bCs/>
          <w:sz w:val="72"/>
          <w:szCs w:val="72"/>
          <w:lang w:val="en-US" w:eastAsia="zh-CN"/>
        </w:rPr>
        <w:t>4</w:t>
      </w:r>
      <w:r>
        <w:rPr>
          <w:rFonts w:hint="eastAsia" w:ascii="宋体" w:hAnsi="宋体" w:eastAsia="宋体" w:cs="宋体"/>
          <w:b/>
          <w:bCs/>
          <w:sz w:val="72"/>
          <w:szCs w:val="72"/>
          <w:lang w:val="en-US" w:eastAsia="zh-CN"/>
        </w:rPr>
        <w:t>年汾阳市决算情况表</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汾阳市财政局</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二〇二五年七月</w:t>
      </w: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tbl>
      <w:tblPr>
        <w:tblStyle w:val="9"/>
        <w:tblW w:w="13500" w:type="dxa"/>
        <w:jc w:val="center"/>
        <w:tblInd w:w="0" w:type="dxa"/>
        <w:shd w:val="clear" w:color="auto" w:fill="auto"/>
        <w:tblLayout w:type="fixed"/>
        <w:tblCellMar>
          <w:top w:w="0" w:type="dxa"/>
          <w:left w:w="0" w:type="dxa"/>
          <w:bottom w:w="0" w:type="dxa"/>
          <w:right w:w="0" w:type="dxa"/>
        </w:tblCellMar>
      </w:tblPr>
      <w:tblGrid>
        <w:gridCol w:w="4170"/>
        <w:gridCol w:w="1800"/>
        <w:gridCol w:w="2010"/>
        <w:gridCol w:w="1800"/>
        <w:gridCol w:w="2070"/>
        <w:gridCol w:w="1650"/>
      </w:tblGrid>
      <w:tr>
        <w:tblPrEx>
          <w:shd w:val="clear" w:color="auto" w:fill="auto"/>
          <w:tblLayout w:type="fixed"/>
          <w:tblCellMar>
            <w:top w:w="0" w:type="dxa"/>
            <w:left w:w="0" w:type="dxa"/>
            <w:bottom w:w="0" w:type="dxa"/>
            <w:right w:w="0" w:type="dxa"/>
          </w:tblCellMar>
        </w:tblPrEx>
        <w:trPr>
          <w:trHeight w:val="680" w:hRule="atLeast"/>
          <w:tblHeader/>
          <w:jc w:val="center"/>
        </w:trPr>
        <w:tc>
          <w:tcPr>
            <w:tcW w:w="1350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汾阳市二〇二</w:t>
            </w:r>
            <w:r>
              <w:rPr>
                <w:rFonts w:hint="eastAsia" w:ascii="宋体" w:hAnsi="宋体" w:cs="宋体"/>
                <w:b/>
                <w:i w:val="0"/>
                <w:color w:val="000000"/>
                <w:kern w:val="0"/>
                <w:sz w:val="32"/>
                <w:szCs w:val="32"/>
                <w:u w:val="none"/>
                <w:lang w:val="en-US" w:eastAsia="zh-CN" w:bidi="ar"/>
              </w:rPr>
              <w:t>四</w:t>
            </w:r>
            <w:r>
              <w:rPr>
                <w:rFonts w:hint="eastAsia" w:ascii="宋体" w:hAnsi="宋体" w:eastAsia="宋体" w:cs="宋体"/>
                <w:b/>
                <w:i w:val="0"/>
                <w:color w:val="000000"/>
                <w:kern w:val="0"/>
                <w:sz w:val="32"/>
                <w:szCs w:val="32"/>
                <w:u w:val="none"/>
                <w:lang w:val="en-US" w:eastAsia="zh-CN" w:bidi="ar"/>
              </w:rPr>
              <w:t>年一般公共预算收入完成情况表</w:t>
            </w:r>
          </w:p>
        </w:tc>
      </w:tr>
      <w:tr>
        <w:tblPrEx>
          <w:tblLayout w:type="fixed"/>
          <w:tblCellMar>
            <w:top w:w="0" w:type="dxa"/>
            <w:left w:w="0" w:type="dxa"/>
            <w:bottom w:w="0" w:type="dxa"/>
            <w:right w:w="0" w:type="dxa"/>
          </w:tblCellMar>
        </w:tblPrEx>
        <w:trPr>
          <w:trHeight w:val="680" w:hRule="atLeast"/>
          <w:tblHeader/>
          <w:jc w:val="center"/>
        </w:trPr>
        <w:tc>
          <w:tcPr>
            <w:tcW w:w="417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附表一</w:t>
            </w:r>
          </w:p>
        </w:tc>
        <w:tc>
          <w:tcPr>
            <w:tcW w:w="18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7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Layout w:type="fixed"/>
          <w:tblCellMar>
            <w:top w:w="0" w:type="dxa"/>
            <w:left w:w="0" w:type="dxa"/>
            <w:bottom w:w="0" w:type="dxa"/>
            <w:right w:w="0" w:type="dxa"/>
          </w:tblCellMar>
        </w:tblPrEx>
        <w:trPr>
          <w:trHeight w:val="680" w:hRule="atLeast"/>
          <w:tblHeader/>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w:t>
            </w:r>
            <w:r>
              <w:rPr>
                <w:rFonts w:hint="eastAsia" w:ascii="宋体" w:hAnsi="宋体" w:cs="宋体"/>
                <w:b/>
                <w:i w:val="0"/>
                <w:color w:val="000000"/>
                <w:kern w:val="0"/>
                <w:sz w:val="24"/>
                <w:szCs w:val="24"/>
                <w:u w:val="none"/>
                <w:lang w:val="en-US" w:eastAsia="zh-CN" w:bidi="ar"/>
              </w:rPr>
              <w:t>4</w:t>
            </w:r>
            <w:r>
              <w:rPr>
                <w:rFonts w:hint="eastAsia" w:ascii="宋体" w:hAnsi="宋体" w:eastAsia="宋体" w:cs="宋体"/>
                <w:b/>
                <w:i w:val="0"/>
                <w:color w:val="000000"/>
                <w:kern w:val="0"/>
                <w:sz w:val="24"/>
                <w:szCs w:val="24"/>
                <w:u w:val="none"/>
                <w:lang w:val="en-US" w:eastAsia="zh-CN" w:bidi="ar"/>
              </w:rPr>
              <w:t>年预算数</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w:t>
            </w:r>
            <w:r>
              <w:rPr>
                <w:rFonts w:hint="eastAsia" w:ascii="宋体" w:hAnsi="宋体" w:cs="宋体"/>
                <w:b/>
                <w:i w:val="0"/>
                <w:color w:val="000000"/>
                <w:kern w:val="0"/>
                <w:sz w:val="24"/>
                <w:szCs w:val="24"/>
                <w:u w:val="none"/>
                <w:lang w:val="en-US" w:eastAsia="zh-CN" w:bidi="ar"/>
              </w:rPr>
              <w:t>4</w:t>
            </w:r>
            <w:r>
              <w:rPr>
                <w:rFonts w:hint="eastAsia" w:ascii="宋体" w:hAnsi="宋体" w:eastAsia="宋体" w:cs="宋体"/>
                <w:b/>
                <w:i w:val="0"/>
                <w:color w:val="000000"/>
                <w:kern w:val="0"/>
                <w:sz w:val="24"/>
                <w:szCs w:val="24"/>
                <w:u w:val="none"/>
                <w:lang w:val="en-US" w:eastAsia="zh-CN" w:bidi="ar"/>
              </w:rPr>
              <w:t>年完成数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完成预算%</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为202</w:t>
            </w:r>
            <w:r>
              <w:rPr>
                <w:rFonts w:hint="eastAsia" w:ascii="宋体" w:hAnsi="宋体" w:cs="宋体"/>
                <w:b/>
                <w:i w:val="0"/>
                <w:color w:val="000000"/>
                <w:kern w:val="0"/>
                <w:sz w:val="24"/>
                <w:szCs w:val="24"/>
                <w:u w:val="none"/>
                <w:lang w:val="en-US" w:eastAsia="zh-CN" w:bidi="ar"/>
              </w:rPr>
              <w:t>3</w:t>
            </w:r>
            <w:r>
              <w:rPr>
                <w:rFonts w:hint="eastAsia" w:ascii="宋体" w:hAnsi="宋体" w:eastAsia="宋体" w:cs="宋体"/>
                <w:b/>
                <w:i w:val="0"/>
                <w:color w:val="000000"/>
                <w:kern w:val="0"/>
                <w:sz w:val="24"/>
                <w:szCs w:val="24"/>
                <w:u w:val="none"/>
                <w:lang w:val="en-US" w:eastAsia="zh-CN" w:bidi="ar"/>
              </w:rPr>
              <w:t>年决算%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2"/>
                <w:szCs w:val="22"/>
                <w:u w:val="none"/>
                <w:lang w:val="en-US" w:eastAsia="zh-CN" w:bidi="ar"/>
              </w:rPr>
              <w:t>347100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2"/>
                <w:szCs w:val="22"/>
                <w:u w:val="none"/>
                <w:lang w:val="en-US" w:eastAsia="zh-CN" w:bidi="ar"/>
              </w:rPr>
              <w:t>347880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2"/>
                <w:szCs w:val="22"/>
                <w:u w:val="none"/>
                <w:lang w:val="en-US" w:eastAsia="zh-CN" w:bidi="ar"/>
              </w:rPr>
              <w:t>100.22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2"/>
                <w:szCs w:val="22"/>
                <w:u w:val="none"/>
                <w:lang w:val="en-US" w:eastAsia="zh-CN" w:bidi="ar"/>
              </w:rPr>
              <w:t>107.26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税收收入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2"/>
                <w:szCs w:val="22"/>
                <w:u w:val="none"/>
                <w:lang w:val="en-US" w:eastAsia="zh-CN" w:bidi="ar"/>
              </w:rPr>
              <w:t>296271</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2"/>
                <w:szCs w:val="22"/>
                <w:u w:val="none"/>
                <w:lang w:val="en-US" w:eastAsia="zh-CN" w:bidi="ar"/>
              </w:rPr>
              <w:t>293924</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2"/>
                <w:szCs w:val="22"/>
                <w:u w:val="none"/>
                <w:lang w:val="en-US" w:eastAsia="zh-CN" w:bidi="ar"/>
              </w:rPr>
              <w:t>99.21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2"/>
                <w:szCs w:val="22"/>
                <w:u w:val="none"/>
                <w:lang w:val="en-US" w:eastAsia="zh-CN" w:bidi="ar"/>
              </w:rPr>
              <w:t>107.01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增值税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112160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112311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100.13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110.14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消费税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企业所得税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96000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100312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104.49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110.82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企业所得税退税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个人所得税(款)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3160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5135</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162.50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184.78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资源税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2780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2113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76.01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79.14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城市维护建设税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47271</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48448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102.49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2"/>
                <w:szCs w:val="22"/>
                <w:u w:val="none"/>
                <w:lang w:val="en-US" w:eastAsia="zh-CN" w:bidi="ar"/>
              </w:rPr>
              <w:t>113.45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房产税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4800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4230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88.13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88.64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印花税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5300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5055</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95.38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95.56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城镇土地使用税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10950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9198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84.00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85.28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土地增值税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4140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1518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36.67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40.22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车船税(款)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2370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2094</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88.35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93.61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船舶吨税(款)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车辆购置税(款)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关税(款)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耕地占用税(款)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600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1063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177.17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208.02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契税(款)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6130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1765</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28.79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28.93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烟叶税(款)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环境保护税(款)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610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682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111.80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122.88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其他税收收入(款)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非税收入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4"/>
                <w:szCs w:val="24"/>
                <w:u w:val="none"/>
                <w:lang w:val="en-US" w:eastAsia="zh-CN" w:bidi="ar"/>
              </w:rPr>
              <w:t>50829</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4"/>
                <w:szCs w:val="24"/>
                <w:u w:val="none"/>
                <w:lang w:val="en-US" w:eastAsia="zh-CN" w:bidi="ar"/>
              </w:rPr>
              <w:t>53956</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2"/>
                <w:szCs w:val="22"/>
                <w:u w:val="none"/>
                <w:lang w:val="en-US" w:eastAsia="zh-CN" w:bidi="ar"/>
              </w:rPr>
              <w:t>106.15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444444"/>
                <w:kern w:val="0"/>
                <w:sz w:val="24"/>
                <w:szCs w:val="24"/>
                <w:u w:val="none"/>
                <w:lang w:val="en-US" w:eastAsia="zh-CN" w:bidi="ar"/>
              </w:rPr>
              <w:t>108.63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44773</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46742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104.40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113.66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行政事业性收费收入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1750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1579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90.23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96.87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罚没收入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4061</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4928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121.35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78.40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国有资本经营收入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国有资源(资产)有偿使用收入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458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122.46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捐赠收入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75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71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94.67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101.43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政府住房基金收入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165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166</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444444"/>
                <w:kern w:val="0"/>
                <w:sz w:val="22"/>
                <w:szCs w:val="22"/>
                <w:u w:val="none"/>
                <w:lang w:val="en-US" w:eastAsia="zh-CN" w:bidi="ar"/>
              </w:rPr>
              <w:t>100.61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95.95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其他收入(款)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444444"/>
                <w:kern w:val="0"/>
                <w:sz w:val="24"/>
                <w:szCs w:val="24"/>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444444"/>
                <w:kern w:val="0"/>
                <w:sz w:val="22"/>
                <w:szCs w:val="22"/>
                <w:u w:val="none"/>
                <w:lang w:val="en-US" w:eastAsia="zh-CN" w:bidi="ar"/>
              </w:rPr>
              <w:t>240.00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80.00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rPr>
          <w:rFonts w:cs="Times New Roman"/>
        </w:rPr>
      </w:pPr>
    </w:p>
    <w:p>
      <w:pPr>
        <w:rPr>
          <w:rFonts w:cs="Times New Roman"/>
        </w:rPr>
      </w:pPr>
    </w:p>
    <w:p>
      <w:pPr>
        <w:rPr>
          <w:rFonts w:cs="Times New Roman"/>
        </w:rPr>
      </w:pPr>
    </w:p>
    <w:p>
      <w:pPr>
        <w:rPr>
          <w:rFonts w:cs="Times New Roman"/>
        </w:rPr>
      </w:pPr>
    </w:p>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sectPr>
          <w:pgSz w:w="16783" w:h="11850" w:orient="landscape"/>
          <w:pgMar w:top="1440" w:right="1800" w:bottom="1440" w:left="1800" w:header="720" w:footer="720" w:gutter="0"/>
          <w:lnNumType w:countBy="0" w:distance="360"/>
          <w:cols w:space="720" w:num="1"/>
          <w:docGrid w:type="lines" w:linePitch="312" w:charSpace="0"/>
        </w:sectPr>
      </w:pPr>
    </w:p>
    <w:tbl>
      <w:tblPr>
        <w:tblStyle w:val="9"/>
        <w:tblW w:w="13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1"/>
        <w:gridCol w:w="2170"/>
        <w:gridCol w:w="1654"/>
        <w:gridCol w:w="1457"/>
        <w:gridCol w:w="1848"/>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0" w:hRule="atLeast"/>
          <w:tblHeader/>
        </w:trPr>
        <w:tc>
          <w:tcPr>
            <w:tcW w:w="13213"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汾阳市二〇二四年一般公共预算支出完成情况表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47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附表二</w:t>
            </w:r>
          </w:p>
        </w:tc>
        <w:tc>
          <w:tcPr>
            <w:tcW w:w="2170" w:type="dxa"/>
            <w:shd w:val="clear" w:color="auto" w:fill="auto"/>
            <w:vAlign w:val="center"/>
          </w:tcPr>
          <w:p>
            <w:pPr>
              <w:jc w:val="center"/>
              <w:rPr>
                <w:rFonts w:hint="eastAsia" w:ascii="宋体" w:hAnsi="宋体" w:eastAsia="宋体" w:cs="宋体"/>
                <w:i w:val="0"/>
                <w:color w:val="000000"/>
                <w:sz w:val="24"/>
                <w:szCs w:val="24"/>
                <w:u w:val="none"/>
              </w:rPr>
            </w:pPr>
          </w:p>
        </w:tc>
        <w:tc>
          <w:tcPr>
            <w:tcW w:w="1654" w:type="dxa"/>
            <w:shd w:val="clear" w:color="auto" w:fill="auto"/>
            <w:vAlign w:val="center"/>
          </w:tcPr>
          <w:p>
            <w:pPr>
              <w:jc w:val="center"/>
              <w:rPr>
                <w:rFonts w:hint="eastAsia" w:ascii="宋体" w:hAnsi="宋体" w:eastAsia="宋体" w:cs="宋体"/>
                <w:i w:val="0"/>
                <w:color w:val="000000"/>
                <w:sz w:val="24"/>
                <w:szCs w:val="24"/>
                <w:u w:val="none"/>
              </w:rPr>
            </w:pPr>
          </w:p>
        </w:tc>
        <w:tc>
          <w:tcPr>
            <w:tcW w:w="1457" w:type="dxa"/>
            <w:shd w:val="clear" w:color="auto" w:fill="auto"/>
            <w:vAlign w:val="center"/>
          </w:tcPr>
          <w:p>
            <w:pPr>
              <w:jc w:val="center"/>
              <w:rPr>
                <w:rFonts w:hint="eastAsia" w:ascii="宋体" w:hAnsi="宋体" w:eastAsia="宋体" w:cs="宋体"/>
                <w:i w:val="0"/>
                <w:color w:val="000000"/>
                <w:sz w:val="24"/>
                <w:szCs w:val="24"/>
                <w:u w:val="none"/>
              </w:rPr>
            </w:pPr>
          </w:p>
        </w:tc>
        <w:tc>
          <w:tcPr>
            <w:tcW w:w="1848" w:type="dxa"/>
            <w:shd w:val="clear" w:color="auto" w:fill="auto"/>
            <w:vAlign w:val="center"/>
          </w:tcPr>
          <w:p>
            <w:pPr>
              <w:jc w:val="center"/>
              <w:rPr>
                <w:rFonts w:hint="eastAsia" w:ascii="宋体" w:hAnsi="宋体" w:eastAsia="宋体" w:cs="宋体"/>
                <w:i w:val="0"/>
                <w:color w:val="000000"/>
                <w:sz w:val="24"/>
                <w:szCs w:val="24"/>
                <w:u w:val="none"/>
              </w:rPr>
            </w:pP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支出项目</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2024年调整预算数</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2024年完成数</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为调整预算%</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为2023年决算%</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一般公共预算支出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604819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584757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96.68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117.61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一般公共服务支出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42095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40407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95.99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人大事务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663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653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98.49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105.83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66.20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人大会议</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91.67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人大代表履职能力提升</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71.05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代表工作</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227.14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115.91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其他人大事务支出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90.83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政协事务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86.68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34.44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606.25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机关服务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政协会议</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参政议政</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93.59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其他政协事务支出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政府办公厅(室)及相关机构事务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19295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19171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99.36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105.74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5799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5799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64.79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578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578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583.84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机关服务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4899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4899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87.98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政务公开审批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1953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1953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3100.00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75.56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其他政府办公厅(室)及相关机构事务支出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5627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5503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97.80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196.05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发展与改革事务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1456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254.99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71.22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128.33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其他发展与改革事务支出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122.99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统计信息事务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748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95.19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115.21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92.41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专项统计业务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102.27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专项普查活动</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98.52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178.57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统计抽样调查</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125.00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80.14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其他统计信息事务支出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79.88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127.18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财政事务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1067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59.31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47.86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86.02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其他财政事务支出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1972.00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税收事务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998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998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98.42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66.74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354.78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审计事务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89.00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72.50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2400.00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审计业务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98.28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其他审计事务支出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纪检监察事务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2171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2138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98.48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95.62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1332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1332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82.99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85.87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其他纪检监察事务支出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94.52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160.28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商贸事务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1717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1617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94.18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69.28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23.86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58.33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其他商贸事务支出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1609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1509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93.78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78.76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档案事务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187.59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80.77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机关服务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217.65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档案馆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654.17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民主党派及工商联事务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63.27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36.73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其他民主党派及工商联事务支出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群众团体事务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1420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1420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83.83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其他群众团体事务支出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1309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1309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13090.00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党委办公厅(室)及相关机构事务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3191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3191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111.57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34.57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225.54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专项业务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115.56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96.63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组织事务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1553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1373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88.41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61.35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40.48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公务员事务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99.54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其他组织事务支出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1131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84.08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61.04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宣传事务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120.97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21.89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宣传管理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103.74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其他宣传事务支出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651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311.48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统战事务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98.21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94.82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71.58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宗教事务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96.60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103.18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华侨事务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125.93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其他共产党事务支出(款)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103.33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108.47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市场监督管理事务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3246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73.54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91.05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983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65.01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38.89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市场主体管理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210.81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市场秩序执法</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147.06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信息化建设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57.58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质量基础</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273.68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质量安全监管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93.84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食品安全监管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1500.00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1030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1030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77.04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其他市场监督管理事务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1496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21.93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169.95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社会工作事务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88.93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专项业务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其他社会工作事务支出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51.67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信访事务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信访业务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其他信访事务支出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其他一般公共服务支出(款)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国家赔偿费用支出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国防支出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111.81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国防动员</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64.35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兵役征集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85.71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民兵</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67.78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其他国防支出(款)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其他国防支出(项)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公共安全支出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18271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17851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97.70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87.43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公安</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16635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16340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98.23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93.36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4552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4552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88.84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1399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1394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99.64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119.35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执法办案</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1797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1508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83.92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149.75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特别业务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2281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92.57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2827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2827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59.62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其他公安支出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3778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3778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126.02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检察</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104.70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128.93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法院</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35.41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35.16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31.91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83.75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司法</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900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87.80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63.60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520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520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82.41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58.19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32.65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基层司法业务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普法宣传</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律师管理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59.18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公共法律服务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18.18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法治建设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80.56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其他司法支出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其他公共安全支出(款)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6.25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国家司法救助支出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6.25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教育支出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102471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99429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97.03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100.54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教育管理事务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3628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3628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2519.44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123.61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其他教育管理事务支出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3442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3442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普通教育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88467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85566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96.72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101.90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学前教育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3933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3812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96.92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105.98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小学教育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26190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25849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98.70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103.55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初中教育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23179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22977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99.13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135.01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高中教育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16856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16855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101.88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其他普通教育支出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18309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16073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87.79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73.58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职业教育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3907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96.83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105.08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中等职业教育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3672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3544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96.51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105.04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技校教育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105.52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特殊教育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95.59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81.03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特殊学校教育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95.59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81.03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进修及培训</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17.89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干部教育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17.89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教育费附加安排的支出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5412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5412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55.81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其他教育费附加安排的支出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5412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5412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55.81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其他教育支出(款)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966.67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其他教育支出(项)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966.67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科学技术支出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1364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1364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226.58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科学技术管理事务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995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224.60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其他科学技术管理事务支出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405.08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基础研究</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286.36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科技人才队伍建设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286.36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技术研究与开发</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75.27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其他技术研究与开发支出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75.27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科学技术普及</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机构运行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科普活动</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学术交流活动</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其他科学技术普及支出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文化旅游体育与传媒支出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15125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14596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96.50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103.39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文化和旅游</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3173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3132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98.71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46.42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57.02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图书馆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97.13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文化展示及纪念机构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文化活动</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211.49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群众文化</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98.19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80.49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文化创作与保护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68.48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文化和旅游市场管理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116.67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旅游宣传</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64.84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其他文化和旅游支出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1450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1415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97.59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28.72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3775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3396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89.96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167.54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文物保护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2704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2326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86.02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124.85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博物馆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652.44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体育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730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664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90.96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32.09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体育场馆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0.73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群众体育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0.93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其他体育支出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722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656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90.86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63.94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新闻出版电影</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其他新闻出版电影支出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广播电视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2516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2476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98.41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86.82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广播电视事务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2422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2422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85.40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其他广播电视支出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57.45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337.50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其他文化旅游体育与传媒支出(款)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4917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1201.47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宣传文化发展专项支出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41.67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其他文化旅游体育与传媒支出(项)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4882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4879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1653.90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社会保障和就业支出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98394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96346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97.92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131.68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人力资源和社会保障管理事务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4748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4748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47.06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52.64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综合业务管理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劳动保障监察</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77.01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就业管理事务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65.94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社会保险经办机构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3812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3812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43.08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引进人才费用</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171.43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民政管理事务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987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984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99.70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120.15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70.09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基层政权建设和社区治理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722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99.58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349.03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其他民政管理事务支出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26.65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行政事业单位养老支出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50200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50200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186.96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行政单位离退休</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2199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2199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288.58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事业单位离退休</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2962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2962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98733.33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离退休人员管理机构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147.03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机关事业单位基本养老保险缴费支出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10730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10730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13756.41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机关事业单位职业年金缴费支出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7165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7165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20471.43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对机关事业单位基本养老保险基金的补助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26500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26500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103.80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就业补助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1374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1306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95.05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104.56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就业创业服务补贴</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其他就业补助支出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1340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1272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94.93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103.50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抚恤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4450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4221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94.85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98.07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死亡抚恤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78.79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247.62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伤残抚恤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558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91.94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100.20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在乡复员、退伍军人生活补助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89.92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92.88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义务兵优待</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910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910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96.81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农村籍退役士兵老年生活补助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99.16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107.43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褒扬纪念</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59.54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其他优抚支出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1117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96.42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80.73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退役安置</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3947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3863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97.87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105.26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退役士兵安置</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2068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2060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99.61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103.00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军队移交政府的离退休人员安置</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81.75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96.14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军队移交政府离退休干部管理机构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96.15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87.72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退役士兵管理教育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64.18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307.14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军队转业干部安置</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其他退役安置支出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1474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1474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109.19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社会福利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6240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5585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89.50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233.00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儿童福利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141.67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老年福利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822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775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94.28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138.15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社会福利事业单位</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3835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87.26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575.83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养老服务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836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788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94.26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75.92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残疾人事业</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64.16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95.88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76.60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残疾人康复</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61.64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残疾人就业</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136.67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残疾人生活和护理补贴</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106.57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其他残疾人事业支出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1471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471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32.02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90.23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红十字事业</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86.21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其他红十字事业支出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114.29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最低生活保障</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6315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6315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城市最低生活保障金支出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84.00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农村最低生活保障金支出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5638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5638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102.40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临时救助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97.21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87.88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临时救助支出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71.25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流浪乞讨人员救助支出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92.31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157.89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特困人员救助供养</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2192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2188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99.82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109.51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城市特困人员救助供养支出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96.26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96.26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农村特困人员救助供养支出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2085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2085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110.26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其他生活救助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171.73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其他城市生活救助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其他农村生活救助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622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622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166.31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财政对基本养老保险基金的补助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13298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13298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122.64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财政对企业职工基本养老保险基金的补助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130.80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财政对城乡居民基本养老保险基金的补助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12004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12004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113.32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财政对其他基本养老保险基金的补助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967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财政对其他社会保险基金的补助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其他财政对社会保险基金的补助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退役军人管理事务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78.51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58.56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拥军优属</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53.57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75.29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其他退役军人事务管理支出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107.21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其他社会保障和就业支出(款)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118.63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其他社会保障和就业支出(项)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118.63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卫生健康支出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35307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34555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97.87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108.62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卫生健康管理事务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138.36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58.75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其他卫生健康管理事务支出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757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757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208.54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公立医院</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6458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6454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130.46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综合医院</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2974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2974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127.58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中医(民族)医院</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3183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135.56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其他公立医院支出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98.67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110.82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基层医疗卫生机构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6989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6954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99.50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118.79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城市社区卫生机构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1611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1611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74.93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乡镇卫生院</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4516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4501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99.67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136.06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其他基层医疗卫生机构支出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862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842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97.68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212.63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公共卫生</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7270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6683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91.93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50.90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疾病预防控制机构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75.60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卫生监督机构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24.07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妇幼保健机构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801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801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85.39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基本公共卫生服务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3918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3433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87.62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92.96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重大公共卫生服务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59.84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3.44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突发公共卫生事件应急处置</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91.67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10.71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其他公共卫生支出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1679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1679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55.36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计划生育事务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1833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1744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95.14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162.08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计划生育服务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550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526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95.64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82.32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其他计划生育事务支出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1218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94.93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286.59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行政事业单位医疗</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4754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4754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3234.01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行政单位医疗</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488.44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事业单位医疗</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3704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3704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公务员医疗补助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财政对基本医疗保险基金的补助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2941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2941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127.59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财政对城乡居民基本医疗保险基金的补助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2941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2941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127.59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医疗救助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1506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1506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74.81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城乡医疗救助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1506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1506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74.81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优抚对象医疗</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67.92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66.67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优抚对象医疗补助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67.92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66.67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医疗保障管理事务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758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754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99.47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349.07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15.34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医疗保障经办事务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其他医疗保障管理事务支出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98.58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522.64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老龄卫生健康事务(款)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老龄卫生健康事务(项)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中医药事务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95.21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中医(民族医)药专项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95.21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其他卫生健康支出(款)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839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839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64.94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其他卫生健康支出(项)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839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839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64.94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节能环保支出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15083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14468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95.92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96.73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环境保护管理事务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1900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1900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131.58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其他环境保护管理事务支出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1900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1900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137.98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污染防治</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9243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8691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94.03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83.17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大气</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9098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8583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94.34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82.88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水体</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固体废弃物与化学品</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自然生态保护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2544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2532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99.53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127.30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农村环境保护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2531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2519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99.53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129.05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自然保护地</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144.44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森林保护修复</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86.25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1523.81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森林管护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86.49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社会保险补助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80.65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119.05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停伐补助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能源管理事务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110.93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23.92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75.09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城乡社区支出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71514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65982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92.26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137.99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2353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2353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86.89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43.61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城管执法</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502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502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41.69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其他城乡社区管理事务支出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1735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140.15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城乡社区规划与管理(款)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72.13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城乡社区规划与管理(项)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72.13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城乡社区公共设施</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54976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49444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89.94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191.60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小城镇基础设施建设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2558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2558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567.18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其他城乡社区公共设施支出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52418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46886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89.45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184.92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城乡社区环境卫生(款)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12856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12856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68.40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城乡社区环境卫生(项)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12856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12856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68.40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建设市场管理与监督(款)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83.88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建设市场管理与监督(项)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83.88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其他城乡社区支出(款)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1082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1082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533.00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其他城乡社区支出(项)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1082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1082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533.00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农林水支出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73800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71412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96.76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116.25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农业农村</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37167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36982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99.50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133.75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26.34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72.02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病虫害控制</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1065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1005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94.37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168.06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农产品质量安全</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102.13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执法监管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44.44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统计监测与信息服务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45.95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防灾救灾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4914.29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稳定农民收入补贴</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3554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3554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118466.67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农业生产发展</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9432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99.46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109.53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农村合作经济</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573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573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70.05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农村社会事业</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4061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4061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479.46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农业生态资源保护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3626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3619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99.81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4159.77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乡村道路建设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835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耕地建设与利用</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2196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2133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97.13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59.83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其他农业农村支出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9794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9790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99.96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98.73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林业和草原</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5391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5337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95.59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71.51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52.29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森林资源培育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97.60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38.53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技术推广与转化</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森林资源管理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92.31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森林生态效益补偿</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14.85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林业草原防灾减灾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85.80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退耕还林还草</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其他林业和草原支出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4439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4389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98.87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124.55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水利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11218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11218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108.32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76.24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水利行业业务管理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81.57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水利工程建设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5514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5514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152.78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水利工程运行与维护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32.72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水利前期工作</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1537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1537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297.29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水资源节约管理与保护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10.62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水质监测</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防汛</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323.94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抗旱</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农村水利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水利建设征地及移民支出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43.96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农村供水</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1560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1560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133.45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其他水利支出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39.34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巩固脱贫攻坚成果衔接乡村振兴</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4795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4723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98.50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58.23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44.78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其他巩固脱贫攻坚成果衔接乡村振兴支出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4735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4663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98.48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60.07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农村综合改革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7905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7432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94.02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118.84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对村级公益事业建设的补助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3768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3295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87.45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167.94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对村民委员会和村党支部的补助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4137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4137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101.20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普惠金融发展支出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7268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5669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78.00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163.18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农业保险保费补贴</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6813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5255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77.13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154.29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创业担保贷款贴息及奖补</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25.45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20.59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其他普惠金融发展支出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其他农林水支出(款)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91.07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其他农林水支出(项)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91.07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交通运输支出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26556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26427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99.51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160.55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公路水路运输</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26404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26277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99.52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172.42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82.02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公路建设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20595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20516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99.62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196.36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公路养护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823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823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66.42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公路运输管理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3035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122.68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其他公路水路运输支出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1763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1715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97.28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223.89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其他交通运输支出(款)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98.68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其他交通运输支出(项)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98.68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资源勘探工业信息等支出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6348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6340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99.87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132.58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制造业</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89.17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61.78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工业和信息产业监管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5335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5332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232.03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6900.00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专用通信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产业发展</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4910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99.94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215.16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其他工业和信息产业监管支出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515.38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国有资产监管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60.77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其他国有资产监管支出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60.77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支持中小企业发展和管理支出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99.30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34.35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中小企业发展专项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99.30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34.35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商业服务业等支出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2262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1982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87.62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100.56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商业流通事务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1749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1469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83.99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145.01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26.85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39.22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其他商业流通事务支出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1642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1362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82.95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213.48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涉外发展服务支出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19.39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其他涉外发展服务支出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19.39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其他商业服务业等支出(款)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66.47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其他商业服务业等支出(项)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66.47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金融支出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其他金融支出(款)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其他金融支出(项)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自然资源海洋气象等支出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41244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40439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98.05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166.35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40948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40143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98.03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167.86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80.91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一般行政管理事务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自然资源规划及管理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1303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1303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173.04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自然资源利用与保护</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34245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33440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97.65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170.01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自然资源行业业务管理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595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61.47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自然资源调查与确权登记</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623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623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75.52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土地资源储备支出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3210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3210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地质勘查与矿产资源管理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22.29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553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553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71.08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气象事务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74.94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气象事业机构</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92.86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其他气象事务支出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73.32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住房保障支出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35588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35588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106.48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保障性安居工程支出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25327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25327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109.53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棚户区改造</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23895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23895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107.21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农村危房改造</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209.09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公共租赁住房</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40.76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保障性住房租金补贴</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老旧小区改造</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1066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1066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保障性租赁住房</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住房改革支出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10159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10159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98.65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住房公积金</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10159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10159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98.65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城乡社区住宅</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公有住房建设和维修改造支出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粮油物资储备支出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224.72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粮油物资事务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791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224.72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58.20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其他粮油物资事务支出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720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720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313.04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灾害防治及应急管理支出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9598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7772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80.98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251.11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应急管理事务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2059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93.49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180.07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70.53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灾害风险防治</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125</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80.13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安全监管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115.00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应急救援</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1233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1099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89.13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2442.22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应急管理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事业运行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81.26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其他应急管理支出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45.05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消防救援事务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3828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3828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405.94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消防应急救援</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3774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3774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400.21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其他消防救援事务支出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矿山安全</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93.06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其他矿山安全支出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93.06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地震事务</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61</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435.71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行政运行</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114.29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地震灾害预防</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防震减灾信息管理</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自然灾害防治</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3112</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1435</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46.11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289.90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地质灾害防治</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2929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1252</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42.74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258.14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其他自然灾害防治支出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183</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183</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1830.00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自然灾害救灾及恢复重建支出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471</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96.82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137.35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自然灾害救灾补助</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91.85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123.36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其他自然灾害救灾及恢复重建支出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287</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287</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322.47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其他支出(类)</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108.68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108.68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1590</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1590</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108.68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债务付息支出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6826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6826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94.24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地方政府一般债务付息支出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6826</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6826</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94.24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地方政府一般债券付息支出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6328</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6328</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94.80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地方政府向外国政府借款付息支出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80.00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地方政府向国际组织借款付息支出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494</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494</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87.74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债务发行费用支出</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65.52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地方政府一般债务发行费用支出(款)</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65.52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476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地方政府一般债务发行费用支出(项)</w:t>
            </w:r>
          </w:p>
        </w:tc>
        <w:tc>
          <w:tcPr>
            <w:tcW w:w="21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w:t>
            </w:r>
          </w:p>
        </w:tc>
        <w:tc>
          <w:tcPr>
            <w:tcW w:w="1457"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84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65.52 </w:t>
            </w:r>
          </w:p>
        </w:tc>
        <w:tc>
          <w:tcPr>
            <w:tcW w:w="1323"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bl>
    <w:p/>
    <w:p>
      <w:pPr>
        <w:pStyle w:val="2"/>
      </w:pPr>
    </w:p>
    <w:p/>
    <w:p>
      <w:pPr>
        <w:pStyle w:val="2"/>
      </w:pPr>
    </w:p>
    <w:p/>
    <w:tbl>
      <w:tblPr>
        <w:tblStyle w:val="9"/>
        <w:tblW w:w="13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04"/>
        <w:gridCol w:w="1708"/>
        <w:gridCol w:w="2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0" w:hRule="atLeast"/>
          <w:tblHeader/>
        </w:trPr>
        <w:tc>
          <w:tcPr>
            <w:tcW w:w="13213"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汾阳市二〇二四年一般公共预算支出分经济科目执行情况表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87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附表三</w:t>
            </w:r>
          </w:p>
        </w:tc>
        <w:tc>
          <w:tcPr>
            <w:tcW w:w="1708" w:type="dxa"/>
            <w:shd w:val="clear" w:color="auto" w:fill="auto"/>
            <w:vAlign w:val="center"/>
          </w:tcPr>
          <w:p>
            <w:pPr>
              <w:jc w:val="center"/>
              <w:rPr>
                <w:rFonts w:hint="eastAsia" w:ascii="宋体" w:hAnsi="宋体" w:eastAsia="宋体" w:cs="宋体"/>
                <w:i w:val="0"/>
                <w:color w:val="000000"/>
                <w:sz w:val="24"/>
                <w:szCs w:val="24"/>
                <w:u w:val="none"/>
              </w:rPr>
            </w:pPr>
          </w:p>
        </w:tc>
        <w:tc>
          <w:tcPr>
            <w:tcW w:w="280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一般公共预算支出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584757</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机关工资福利支出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27754</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工资奖金津补贴</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13637</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社会保障缴费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4562</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住房公积金</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3662</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其他工资福利支出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5893</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机关商品和服务支出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56422</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办公经费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11851</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会议费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77</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培训费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511</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专用材料购置费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589</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委托业务费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33610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公务接待费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因公出国(境)费用</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15</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公务用车运行维护费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420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维修(护)费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2014</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其他商品和服务支出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7318</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机关资本性支出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136833</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房屋建筑物购建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12013</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基础设施建设</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40490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公务用车购置</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343</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土地征迁补偿和安置支出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30694</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设备购置</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6399</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大型修缮</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3264</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其他资本性支出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43630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机关资本性支出(基本建设)</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3267</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房屋建筑物购建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753</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基础设施建设</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2042</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公务用车购置</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设备购置</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147</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大型修缮</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其他资本性支出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对事业单位经常性补助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149939</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工资福利支出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118789</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商品和服务支出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31150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其他对事业单位补助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对事业单位资本性补助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49811</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资本性支出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40046</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资本性支出(基本建设)</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9765</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对企业补助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35652</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费用补贴</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3871</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利息补贴</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484</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其他对企业补助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31297</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对企业资本性支出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资本金注入</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资本金注入(基本建设)</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政府投资基金股权投资</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right"/>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其他对企业资本性支出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right"/>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对个人和家庭的补助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69418</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社会福利和救助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27771</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助学金</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601</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个人农业生产补贴</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28520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离退休费</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5444</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其他对个人和家庭的补助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7082</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对社会保障基金补助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43274</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对社会保险基金补助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43274</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补充全国社会保障基金</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对机关事业单位职业年金的补助</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债务利息及费用支出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6845</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国内债务付息</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6328</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国外债务付息</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498</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国内债务发行费用</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国外债务发行费用</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其他支出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5142</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国家赔偿费用支出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对民间非营利组织和群众性自治组织补贴</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4958</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经常性赠与</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资本性赠与</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其他支出</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160</w:t>
            </w:r>
          </w:p>
        </w:tc>
        <w:tc>
          <w:tcPr>
            <w:tcW w:w="2801"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bl>
    <w:p>
      <w:pPr>
        <w:pStyle w:val="2"/>
      </w:pPr>
    </w:p>
    <w:p/>
    <w:p>
      <w:pPr>
        <w:pStyle w:val="2"/>
      </w:pPr>
    </w:p>
    <w:p/>
    <w:p>
      <w:pPr>
        <w:pStyle w:val="2"/>
      </w:pPr>
    </w:p>
    <w:tbl>
      <w:tblPr>
        <w:tblStyle w:val="9"/>
        <w:tblW w:w="13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05"/>
        <w:gridCol w:w="1708"/>
        <w:gridCol w:w="2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0" w:hRule="atLeast"/>
          <w:tblHeader/>
        </w:trPr>
        <w:tc>
          <w:tcPr>
            <w:tcW w:w="13213"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汾阳市二〇二四年一般公共预算基本支出分经济科目执行情况表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87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附表四</w:t>
            </w:r>
          </w:p>
        </w:tc>
        <w:tc>
          <w:tcPr>
            <w:tcW w:w="1708" w:type="dxa"/>
            <w:shd w:val="clear" w:color="auto" w:fill="auto"/>
            <w:vAlign w:val="center"/>
          </w:tcPr>
          <w:p>
            <w:pPr>
              <w:jc w:val="center"/>
              <w:rPr>
                <w:rFonts w:hint="eastAsia" w:ascii="宋体" w:hAnsi="宋体" w:eastAsia="宋体" w:cs="宋体"/>
                <w:i w:val="0"/>
                <w:color w:val="000000"/>
                <w:sz w:val="24"/>
                <w:szCs w:val="24"/>
                <w:u w:val="none"/>
              </w:rPr>
            </w:pPr>
          </w:p>
        </w:tc>
        <w:tc>
          <w:tcPr>
            <w:tcW w:w="28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870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0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一般公共预算支出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148358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机关工资福利支出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22898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工资奖金津补贴</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13554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社会保障缴费</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4531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住房公积金</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3660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其他工资福利支出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1153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机关商品和服务支出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4040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办公经费</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2749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会议费</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培训费</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50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专用材料购置费</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委托业务费</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194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公务接待费</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因公出国(境)费用</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公务用车运行维护费</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296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维修(护)费</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198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其他商品和服务支出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547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机关资本性支出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138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房屋建筑物购建</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基础设施建设</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公务用车购置</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土地征迁补偿和安置支出</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设备购置</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138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大型修缮</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其他资本性支出</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机关资本性支出(基本建设)</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房屋建筑物购建</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基础设施建设</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公务用车购置</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设备购置</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大型修缮</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其他资本性支出</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对事业单位经常性补助</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115608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工资福利支出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113313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商品和服务支出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2295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其他对事业单位补助</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对事业单位资本性补助</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资本性支出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资本性支出(基本建设)</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对企业补助</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费用补贴</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利息补贴</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其他对企业补助</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对企业资本性支出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资本金注入</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资本金注入(基本建设)</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政府投资基金股权投资</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其他对企业资本性支出</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对个人和家庭的补助</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5667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社会福利和救助</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692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助学金</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个人农业生产补贴</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离退休费</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4975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其他对个人和家庭的补助</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对社会保障基金补助</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对社会保险基金补助</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补充全国社会保障基金</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对机关事业单位职业年金的补助</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债务利息及费用支出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国内债务付息</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国外债务付息</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国内债务发行费用</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国外债务发行费用</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其他支出</w:t>
            </w:r>
          </w:p>
        </w:tc>
        <w:tc>
          <w:tcPr>
            <w:tcW w:w="17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国家赔偿费用支出</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对民间非营利组织和群众性自治组织补贴</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经常性赠与</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资本性赠与</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8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其他支出</w:t>
            </w:r>
          </w:p>
        </w:tc>
        <w:tc>
          <w:tcPr>
            <w:tcW w:w="170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280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bl>
    <w:p/>
    <w:p>
      <w:pPr>
        <w:pStyle w:val="2"/>
      </w:pPr>
    </w:p>
    <w:p/>
    <w:p>
      <w:pPr>
        <w:pStyle w:val="2"/>
      </w:pPr>
    </w:p>
    <w:p/>
    <w:tbl>
      <w:tblPr>
        <w:tblStyle w:val="9"/>
        <w:tblW w:w="13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28"/>
        <w:gridCol w:w="807"/>
        <w:gridCol w:w="5629"/>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atLeast"/>
          <w:tblHeader/>
        </w:trPr>
        <w:tc>
          <w:tcPr>
            <w:tcW w:w="13212"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汾阳市二〇二四年一般公共预算转移性收支平衡情况表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blHeader/>
        </w:trPr>
        <w:tc>
          <w:tcPr>
            <w:tcW w:w="562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附表五</w:t>
            </w:r>
          </w:p>
        </w:tc>
        <w:tc>
          <w:tcPr>
            <w:tcW w:w="807" w:type="dxa"/>
            <w:shd w:val="clear" w:color="auto" w:fill="auto"/>
            <w:vAlign w:val="center"/>
          </w:tcPr>
          <w:p>
            <w:pPr>
              <w:jc w:val="center"/>
              <w:rPr>
                <w:rFonts w:hint="eastAsia" w:ascii="宋体" w:hAnsi="宋体" w:eastAsia="宋体" w:cs="宋体"/>
                <w:i w:val="0"/>
                <w:color w:val="000000"/>
                <w:sz w:val="24"/>
                <w:szCs w:val="24"/>
                <w:u w:val="none"/>
              </w:rPr>
            </w:pPr>
          </w:p>
        </w:tc>
        <w:tc>
          <w:tcPr>
            <w:tcW w:w="5629" w:type="dxa"/>
            <w:shd w:val="clear" w:color="auto" w:fill="auto"/>
            <w:vAlign w:val="center"/>
          </w:tcPr>
          <w:p>
            <w:pPr>
              <w:jc w:val="both"/>
              <w:rPr>
                <w:rFonts w:hint="eastAsia" w:ascii="宋体" w:hAnsi="宋体" w:eastAsia="宋体" w:cs="宋体"/>
                <w:i w:val="0"/>
                <w:color w:val="000000"/>
                <w:sz w:val="24"/>
                <w:szCs w:val="24"/>
                <w:u w:val="none"/>
              </w:rPr>
            </w:pPr>
          </w:p>
        </w:tc>
        <w:tc>
          <w:tcPr>
            <w:tcW w:w="11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blHeader/>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项目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决 算 数</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项目</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决 算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一般公共预算收入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347880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一般公共预算支出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584757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上级补助收入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233740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补助下级支出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返还性收入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23005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返还性支出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所得税基数返还收入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-1654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所得税基数返还支出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成品油税费改革税收返还收入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639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成品油税费改革税收返还支出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增值税税收返还收入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12460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增值税税收返还支出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消费税税收返还收入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15381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消费税税收返还支出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增值税“五五分享”税收返还收入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-3821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增值税“五五分享”税收返还支出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其他返还性收入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其他返还性支出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一般性转移支付收入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179174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一般性转移支付支出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体制补助收入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体制补助支出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均衡性转移支付收入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22600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均衡性转移支付支出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县级基本财力保障机制奖补资金收入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19371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县级基本财力保障机制奖补资金支出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结算补助收入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56630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结算补助支出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资源枯竭型城市转移支付补助收入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757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资源枯竭型城市转移支付补助支出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企业事业单位划转补助收入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企业事业单位划转补助支出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产粮(油)大县奖励资金收入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产粮(油)大县奖励资金支出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重点生态功能区转移支付收入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73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重点生态功能区转移支付支出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固定数额补助收入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10768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固定数额补助支出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革命老区转移支付收入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605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革命老区转移支付支出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民族地区转移支付收入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民族地区转移支付支出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边境地区转移支付收入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边境地区转移支付支出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巩固脱贫攻坚成果衔接乡村振兴转移支付收入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3480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巩固脱贫攻坚成果衔接乡村振兴转移支付支出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一般公共服务共同财政事权转移支付收入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798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一般公共服务共同财政事权转移支付支出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外交共同财政事权转移支付收入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外交共同财政事权转移支付支出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国防共同财政事权转移支付收入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国防共同财政事权转移支付支出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公共安全共同财政事权转移支付收入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1160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公共安全共同财政事权转移支付支出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教育共同财政事权转移支付收入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7499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教育共同财政事权转移支付支出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科学技术共同财政事权转移支付收入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科学技术共同财政事权转移支付支出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文化旅游体育与传媒共同财政事权转移支付收入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1456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文化旅游体育与传媒共同财政事权转移支付支出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社会保障和就业共同财政事权转移支付收入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27472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社会保障和就业共同财政事权转移支付支出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医疗卫生共同财政事权转移支付收入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6429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医疗卫生共同财政事权转移支付支出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节能环保共同财政事权转移支付收入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219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节能环保共同财政事权转移支付支出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城乡社区共同财政事权转移支付支出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农林水共同财政事权转移支付收入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15288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农林水共同财政事权转移支付支出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交通运输共同财政事权转移支付收入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837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交通运输共同财政事权转移支付支出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资源勘探工业信息等共同财政事权转移支付收入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261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资源勘探工业信息等共同财政事权转移支付支出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商业服务业等共同财政事权转移支付收入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31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商业服务业等共同财政事权转移支付支出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金融共同财政事权转移支付收入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金融共同财政事权转移支付支出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自然资源海洋气象等共同财政事权转移支付收入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自然资源海洋气象等共同财政事权转移支付支出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住房保障共同财政事权转移支付收入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726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住房保障共同财政事权转移支付支出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粮油物资储备共同财政事权转移支付收入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粮油物资储备共同财政事权转移支付支出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灾害防治及应急管理共同财政事权转移支付收入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442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灾害防治及应急管理共同财政事权转移支付支出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其他共同财政事权转移支付收入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其他共同财政事权转移支付支出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其他一般性转移支付收入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2262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其他一般性转移支付支出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专项转移支付收入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31561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专项转移支付支出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一般公共服务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1675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一般公共服务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外交</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外交</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国防</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国防</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公共安全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135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公共安全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教育</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教育</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科学技术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科学技术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文化旅游体育与传媒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42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文化旅游体育与传媒</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社会保障和就业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2849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社会保障和就业</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卫生健康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329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卫生健康</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节能环保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6140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节能环保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3758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农林水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8764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农林水</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交通运输</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907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交通运输</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资源勘探工业信息等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520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资源勘探工业信息等</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商业服务业等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968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商业服务业等</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金融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金融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自然资源海洋气象等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2622 </w:t>
            </w:r>
          </w:p>
        </w:tc>
        <w:tc>
          <w:tcPr>
            <w:tcW w:w="56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自然资源海洋气象等</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住房保障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住房保障</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粮油物资储备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粮油物资储备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灾害防治及应急管理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2852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灾害防治及应急管理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下级上解收入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上解上级支出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31805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体制上解收入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体制上解支出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16805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专项上解收入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专项上解支出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待偿债再融资一般债券上年结余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上年结余收入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30326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调入资金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1978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调出资金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从政府性基金预算调入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1978 </w:t>
            </w:r>
          </w:p>
        </w:tc>
        <w:tc>
          <w:tcPr>
            <w:tcW w:w="562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调出用于补充超长期特别国债偿债备付金的资金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从国有资本经营预算调入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调出用于偿还超长期特别国债本金的资金</w:t>
            </w:r>
          </w:p>
        </w:tc>
        <w:tc>
          <w:tcPr>
            <w:tcW w:w="1148"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从其他资金调入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其他调出资金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债务收入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债务还本支出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地方政府债务收入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地方政府一般债务还本支出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一般债务收入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地方政府一般债券还本支出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22034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地方政府一般债券收入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地方政府向外国政府借款还本支出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地方政府向外国政府借款收入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地方政府向国际组织借款还本支出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地方政府向国际组织借款收入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地方政府其他一般债务还本支出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地方政府其他一般债务收入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债务转贷收入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20100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债务转贷支出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地方政府一般债务转贷收入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20100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地方政府一般债券转贷支出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地方政府一般债券转贷收入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20100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地方政府向外国政府借款转贷支出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地方政府向外国政府借款转贷收入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地方政府向国际组织借款转贷支出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地方政府向国际组织借款转贷收入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地方政府其他一般债务转贷支出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地方政府其他一般债务转贷收入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国债转贷收入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补充预算周转金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国债转贷资金上年结余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拨付国债转贷资金数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国债转贷转补助数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国债转贷资金结余</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动用预算稳定调节基金</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85000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安排预算稳定调节基金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区域间转移性收入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区域间转移性支出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接受其他地区援助收入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援助其他地区支出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接受其他省(自治区、直辖市、计划单列市)援助收入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援助其他省(自治区、直辖市、计划单列市)支出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接受省内其他地市(区)援助收入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援助省内其他地市(区)支出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接受市内其他县市(区)援助收入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援助市内其他县市(区)支出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生态保护补偿转移性收入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生态保护补偿转移性支出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其他省(自治区、直辖市、计划单列市)横向生态保护补偿转移性收入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其他省(自治区、直辖市、计划单列市)横向生态保护补偿转移性支出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省内其他地市(区)横向生态保护补偿转移性收入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省内其他地市(区)横向生态保护补偿转移性支出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市内其他县市(区)横向生态保护补偿转移性收入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市内其他县市(区)横向生态保护补偿转移性支出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土地指标调剂转移性收入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土地指标调剂转移性支出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其他省(自治区、直辖市、计划单列市)横向土地指标调剂转移性收入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其他省(自治区、直辖市、计划单列市)横向土地指标调剂转移性支出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省内其他地市(区)横向土地指标调剂转移性收入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省内其他地市(区)横向土地指标调剂转移性支出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市内其他县市(区)横向土地指标调剂转移性收入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市内其他县市(区)横向土地指标调剂转移性支出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其他转移性收入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 xml:space="preserve">  其他转移性支出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其他省(自治区、直辖市、计划单列市)其他转移性收入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其他省(自治区、直辖市、计划单列市)其他转移性支出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省内其他地市(区)其他转移性收入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省内其他地市(区)其他转移性支出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市内其他县市(区)其他转移性收入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市内其他县市(区)其他转移性支出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省补助计划单列市收入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计划单列市上解省支出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计划单列市上解省收入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省补助计划单列市支出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待偿债再融资一般债券结余</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年终结余</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减:结转下年的支出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净结余</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5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收  入  总  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719024 </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支  出  总  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719024 </w:t>
            </w:r>
          </w:p>
        </w:tc>
      </w:tr>
    </w:tbl>
    <w:p>
      <w:pPr>
        <w:pStyle w:val="2"/>
        <w:ind w:left="0" w:leftChars="0" w:firstLine="0" w:firstLineChars="0"/>
      </w:pPr>
    </w:p>
    <w:p/>
    <w:p>
      <w:pPr>
        <w:pStyle w:val="2"/>
      </w:pPr>
    </w:p>
    <w:p/>
    <w:tbl>
      <w:tblPr>
        <w:tblStyle w:val="9"/>
        <w:tblW w:w="13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39"/>
        <w:gridCol w:w="2270"/>
        <w:gridCol w:w="1728"/>
        <w:gridCol w:w="1255"/>
        <w:gridCol w:w="1931"/>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atLeast"/>
        </w:trPr>
        <w:tc>
          <w:tcPr>
            <w:tcW w:w="13213"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汾阳市二〇二四年政府性基金收入完成情况表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附表六</w:t>
            </w:r>
          </w:p>
        </w:tc>
        <w:tc>
          <w:tcPr>
            <w:tcW w:w="2270" w:type="dxa"/>
            <w:shd w:val="clear" w:color="auto" w:fill="auto"/>
            <w:vAlign w:val="center"/>
          </w:tcPr>
          <w:p>
            <w:pPr>
              <w:jc w:val="center"/>
              <w:rPr>
                <w:rFonts w:hint="eastAsia" w:ascii="宋体" w:hAnsi="宋体" w:eastAsia="宋体" w:cs="宋体"/>
                <w:i w:val="0"/>
                <w:color w:val="000000"/>
                <w:sz w:val="24"/>
                <w:szCs w:val="24"/>
                <w:u w:val="none"/>
              </w:rPr>
            </w:pPr>
          </w:p>
        </w:tc>
        <w:tc>
          <w:tcPr>
            <w:tcW w:w="1728" w:type="dxa"/>
            <w:shd w:val="clear" w:color="auto" w:fill="auto"/>
            <w:vAlign w:val="center"/>
          </w:tcPr>
          <w:p>
            <w:pPr>
              <w:jc w:val="center"/>
              <w:rPr>
                <w:rFonts w:hint="eastAsia" w:ascii="宋体" w:hAnsi="宋体" w:eastAsia="宋体" w:cs="宋体"/>
                <w:i w:val="0"/>
                <w:color w:val="000000"/>
                <w:sz w:val="24"/>
                <w:szCs w:val="24"/>
                <w:u w:val="none"/>
              </w:rPr>
            </w:pPr>
          </w:p>
        </w:tc>
        <w:tc>
          <w:tcPr>
            <w:tcW w:w="1255" w:type="dxa"/>
            <w:shd w:val="clear" w:color="auto" w:fill="auto"/>
            <w:vAlign w:val="center"/>
          </w:tcPr>
          <w:p>
            <w:pPr>
              <w:jc w:val="center"/>
              <w:rPr>
                <w:rFonts w:hint="eastAsia" w:ascii="宋体" w:hAnsi="宋体" w:eastAsia="宋体" w:cs="宋体"/>
                <w:i w:val="0"/>
                <w:color w:val="000000"/>
                <w:sz w:val="24"/>
                <w:szCs w:val="24"/>
                <w:u w:val="none"/>
              </w:rPr>
            </w:pPr>
          </w:p>
        </w:tc>
        <w:tc>
          <w:tcPr>
            <w:tcW w:w="1931" w:type="dxa"/>
            <w:shd w:val="clear" w:color="auto" w:fill="auto"/>
            <w:vAlign w:val="center"/>
          </w:tcPr>
          <w:p>
            <w:pPr>
              <w:jc w:val="center"/>
              <w:rPr>
                <w:rFonts w:hint="eastAsia" w:ascii="宋体" w:hAnsi="宋体" w:eastAsia="宋体" w:cs="宋体"/>
                <w:i w:val="0"/>
                <w:color w:val="000000"/>
                <w:sz w:val="24"/>
                <w:szCs w:val="24"/>
                <w:u w:val="none"/>
              </w:rPr>
            </w:pPr>
          </w:p>
        </w:tc>
        <w:tc>
          <w:tcPr>
            <w:tcW w:w="13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收入项目</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2024年调整预算数</w:t>
            </w: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2024年完成数</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w:t>
            </w:r>
            <w:r>
              <w:rPr>
                <w:rFonts w:hint="eastAsia" w:ascii="宋体" w:hAnsi="宋体" w:cs="宋体"/>
                <w:i w:val="0"/>
                <w:color w:val="000000"/>
                <w:kern w:val="0"/>
                <w:sz w:val="24"/>
                <w:szCs w:val="24"/>
                <w:u w:val="none"/>
                <w:lang w:val="en-US" w:eastAsia="zh-CN" w:bidi="ar"/>
              </w:rPr>
              <w:t>调整</w:t>
            </w:r>
            <w:r>
              <w:rPr>
                <w:rFonts w:hint="eastAsia" w:ascii="宋体" w:hAnsi="宋体" w:eastAsia="宋体" w:cs="宋体"/>
                <w:i w:val="0"/>
                <w:color w:val="000000"/>
                <w:kern w:val="0"/>
                <w:sz w:val="24"/>
                <w:szCs w:val="24"/>
                <w:u w:val="none"/>
                <w:lang w:val="en-US" w:eastAsia="zh-CN" w:bidi="ar"/>
              </w:rPr>
              <w:t>预算%</w:t>
            </w: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为2023年决算%</w:t>
            </w: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政府性基金预算收入</w:t>
            </w:r>
          </w:p>
        </w:tc>
        <w:tc>
          <w:tcPr>
            <w:tcW w:w="2270" w:type="dxa"/>
            <w:tcBorders>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41775</w:t>
            </w:r>
          </w:p>
        </w:tc>
        <w:tc>
          <w:tcPr>
            <w:tcW w:w="1728" w:type="dxa"/>
            <w:tcBorders>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428</w:t>
            </w:r>
            <w:r>
              <w:rPr>
                <w:rFonts w:hint="eastAsia" w:ascii="宋体" w:hAnsi="宋体" w:cs="宋体"/>
                <w:i w:val="0"/>
                <w:color w:val="000000"/>
                <w:kern w:val="0"/>
                <w:sz w:val="24"/>
                <w:szCs w:val="24"/>
                <w:u w:val="none"/>
                <w:lang w:val="en-US" w:eastAsia="zh-CN" w:bidi="ar"/>
              </w:rPr>
              <w:t>81</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102.6</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 </w:t>
            </w:r>
          </w:p>
        </w:tc>
        <w:tc>
          <w:tcPr>
            <w:tcW w:w="1931" w:type="dxa"/>
            <w:tcBorders>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79.1</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 xml:space="preserve"> </w:t>
            </w:r>
          </w:p>
        </w:tc>
        <w:tc>
          <w:tcPr>
            <w:tcW w:w="1390" w:type="dxa"/>
            <w:tcBorders>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国有土地收益基金收入</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4040</w:t>
            </w: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4091</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101.26 </w:t>
            </w: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79.31 </w:t>
            </w: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农业土地开发资金收入</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101.36 </w:t>
            </w: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70.13 </w:t>
            </w: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国有土地使用权出让收入</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35500</w:t>
            </w: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35591</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100.26 </w:t>
            </w: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80.86 </w:t>
            </w: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土地出让价款收入</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36015</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79.51 </w:t>
            </w: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补缴的土地价款</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缴纳新增建设用地土地有偿使用费</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-708</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49.61 </w:t>
            </w: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城市基础设施配套费收入</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w:t>
            </w: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2292</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152.80 </w:t>
            </w: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56.26 </w:t>
            </w: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污水处理费收入</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515</w:t>
            </w: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131.26 </w:t>
            </w: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112.11 </w:t>
            </w: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463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其他政府性基金收入</w:t>
            </w:r>
          </w:p>
        </w:tc>
        <w:tc>
          <w:tcPr>
            <w:tcW w:w="227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728"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255"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3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90" w:type="dxa"/>
            <w:tcBorders>
              <w:top w:val="single" w:color="444444" w:sz="4" w:space="0"/>
              <w:left w:val="single" w:color="444444" w:sz="4" w:space="0"/>
              <w:bottom w:val="single" w:color="444444" w:sz="4" w:space="0"/>
              <w:right w:val="single" w:color="444444" w:sz="4" w:space="0"/>
            </w:tcBorders>
            <w:shd w:val="clear" w:color="auto" w:fill="auto"/>
            <w:vAlign w:val="center"/>
          </w:tcPr>
          <w:p>
            <w:pPr>
              <w:rPr>
                <w:rFonts w:hint="eastAsia" w:ascii="宋体" w:hAnsi="宋体" w:eastAsia="宋体" w:cs="宋体"/>
                <w:i w:val="0"/>
                <w:color w:val="444444"/>
                <w:sz w:val="24"/>
                <w:szCs w:val="24"/>
                <w:u w:val="none"/>
              </w:rPr>
            </w:pPr>
          </w:p>
        </w:tc>
      </w:tr>
    </w:tbl>
    <w:p>
      <w:pPr>
        <w:pStyle w:val="2"/>
        <w:ind w:left="0" w:leftChars="0" w:firstLine="0" w:firstLineChars="0"/>
      </w:pPr>
    </w:p>
    <w:p/>
    <w:tbl>
      <w:tblPr>
        <w:tblStyle w:val="9"/>
        <w:tblW w:w="13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12"/>
        <w:gridCol w:w="1960"/>
        <w:gridCol w:w="1499"/>
        <w:gridCol w:w="1559"/>
        <w:gridCol w:w="1682"/>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0" w:hRule="atLeast"/>
          <w:tblHeader/>
        </w:trPr>
        <w:tc>
          <w:tcPr>
            <w:tcW w:w="13213"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汾阳市二〇二四年政府性基金支出完成情况表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531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附表七</w:t>
            </w:r>
          </w:p>
        </w:tc>
        <w:tc>
          <w:tcPr>
            <w:tcW w:w="1960" w:type="dxa"/>
            <w:shd w:val="clear" w:color="auto" w:fill="auto"/>
            <w:vAlign w:val="center"/>
          </w:tcPr>
          <w:p>
            <w:pPr>
              <w:jc w:val="center"/>
              <w:rPr>
                <w:rFonts w:hint="eastAsia" w:ascii="宋体" w:hAnsi="宋体" w:eastAsia="宋体" w:cs="宋体"/>
                <w:i w:val="0"/>
                <w:color w:val="000000"/>
                <w:sz w:val="24"/>
                <w:szCs w:val="24"/>
                <w:u w:val="none"/>
              </w:rPr>
            </w:pPr>
          </w:p>
        </w:tc>
        <w:tc>
          <w:tcPr>
            <w:tcW w:w="1499" w:type="dxa"/>
            <w:shd w:val="clear" w:color="auto" w:fill="auto"/>
            <w:vAlign w:val="center"/>
          </w:tcPr>
          <w:p>
            <w:pPr>
              <w:jc w:val="center"/>
              <w:rPr>
                <w:rFonts w:hint="eastAsia" w:ascii="宋体" w:hAnsi="宋体" w:eastAsia="宋体" w:cs="宋体"/>
                <w:i w:val="0"/>
                <w:color w:val="000000"/>
                <w:sz w:val="24"/>
                <w:szCs w:val="24"/>
                <w:u w:val="none"/>
              </w:rPr>
            </w:pPr>
          </w:p>
        </w:tc>
        <w:tc>
          <w:tcPr>
            <w:tcW w:w="1559" w:type="dxa"/>
            <w:shd w:val="clear" w:color="auto" w:fill="auto"/>
            <w:vAlign w:val="center"/>
          </w:tcPr>
          <w:p>
            <w:pPr>
              <w:jc w:val="center"/>
              <w:rPr>
                <w:rFonts w:hint="eastAsia" w:ascii="宋体" w:hAnsi="宋体" w:eastAsia="宋体" w:cs="宋体"/>
                <w:i w:val="0"/>
                <w:color w:val="000000"/>
                <w:sz w:val="24"/>
                <w:szCs w:val="24"/>
                <w:u w:val="none"/>
              </w:rPr>
            </w:pPr>
          </w:p>
        </w:tc>
        <w:tc>
          <w:tcPr>
            <w:tcW w:w="1682" w:type="dxa"/>
            <w:shd w:val="clear" w:color="auto" w:fill="auto"/>
            <w:vAlign w:val="center"/>
          </w:tcPr>
          <w:p>
            <w:pPr>
              <w:jc w:val="center"/>
              <w:rPr>
                <w:rFonts w:hint="eastAsia" w:ascii="宋体" w:hAnsi="宋体" w:eastAsia="宋体" w:cs="宋体"/>
                <w:i w:val="0"/>
                <w:color w:val="000000"/>
                <w:sz w:val="24"/>
                <w:szCs w:val="24"/>
                <w:u w:val="none"/>
              </w:rPr>
            </w:pPr>
          </w:p>
        </w:tc>
        <w:tc>
          <w:tcPr>
            <w:tcW w:w="12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支出项目</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2024年调整预算数</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2024年完成数</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完成调整预算%</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为2023年决算%</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64725</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53776</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83.08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66.36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文化旅游体育与传媒支出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国家电影事业发展专项资金安排的支出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资助国产影片放映</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21</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城乡社区支出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52988</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42938</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81.03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60.99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国有土地使用权出让收入安排的支出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45399</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36537</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80.48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62.34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征地和拆迁补偿支出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25532</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16670</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65.29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48.80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城市建设支出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4504</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4504</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农村基础设施建设支出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3196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3196</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319.60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补助被征地农民支出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3298</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3298</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29.29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土地出让业务支出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181</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181</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95.77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支付破产或改制企业职工安置费</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4070</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4070</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79.06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农业生产发展支出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3204</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3204</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49.93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农村社会事业支出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196</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118.07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农业农村生态环境支出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1218</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1218</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3383.33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国有土地收益基金安排的支出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4887</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4613</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94.39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62.05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征地和拆迁补偿支出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4513</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4239</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93.93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57.02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其他国有土地收益基金支出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374</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374</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农业土地开发资金安排的支出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160</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95</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59.38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46.34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城市基础设施配套费安排的支出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1686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1000</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59.31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28.23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城市公共设施</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1686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1000</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59.31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35.73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污水处理费安排的支出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856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693</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80.96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114.17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污水处理设施建设和运营</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447</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284</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63.53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46.79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其他污水处理费安排的支出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409</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409</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农林水支出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94</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53.71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国家重大水利工程建设基金安排的支出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87</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87</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49.71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其他重大水利工程建设基金支出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87</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87</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49.71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大中型水库移民后期扶持基金支出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移民补助</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7</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交通运输支出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1200</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1200</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30.00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政府收费公路专项债券收入安排的支出  </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1200</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1200</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30.00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公路建设  </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1200</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1200</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30.00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资源勘探工业信息等支出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309</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289</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93.53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超长期特别国债安排的支出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309</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289</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93.53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制造业</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309</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289</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93.53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其他支出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6373</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5494</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86.21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200.15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其他政府性基金及对应专项债务收入安排的支出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4950</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4903</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99.05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239.05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其他地方自行试点项目收益专项债券收入安排的支出  </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4950</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4903</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99.05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239.05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彩票公益金安排的支出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1423</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591</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41.53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85.16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用于社会福利的彩票公益金支出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2.33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0.44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用于体育事业的彩票公益金支出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196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85</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43.37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66.41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用于残疾人事业的彩票公益金支出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142</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127</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89.44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136.56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用于文化事业的彩票公益金支出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622</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0.00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用于其他社会公益事业的彩票公益金支出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377</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377</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债务付息支出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3716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3716</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100.35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地方政府专项债务付息支出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3716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3716</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100.35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国有土地使用权出让金债务付息支出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36</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土地储备专项债券付息支出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58</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58</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43.61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政府收费公路专项债券付息支出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222</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222</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140.51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棚户区改造专项债券付息支出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330</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330</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其他地方自行试点项目收益专项债券付息支出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3070</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3070</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100.79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债务发行费用支出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266.67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地方政府专项债务发行费用支出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24</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266.67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政府收费公路专项债券发行费用支出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25.00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其他地方自行试点项目收益专项债券发行费用支出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6</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120.00 </w:t>
            </w: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31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其他政府性基金债务发行费用支出</w:t>
            </w:r>
          </w:p>
        </w:tc>
        <w:tc>
          <w:tcPr>
            <w:tcW w:w="196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w:t>
            </w:r>
          </w:p>
        </w:tc>
        <w:tc>
          <w:tcPr>
            <w:tcW w:w="14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17</w:t>
            </w:r>
          </w:p>
        </w:tc>
        <w:tc>
          <w:tcPr>
            <w:tcW w:w="155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100.00 </w:t>
            </w:r>
          </w:p>
        </w:tc>
        <w:tc>
          <w:tcPr>
            <w:tcW w:w="1682"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12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sz w:val="24"/>
                <w:szCs w:val="24"/>
                <w:u w:val="none"/>
              </w:rPr>
            </w:pPr>
          </w:p>
        </w:tc>
      </w:tr>
    </w:tbl>
    <w:p>
      <w:pPr>
        <w:pStyle w:val="2"/>
      </w:pPr>
    </w:p>
    <w:p/>
    <w:p>
      <w:pPr>
        <w:pStyle w:val="2"/>
      </w:pPr>
    </w:p>
    <w:p/>
    <w:p>
      <w:pPr>
        <w:pStyle w:val="2"/>
      </w:pPr>
    </w:p>
    <w:p/>
    <w:p>
      <w:pPr>
        <w:pStyle w:val="2"/>
      </w:pPr>
    </w:p>
    <w:p/>
    <w:p>
      <w:pPr>
        <w:pStyle w:val="2"/>
      </w:pPr>
    </w:p>
    <w:p/>
    <w:p>
      <w:pPr>
        <w:pStyle w:val="2"/>
      </w:pPr>
    </w:p>
    <w:tbl>
      <w:tblPr>
        <w:tblStyle w:val="9"/>
        <w:tblW w:w="13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72"/>
        <w:gridCol w:w="841"/>
        <w:gridCol w:w="3826"/>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0" w:hRule="atLeast"/>
          <w:tblHeader/>
        </w:trPr>
        <w:tc>
          <w:tcPr>
            <w:tcW w:w="13213"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汾阳市二〇二四年政府性基金预算转移性收支平衡</w:t>
            </w:r>
            <w:r>
              <w:rPr>
                <w:rFonts w:hint="eastAsia" w:ascii="宋体" w:hAnsi="宋体" w:cs="宋体"/>
                <w:b/>
                <w:i w:val="0"/>
                <w:color w:val="000000"/>
                <w:kern w:val="0"/>
                <w:sz w:val="32"/>
                <w:szCs w:val="32"/>
                <w:u w:val="none"/>
                <w:lang w:val="en-US" w:eastAsia="zh-CN" w:bidi="ar"/>
              </w:rPr>
              <w:t>情况</w:t>
            </w:r>
            <w:r>
              <w:rPr>
                <w:rFonts w:hint="eastAsia" w:ascii="宋体" w:hAnsi="宋体" w:eastAsia="宋体" w:cs="宋体"/>
                <w:b/>
                <w:i w:val="0"/>
                <w:color w:val="000000"/>
                <w:kern w:val="0"/>
                <w:sz w:val="32"/>
                <w:szCs w:val="32"/>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71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附表八</w:t>
            </w:r>
          </w:p>
        </w:tc>
        <w:tc>
          <w:tcPr>
            <w:tcW w:w="841" w:type="dxa"/>
            <w:shd w:val="clear" w:color="auto" w:fill="auto"/>
            <w:vAlign w:val="center"/>
          </w:tcPr>
          <w:p>
            <w:pPr>
              <w:jc w:val="center"/>
              <w:rPr>
                <w:rFonts w:hint="eastAsia" w:ascii="宋体" w:hAnsi="宋体" w:eastAsia="宋体" w:cs="宋体"/>
                <w:i w:val="0"/>
                <w:color w:val="000000"/>
                <w:sz w:val="24"/>
                <w:szCs w:val="24"/>
                <w:u w:val="none"/>
              </w:rPr>
            </w:pPr>
          </w:p>
        </w:tc>
        <w:tc>
          <w:tcPr>
            <w:tcW w:w="3826" w:type="dxa"/>
            <w:shd w:val="clear" w:color="auto" w:fill="auto"/>
            <w:vAlign w:val="center"/>
          </w:tcPr>
          <w:p>
            <w:pPr>
              <w:jc w:val="both"/>
              <w:rPr>
                <w:rFonts w:hint="eastAsia" w:ascii="宋体" w:hAnsi="宋体" w:eastAsia="宋体" w:cs="宋体"/>
                <w:i w:val="0"/>
                <w:color w:val="000000"/>
                <w:sz w:val="24"/>
                <w:szCs w:val="24"/>
                <w:u w:val="none"/>
              </w:rPr>
            </w:pPr>
          </w:p>
        </w:tc>
        <w:tc>
          <w:tcPr>
            <w:tcW w:w="13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blHeader/>
        </w:trPr>
        <w:tc>
          <w:tcPr>
            <w:tcW w:w="7172"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84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决算数</w:t>
            </w:r>
          </w:p>
        </w:tc>
        <w:tc>
          <w:tcPr>
            <w:tcW w:w="3826"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37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政府性基金预算收入</w:t>
            </w:r>
          </w:p>
        </w:tc>
        <w:tc>
          <w:tcPr>
            <w:tcW w:w="84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42881 </w:t>
            </w:r>
          </w:p>
        </w:tc>
        <w:tc>
          <w:tcPr>
            <w:tcW w:w="382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政府性基金预算支出</w:t>
            </w:r>
          </w:p>
        </w:tc>
        <w:tc>
          <w:tcPr>
            <w:tcW w:w="137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53776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政府性基金预算上级补助收入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1757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政府性基金预算补助下级支出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政府性基金转移支付收入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1757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政府性基金转移支付支出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科学技术</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科学技术</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文化旅游体育与传媒</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11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文化旅游体育与传媒</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社会保障和就业</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社会保障和就业</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节能环保</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节能环保</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城乡社区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农林水</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93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农林水</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交通运输</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交通运输</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资源勘探工业信息等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资源勘探工业信息等</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自然资源海洋气象等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自然资源海洋气象等</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超长期特别国债转移支付收入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309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超长期特别国债转移支付支出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1344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政府性基金预算下级上解收入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政府性基金预算上解上级支出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抗疫特别国债还本上解收入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抗疫特别国债还本上解支出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超长期特别国债还本上解收入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超长期特别国债还本上解支出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其他政府性基金上解收入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其他政府性基金上解支出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待偿债再融资专项债券上年结余</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政府性基金预算上年结余收入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12206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政府性基金预算调入资金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24209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政府性基金预算调出资金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中央单位特殊上缴利润专项收入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其他调入政府性基金预算资金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24209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从一般公共预算调入用于补充超长期特别国债偿债备付金的资金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从一般公共预算调入用于偿还超长期特别国债本金的资金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从一般公共预算调入的其他资金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从国有资本经营预算调入用于补充超长期特别国债偿债备付金的资金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从国有资本经营预算调入用于偿还超长期特别国债本金的资金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其他调入资金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24209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债务收入</w:t>
            </w:r>
          </w:p>
        </w:tc>
        <w:tc>
          <w:tcPr>
            <w:tcW w:w="84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债务还本支出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39897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中央政府债务收入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地方政府专项债务还本支出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39897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超长期特别国债收入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抗疫特别国债还本支出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地方政府债务收入</w:t>
            </w:r>
          </w:p>
        </w:tc>
        <w:tc>
          <w:tcPr>
            <w:tcW w:w="84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超长期特别国债还本支出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专项债务收入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债务转贷支出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债务转贷收入</w:t>
            </w:r>
          </w:p>
        </w:tc>
        <w:tc>
          <w:tcPr>
            <w:tcW w:w="84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25547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地方政府专项债务转贷收入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25547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政府性基金预算省补助计划单列市收入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政府性基金预算省补助计划单列市支出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政府性基金预算计划单列市上解省收入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政府性基金预算计划单列市上解省支出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动用偿债备付金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偿债备付金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动用超长期特别国债偿债备付金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  安排超长期特别国债偿债备付金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待偿债再融资专项债券结余</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44444"/>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444444"/>
                <w:sz w:val="24"/>
                <w:szCs w:val="24"/>
                <w:u w:val="none"/>
              </w:rPr>
            </w:pP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政府性基金预算年终结余</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10949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收　　入　　总　　计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106600 </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444444"/>
                <w:sz w:val="24"/>
                <w:szCs w:val="24"/>
                <w:u w:val="none"/>
              </w:rPr>
            </w:pPr>
            <w:r>
              <w:rPr>
                <w:rFonts w:hint="eastAsia" w:ascii="宋体" w:hAnsi="宋体" w:eastAsia="宋体" w:cs="宋体"/>
                <w:b/>
                <w:i w:val="0"/>
                <w:color w:val="444444"/>
                <w:kern w:val="0"/>
                <w:sz w:val="24"/>
                <w:szCs w:val="24"/>
                <w:u w:val="none"/>
                <w:lang w:val="en-US" w:eastAsia="zh-CN" w:bidi="ar"/>
              </w:rPr>
              <w:t>支　　出　　总　　计　</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 xml:space="preserve">106600 </w:t>
            </w:r>
          </w:p>
        </w:tc>
      </w:tr>
    </w:tbl>
    <w:p/>
    <w:p>
      <w:pPr>
        <w:pStyle w:val="2"/>
      </w:pPr>
    </w:p>
    <w:p/>
    <w:p>
      <w:pPr>
        <w:pStyle w:val="2"/>
      </w:pPr>
    </w:p>
    <w:tbl>
      <w:tblPr>
        <w:tblStyle w:val="9"/>
        <w:tblW w:w="13725" w:type="dxa"/>
        <w:jc w:val="center"/>
        <w:tblInd w:w="0" w:type="dxa"/>
        <w:shd w:val="clear" w:color="auto" w:fill="auto"/>
        <w:tblLayout w:type="fixed"/>
        <w:tblCellMar>
          <w:top w:w="0" w:type="dxa"/>
          <w:left w:w="0" w:type="dxa"/>
          <w:bottom w:w="0" w:type="dxa"/>
          <w:right w:w="0" w:type="dxa"/>
        </w:tblCellMar>
      </w:tblPr>
      <w:tblGrid>
        <w:gridCol w:w="5059"/>
        <w:gridCol w:w="2226"/>
        <w:gridCol w:w="1695"/>
        <w:gridCol w:w="1495"/>
        <w:gridCol w:w="1895"/>
        <w:gridCol w:w="1355"/>
      </w:tblGrid>
      <w:tr>
        <w:tblPrEx>
          <w:shd w:val="clear" w:color="auto" w:fill="auto"/>
          <w:tblLayout w:type="fixed"/>
          <w:tblCellMar>
            <w:top w:w="0" w:type="dxa"/>
            <w:left w:w="0" w:type="dxa"/>
            <w:bottom w:w="0" w:type="dxa"/>
            <w:right w:w="0" w:type="dxa"/>
          </w:tblCellMar>
        </w:tblPrEx>
        <w:trPr>
          <w:trHeight w:val="680" w:hRule="atLeast"/>
          <w:tblHeader/>
          <w:jc w:val="center"/>
        </w:trPr>
        <w:tc>
          <w:tcPr>
            <w:tcW w:w="1372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汾阳市二〇二</w:t>
            </w:r>
            <w:r>
              <w:rPr>
                <w:rFonts w:hint="eastAsia" w:ascii="宋体" w:hAnsi="宋体" w:cs="宋体"/>
                <w:b/>
                <w:i w:val="0"/>
                <w:color w:val="000000"/>
                <w:kern w:val="0"/>
                <w:sz w:val="32"/>
                <w:szCs w:val="32"/>
                <w:u w:val="none"/>
                <w:lang w:val="en-US" w:eastAsia="zh-CN" w:bidi="ar"/>
              </w:rPr>
              <w:t>四</w:t>
            </w:r>
            <w:r>
              <w:rPr>
                <w:rFonts w:hint="eastAsia" w:ascii="宋体" w:hAnsi="宋体" w:eastAsia="宋体" w:cs="宋体"/>
                <w:b/>
                <w:i w:val="0"/>
                <w:color w:val="000000"/>
                <w:kern w:val="0"/>
                <w:sz w:val="32"/>
                <w:szCs w:val="32"/>
                <w:u w:val="none"/>
                <w:lang w:val="en-US" w:eastAsia="zh-CN" w:bidi="ar"/>
              </w:rPr>
              <w:t>年国有资本经营预算收支执行情况表</w:t>
            </w:r>
          </w:p>
        </w:tc>
      </w:tr>
      <w:tr>
        <w:tblPrEx>
          <w:tblLayout w:type="fixed"/>
          <w:tblCellMar>
            <w:top w:w="0" w:type="dxa"/>
            <w:left w:w="0" w:type="dxa"/>
            <w:bottom w:w="0" w:type="dxa"/>
            <w:right w:w="0" w:type="dxa"/>
          </w:tblCellMar>
        </w:tblPrEx>
        <w:trPr>
          <w:trHeight w:val="680" w:hRule="atLeast"/>
          <w:tblHeader/>
          <w:jc w:val="center"/>
        </w:trPr>
        <w:tc>
          <w:tcPr>
            <w:tcW w:w="50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附表九</w:t>
            </w:r>
          </w:p>
        </w:tc>
        <w:tc>
          <w:tcPr>
            <w:tcW w:w="222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Layout w:type="fixed"/>
          <w:tblCellMar>
            <w:top w:w="0" w:type="dxa"/>
            <w:left w:w="0" w:type="dxa"/>
            <w:bottom w:w="0" w:type="dxa"/>
            <w:right w:w="0" w:type="dxa"/>
          </w:tblCellMar>
        </w:tblPrEx>
        <w:trPr>
          <w:trHeight w:val="680" w:hRule="atLeast"/>
          <w:tblHeader/>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w:t>
            </w:r>
            <w:r>
              <w:rPr>
                <w:rFonts w:hint="eastAsia" w:ascii="宋体" w:hAnsi="宋体" w:cs="宋体"/>
                <w:b/>
                <w:i w:val="0"/>
                <w:color w:val="000000"/>
                <w:kern w:val="0"/>
                <w:sz w:val="24"/>
                <w:szCs w:val="24"/>
                <w:u w:val="none"/>
                <w:lang w:val="en-US" w:eastAsia="zh-CN" w:bidi="ar"/>
              </w:rPr>
              <w:t>4</w:t>
            </w:r>
            <w:r>
              <w:rPr>
                <w:rFonts w:hint="eastAsia" w:ascii="宋体" w:hAnsi="宋体" w:eastAsia="宋体" w:cs="宋体"/>
                <w:b/>
                <w:i w:val="0"/>
                <w:color w:val="000000"/>
                <w:kern w:val="0"/>
                <w:sz w:val="24"/>
                <w:szCs w:val="24"/>
                <w:u w:val="none"/>
                <w:lang w:val="en-US" w:eastAsia="zh-CN" w:bidi="ar"/>
              </w:rPr>
              <w:t>年调整预算数</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w:t>
            </w:r>
            <w:r>
              <w:rPr>
                <w:rFonts w:hint="eastAsia" w:ascii="宋体" w:hAnsi="宋体" w:cs="宋体"/>
                <w:b/>
                <w:i w:val="0"/>
                <w:color w:val="000000"/>
                <w:kern w:val="0"/>
                <w:sz w:val="24"/>
                <w:szCs w:val="24"/>
                <w:u w:val="none"/>
                <w:lang w:val="en-US" w:eastAsia="zh-CN" w:bidi="ar"/>
              </w:rPr>
              <w:t>4</w:t>
            </w:r>
            <w:r>
              <w:rPr>
                <w:rFonts w:hint="eastAsia" w:ascii="宋体" w:hAnsi="宋体" w:eastAsia="宋体" w:cs="宋体"/>
                <w:b/>
                <w:i w:val="0"/>
                <w:color w:val="000000"/>
                <w:kern w:val="0"/>
                <w:sz w:val="24"/>
                <w:szCs w:val="24"/>
                <w:u w:val="none"/>
                <w:lang w:val="en-US" w:eastAsia="zh-CN" w:bidi="ar"/>
              </w:rPr>
              <w:t>年执行数</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为调整预算%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为202</w:t>
            </w:r>
            <w:r>
              <w:rPr>
                <w:rFonts w:hint="eastAsia" w:ascii="宋体" w:hAnsi="宋体" w:cs="宋体"/>
                <w:b/>
                <w:i w:val="0"/>
                <w:color w:val="000000"/>
                <w:kern w:val="0"/>
                <w:sz w:val="24"/>
                <w:szCs w:val="24"/>
                <w:u w:val="none"/>
                <w:lang w:val="en-US" w:eastAsia="zh-CN" w:bidi="ar"/>
              </w:rPr>
              <w:t>3</w:t>
            </w:r>
            <w:r>
              <w:rPr>
                <w:rFonts w:hint="eastAsia" w:ascii="宋体" w:hAnsi="宋体" w:eastAsia="宋体" w:cs="宋体"/>
                <w:b/>
                <w:i w:val="0"/>
                <w:color w:val="000000"/>
                <w:kern w:val="0"/>
                <w:sz w:val="24"/>
                <w:szCs w:val="24"/>
                <w:u w:val="none"/>
                <w:lang w:val="en-US" w:eastAsia="zh-CN" w:bidi="ar"/>
              </w:rPr>
              <w:t>年决算%</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国有资本经营预算收入</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非税收入</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国有资本经营收入</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利润收入</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股利、股息收入</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产权转让收入</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清算收入</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其他国有资本经营预算收入</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国有资本经营预算支出</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95.74</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国有资本经营预算支出</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95.74</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444444"/>
                <w:kern w:val="0"/>
                <w:sz w:val="24"/>
                <w:szCs w:val="24"/>
                <w:u w:val="none"/>
                <w:lang w:val="en-US" w:eastAsia="zh-CN" w:bidi="ar"/>
              </w:rPr>
              <w:t>解决历史遗留问题及改革成本支出</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95.74</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444444"/>
                <w:kern w:val="0"/>
                <w:sz w:val="24"/>
                <w:szCs w:val="24"/>
                <w:u w:val="none"/>
                <w:lang w:val="en-US" w:eastAsia="zh-CN" w:bidi="ar"/>
              </w:rPr>
              <w:t>三供一业”移交补助支出</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0.00</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jc w:val="center"/>
        </w:trPr>
        <w:tc>
          <w:tcPr>
            <w:tcW w:w="5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444444"/>
                <w:kern w:val="0"/>
                <w:sz w:val="24"/>
                <w:szCs w:val="24"/>
                <w:u w:val="none"/>
                <w:lang w:val="en-US" w:eastAsia="zh-CN" w:bidi="ar"/>
              </w:rPr>
              <w:t>国有企业退休人员社会化管理补助支出</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100.00</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
      <w:pPr>
        <w:pStyle w:val="2"/>
      </w:pPr>
    </w:p>
    <w:p/>
    <w:p>
      <w:pPr>
        <w:pStyle w:val="2"/>
      </w:pPr>
    </w:p>
    <w:p/>
    <w:p>
      <w:pPr>
        <w:pStyle w:val="2"/>
      </w:pPr>
    </w:p>
    <w:p/>
    <w:p>
      <w:pPr>
        <w:pStyle w:val="2"/>
      </w:pPr>
    </w:p>
    <w:p/>
    <w:tbl>
      <w:tblPr>
        <w:tblStyle w:val="9"/>
        <w:tblW w:w="13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01"/>
        <w:gridCol w:w="1299"/>
        <w:gridCol w:w="1300"/>
        <w:gridCol w:w="1229"/>
        <w:gridCol w:w="2601"/>
        <w:gridCol w:w="1654"/>
        <w:gridCol w:w="1300"/>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atLeast"/>
          <w:tblHeader/>
        </w:trPr>
        <w:tc>
          <w:tcPr>
            <w:tcW w:w="13213"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汾阳市二〇二四年社会保险基金收支执行情况表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blHeader/>
        </w:trPr>
        <w:tc>
          <w:tcPr>
            <w:tcW w:w="260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附表十</w:t>
            </w:r>
          </w:p>
        </w:tc>
        <w:tc>
          <w:tcPr>
            <w:tcW w:w="1299" w:type="dxa"/>
            <w:shd w:val="clear" w:color="auto" w:fill="auto"/>
            <w:vAlign w:val="center"/>
          </w:tcPr>
          <w:p>
            <w:pPr>
              <w:jc w:val="center"/>
              <w:rPr>
                <w:rFonts w:hint="eastAsia" w:ascii="宋体" w:hAnsi="宋体" w:eastAsia="宋体" w:cs="宋体"/>
                <w:i w:val="0"/>
                <w:color w:val="000000"/>
                <w:sz w:val="24"/>
                <w:szCs w:val="24"/>
                <w:u w:val="none"/>
              </w:rPr>
            </w:pPr>
          </w:p>
        </w:tc>
        <w:tc>
          <w:tcPr>
            <w:tcW w:w="1300" w:type="dxa"/>
            <w:shd w:val="clear" w:color="auto" w:fill="auto"/>
            <w:vAlign w:val="center"/>
          </w:tcPr>
          <w:p>
            <w:pPr>
              <w:jc w:val="center"/>
              <w:rPr>
                <w:rFonts w:hint="eastAsia" w:ascii="宋体" w:hAnsi="宋体" w:eastAsia="宋体" w:cs="宋体"/>
                <w:i w:val="0"/>
                <w:color w:val="000000"/>
                <w:sz w:val="24"/>
                <w:szCs w:val="24"/>
                <w:u w:val="none"/>
              </w:rPr>
            </w:pPr>
          </w:p>
        </w:tc>
        <w:tc>
          <w:tcPr>
            <w:tcW w:w="1229" w:type="dxa"/>
            <w:shd w:val="clear" w:color="auto" w:fill="auto"/>
            <w:vAlign w:val="center"/>
          </w:tcPr>
          <w:p>
            <w:pPr>
              <w:jc w:val="center"/>
              <w:rPr>
                <w:rFonts w:hint="eastAsia" w:ascii="宋体" w:hAnsi="宋体" w:eastAsia="宋体" w:cs="宋体"/>
                <w:i w:val="0"/>
                <w:color w:val="000000"/>
                <w:sz w:val="24"/>
                <w:szCs w:val="24"/>
                <w:u w:val="none"/>
              </w:rPr>
            </w:pPr>
          </w:p>
        </w:tc>
        <w:tc>
          <w:tcPr>
            <w:tcW w:w="2601" w:type="dxa"/>
            <w:shd w:val="clear" w:color="auto" w:fill="auto"/>
            <w:vAlign w:val="center"/>
          </w:tcPr>
          <w:p>
            <w:pPr>
              <w:jc w:val="center"/>
              <w:rPr>
                <w:rFonts w:hint="eastAsia" w:ascii="宋体" w:hAnsi="宋体" w:eastAsia="宋体" w:cs="宋体"/>
                <w:i w:val="0"/>
                <w:color w:val="000000"/>
                <w:sz w:val="24"/>
                <w:szCs w:val="24"/>
                <w:u w:val="none"/>
              </w:rPr>
            </w:pPr>
          </w:p>
        </w:tc>
        <w:tc>
          <w:tcPr>
            <w:tcW w:w="1654" w:type="dxa"/>
            <w:shd w:val="clear" w:color="auto" w:fill="auto"/>
            <w:vAlign w:val="center"/>
          </w:tcPr>
          <w:p>
            <w:pPr>
              <w:jc w:val="both"/>
              <w:rPr>
                <w:rFonts w:hint="eastAsia" w:ascii="宋体" w:hAnsi="宋体" w:eastAsia="宋体" w:cs="宋体"/>
                <w:i w:val="0"/>
                <w:color w:val="000000"/>
                <w:sz w:val="24"/>
                <w:szCs w:val="24"/>
                <w:u w:val="none"/>
              </w:rPr>
            </w:pPr>
          </w:p>
        </w:tc>
        <w:tc>
          <w:tcPr>
            <w:tcW w:w="1300" w:type="dxa"/>
            <w:shd w:val="clear" w:color="auto" w:fill="auto"/>
            <w:vAlign w:val="center"/>
          </w:tcPr>
          <w:p>
            <w:pPr>
              <w:jc w:val="both"/>
              <w:rPr>
                <w:rFonts w:hint="eastAsia" w:ascii="宋体" w:hAnsi="宋体" w:eastAsia="宋体" w:cs="宋体"/>
                <w:i w:val="0"/>
                <w:color w:val="000000"/>
                <w:sz w:val="24"/>
                <w:szCs w:val="24"/>
                <w:u w:val="none"/>
              </w:rPr>
            </w:pPr>
          </w:p>
        </w:tc>
        <w:tc>
          <w:tcPr>
            <w:tcW w:w="12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blHeader/>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收入项目</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2024年预算数</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2024年执行数</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执行为预算%</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支出项目</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2024年预算数</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2024年执行数</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执行为预算%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城乡居民基本养老保险基金</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16849</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305</w:t>
            </w:r>
            <w:r>
              <w:rPr>
                <w:rFonts w:hint="eastAsia" w:ascii="宋体" w:hAnsi="宋体" w:cs="宋体"/>
                <w:i w:val="0"/>
                <w:color w:val="444444"/>
                <w:kern w:val="0"/>
                <w:sz w:val="24"/>
                <w:szCs w:val="24"/>
                <w:u w:val="none"/>
                <w:lang w:val="en-US" w:eastAsia="zh-CN" w:bidi="ar"/>
              </w:rPr>
              <w:t>90</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181.55%</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444444"/>
                <w:kern w:val="0"/>
                <w:sz w:val="24"/>
                <w:szCs w:val="24"/>
                <w:u w:val="none"/>
                <w:lang w:val="en-US" w:eastAsia="zh-CN" w:bidi="ar"/>
              </w:rPr>
              <w:t>城乡居民基本养老保险基金</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15707</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17055</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444444"/>
                <w:kern w:val="0"/>
                <w:sz w:val="24"/>
                <w:szCs w:val="24"/>
                <w:u w:val="none"/>
                <w:lang w:val="en-US" w:eastAsia="zh-CN" w:bidi="ar"/>
              </w:rPr>
              <w:t>其中:社会保险费收入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2811</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14492</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515.55%</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其中:社会保险待遇支出</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15704</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17051</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财政补贴收入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11965</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13426</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112.21%</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转移支出</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4</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利息收入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757</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677</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89.43%</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其他支出</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委托投资收益</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1291</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1912</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148.10%</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全国统筹调剂资金支出</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转移收入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50</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kern w:val="0"/>
                <w:sz w:val="24"/>
                <w:szCs w:val="24"/>
                <w:u w:val="none"/>
                <w:lang w:val="en-US" w:eastAsia="zh-CN" w:bidi="ar"/>
              </w:rPr>
            </w:pP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其他收入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8</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6</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75.00%</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全国统筹调剂资金收入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center"/>
              <w:rPr>
                <w:rFonts w:hint="eastAsia" w:ascii="宋体" w:hAnsi="宋体" w:eastAsia="宋体" w:cs="宋体"/>
                <w:i w:val="0"/>
                <w:color w:val="444444"/>
                <w:kern w:val="0"/>
                <w:sz w:val="24"/>
                <w:szCs w:val="24"/>
                <w:u w:val="none"/>
                <w:lang w:val="en-US" w:eastAsia="zh-CN" w:bidi="ar"/>
              </w:rPr>
            </w:pP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机关事业单位基本养老保险基金</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44433</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44557</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100.28%</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机关事业单位基本养老保险基金</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39554</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40411</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其中:社会保险费收入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16823</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16553</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98.40%</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其中:社会保险待遇支出</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39542</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40306</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财政补贴收入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26500</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26910</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101.55%</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转移支出</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12</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24</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利息收入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800</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869</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108.63%</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其他支出</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81</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委托投资收益</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全国统筹调剂资金支出</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转移收入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300</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175</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58.33%</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其他收入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49</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490.00%</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 xml:space="preserve">        全国统筹调剂资金收入</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社会保险基金预算收入合计</w:t>
            </w:r>
          </w:p>
        </w:tc>
        <w:tc>
          <w:tcPr>
            <w:tcW w:w="129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61282</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75146</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122.62%</w:t>
            </w:r>
          </w:p>
        </w:tc>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社会保险基金预算支出合计</w:t>
            </w:r>
          </w:p>
        </w:tc>
        <w:tc>
          <w:tcPr>
            <w:tcW w:w="1654"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5</w:t>
            </w:r>
            <w:bookmarkStart w:id="0" w:name="_GoBack"/>
            <w:bookmarkEnd w:id="0"/>
            <w:r>
              <w:rPr>
                <w:rFonts w:hint="eastAsia" w:ascii="宋体" w:hAnsi="宋体" w:eastAsia="宋体" w:cs="宋体"/>
                <w:i w:val="0"/>
                <w:color w:val="444444"/>
                <w:kern w:val="0"/>
                <w:sz w:val="24"/>
                <w:szCs w:val="24"/>
                <w:u w:val="none"/>
                <w:lang w:val="en-US" w:eastAsia="zh-CN" w:bidi="ar"/>
              </w:rPr>
              <w:t>5261</w:t>
            </w:r>
          </w:p>
        </w:tc>
        <w:tc>
          <w:tcPr>
            <w:tcW w:w="1300"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57466</w:t>
            </w:r>
          </w:p>
        </w:tc>
        <w:tc>
          <w:tcPr>
            <w:tcW w:w="1229"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本年收支结余</w:t>
            </w:r>
          </w:p>
        </w:tc>
        <w:tc>
          <w:tcPr>
            <w:tcW w:w="10612" w:type="dxa"/>
            <w:gridSpan w:val="7"/>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1768</w:t>
            </w:r>
            <w:r>
              <w:rPr>
                <w:rFonts w:hint="eastAsia" w:ascii="宋体" w:hAnsi="宋体" w:cs="宋体"/>
                <w:i w:val="0"/>
                <w:color w:val="444444"/>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2601" w:type="dxa"/>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年末滚存结余</w:t>
            </w:r>
          </w:p>
        </w:tc>
        <w:tc>
          <w:tcPr>
            <w:tcW w:w="10612" w:type="dxa"/>
            <w:gridSpan w:val="7"/>
            <w:tcBorders>
              <w:top w:val="single" w:color="444444" w:sz="4" w:space="0"/>
              <w:left w:val="single" w:color="444444" w:sz="4" w:space="0"/>
              <w:bottom w:val="single" w:color="444444" w:sz="4" w:space="0"/>
              <w:right w:val="single" w:color="44444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124481</w:t>
            </w:r>
          </w:p>
        </w:tc>
      </w:tr>
    </w:tbl>
    <w:p>
      <w:pPr>
        <w:pStyle w:val="2"/>
      </w:pPr>
    </w:p>
    <w:tbl>
      <w:tblPr>
        <w:tblStyle w:val="9"/>
        <w:tblW w:w="132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37"/>
        <w:gridCol w:w="752"/>
        <w:gridCol w:w="752"/>
        <w:gridCol w:w="957"/>
        <w:gridCol w:w="1495"/>
        <w:gridCol w:w="1532"/>
        <w:gridCol w:w="1328"/>
        <w:gridCol w:w="752"/>
        <w:gridCol w:w="957"/>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0" w:hRule="atLeast"/>
        </w:trPr>
        <w:tc>
          <w:tcPr>
            <w:tcW w:w="13209" w:type="dxa"/>
            <w:gridSpan w:val="10"/>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汾阳市二〇二四年地方政府债务余额情况表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33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附表十一</w:t>
            </w:r>
          </w:p>
        </w:tc>
        <w:tc>
          <w:tcPr>
            <w:tcW w:w="752" w:type="dxa"/>
            <w:shd w:val="clear" w:color="auto" w:fill="auto"/>
            <w:vAlign w:val="center"/>
          </w:tcPr>
          <w:p>
            <w:pPr>
              <w:jc w:val="both"/>
              <w:rPr>
                <w:rFonts w:hint="eastAsia" w:ascii="宋体" w:hAnsi="宋体" w:eastAsia="宋体" w:cs="宋体"/>
                <w:i w:val="0"/>
                <w:color w:val="000000"/>
                <w:sz w:val="24"/>
                <w:szCs w:val="24"/>
                <w:u w:val="none"/>
              </w:rPr>
            </w:pPr>
          </w:p>
        </w:tc>
        <w:tc>
          <w:tcPr>
            <w:tcW w:w="752" w:type="dxa"/>
            <w:shd w:val="clear" w:color="auto" w:fill="auto"/>
            <w:vAlign w:val="center"/>
          </w:tcPr>
          <w:p>
            <w:pPr>
              <w:jc w:val="both"/>
              <w:rPr>
                <w:rFonts w:hint="eastAsia" w:ascii="宋体" w:hAnsi="宋体" w:eastAsia="宋体" w:cs="宋体"/>
                <w:i w:val="0"/>
                <w:color w:val="000000"/>
                <w:sz w:val="24"/>
                <w:szCs w:val="24"/>
                <w:u w:val="none"/>
              </w:rPr>
            </w:pPr>
          </w:p>
        </w:tc>
        <w:tc>
          <w:tcPr>
            <w:tcW w:w="957" w:type="dxa"/>
            <w:shd w:val="clear" w:color="auto" w:fill="auto"/>
            <w:vAlign w:val="center"/>
          </w:tcPr>
          <w:p>
            <w:pPr>
              <w:jc w:val="both"/>
              <w:rPr>
                <w:rFonts w:hint="eastAsia" w:ascii="宋体" w:hAnsi="宋体" w:eastAsia="宋体" w:cs="宋体"/>
                <w:i w:val="0"/>
                <w:color w:val="000000"/>
                <w:sz w:val="24"/>
                <w:szCs w:val="24"/>
                <w:u w:val="none"/>
              </w:rPr>
            </w:pPr>
          </w:p>
        </w:tc>
        <w:tc>
          <w:tcPr>
            <w:tcW w:w="1495" w:type="dxa"/>
            <w:shd w:val="clear" w:color="auto" w:fill="auto"/>
            <w:vAlign w:val="center"/>
          </w:tcPr>
          <w:p>
            <w:pPr>
              <w:jc w:val="both"/>
              <w:rPr>
                <w:rFonts w:hint="eastAsia" w:ascii="宋体" w:hAnsi="宋体" w:eastAsia="宋体" w:cs="宋体"/>
                <w:i w:val="0"/>
                <w:color w:val="000000"/>
                <w:sz w:val="24"/>
                <w:szCs w:val="24"/>
                <w:u w:val="none"/>
              </w:rPr>
            </w:pPr>
          </w:p>
        </w:tc>
        <w:tc>
          <w:tcPr>
            <w:tcW w:w="1532" w:type="dxa"/>
            <w:shd w:val="clear" w:color="auto" w:fill="auto"/>
            <w:vAlign w:val="center"/>
          </w:tcPr>
          <w:p>
            <w:pPr>
              <w:jc w:val="both"/>
              <w:rPr>
                <w:rFonts w:hint="eastAsia" w:ascii="宋体" w:hAnsi="宋体" w:eastAsia="宋体" w:cs="宋体"/>
                <w:i w:val="0"/>
                <w:color w:val="000000"/>
                <w:sz w:val="24"/>
                <w:szCs w:val="24"/>
                <w:u w:val="none"/>
              </w:rPr>
            </w:pPr>
          </w:p>
        </w:tc>
        <w:tc>
          <w:tcPr>
            <w:tcW w:w="1328" w:type="dxa"/>
            <w:shd w:val="clear" w:color="auto" w:fill="auto"/>
            <w:vAlign w:val="center"/>
          </w:tcPr>
          <w:p>
            <w:pPr>
              <w:jc w:val="both"/>
              <w:rPr>
                <w:rFonts w:hint="eastAsia" w:ascii="宋体" w:hAnsi="宋体" w:eastAsia="宋体" w:cs="宋体"/>
                <w:i w:val="0"/>
                <w:color w:val="000000"/>
                <w:sz w:val="24"/>
                <w:szCs w:val="24"/>
                <w:u w:val="none"/>
              </w:rPr>
            </w:pPr>
          </w:p>
        </w:tc>
        <w:tc>
          <w:tcPr>
            <w:tcW w:w="752" w:type="dxa"/>
            <w:shd w:val="clear" w:color="auto" w:fill="auto"/>
            <w:vAlign w:val="center"/>
          </w:tcPr>
          <w:p>
            <w:pPr>
              <w:jc w:val="both"/>
              <w:rPr>
                <w:rFonts w:hint="eastAsia" w:ascii="宋体" w:hAnsi="宋体" w:eastAsia="宋体" w:cs="宋体"/>
                <w:i w:val="0"/>
                <w:color w:val="000000"/>
                <w:sz w:val="24"/>
                <w:szCs w:val="24"/>
                <w:u w:val="none"/>
              </w:rPr>
            </w:pPr>
          </w:p>
        </w:tc>
        <w:tc>
          <w:tcPr>
            <w:tcW w:w="957" w:type="dxa"/>
            <w:shd w:val="clear" w:color="auto" w:fill="auto"/>
            <w:vAlign w:val="center"/>
          </w:tcPr>
          <w:p>
            <w:pPr>
              <w:jc w:val="both"/>
              <w:rPr>
                <w:rFonts w:hint="eastAsia" w:ascii="宋体" w:hAnsi="宋体" w:eastAsia="宋体" w:cs="宋体"/>
                <w:i w:val="0"/>
                <w:color w:val="000000"/>
                <w:sz w:val="24"/>
                <w:szCs w:val="24"/>
                <w:u w:val="none"/>
              </w:rPr>
            </w:pPr>
          </w:p>
        </w:tc>
        <w:tc>
          <w:tcPr>
            <w:tcW w:w="134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3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项目</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合计</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一般债务</w:t>
            </w:r>
          </w:p>
        </w:tc>
        <w:tc>
          <w:tcPr>
            <w:tcW w:w="3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专项债务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3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val="0"/>
                <w:i w:val="0"/>
                <w:color w:val="444444"/>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val="0"/>
                <w:i w:val="0"/>
                <w:color w:val="444444"/>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小计</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一般债券</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向外国政府借款</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向国际组织借款</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其他一般债务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小计</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专项债券</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val="0"/>
                <w:i w:val="0"/>
                <w:color w:val="444444"/>
                <w:sz w:val="24"/>
                <w:szCs w:val="24"/>
                <w:u w:val="none"/>
              </w:rPr>
            </w:pPr>
            <w:r>
              <w:rPr>
                <w:rFonts w:hint="eastAsia" w:ascii="宋体" w:hAnsi="宋体" w:eastAsia="宋体" w:cs="宋体"/>
                <w:b/>
                <w:bCs w:val="0"/>
                <w:i w:val="0"/>
                <w:color w:val="444444"/>
                <w:kern w:val="0"/>
                <w:sz w:val="24"/>
                <w:szCs w:val="24"/>
                <w:u w:val="none"/>
                <w:lang w:val="en-US" w:eastAsia="zh-CN" w:bidi="ar"/>
              </w:rPr>
              <w:t>其他专项债务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上年末地方政府债务余额</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323278</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214627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203450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9238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1939</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108651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108651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本年地方政府债务余额限额(预算数)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349224</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215026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2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134198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本年地方政府债务(转贷)收入</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45647</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20100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20100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5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25547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6150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19397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本年地方政府债务还本支出</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62383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22486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22034</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61</w:t>
            </w:r>
          </w:p>
        </w:tc>
        <w:tc>
          <w:tcPr>
            <w:tcW w:w="13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391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39897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20500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19397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本年采用其他方式化解的债务本金</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-19221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176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176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-19397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-19397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年末地方政府债务余额</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325763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212065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201516</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9001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1548</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113698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113698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44444"/>
                <w:kern w:val="0"/>
                <w:sz w:val="24"/>
                <w:szCs w:val="24"/>
                <w:u w:val="none"/>
                <w:lang w:val="en-US" w:eastAsia="zh-CN" w:bidi="ar"/>
              </w:rPr>
            </w:pPr>
            <w:r>
              <w:rPr>
                <w:rFonts w:hint="eastAsia" w:ascii="宋体" w:hAnsi="宋体" w:eastAsia="宋体" w:cs="宋体"/>
                <w:i w:val="0"/>
                <w:color w:val="444444"/>
                <w:kern w:val="0"/>
                <w:sz w:val="24"/>
                <w:szCs w:val="24"/>
                <w:u w:val="none"/>
                <w:lang w:val="en-US" w:eastAsia="zh-CN" w:bidi="ar"/>
              </w:rPr>
              <w:t>0</w:t>
            </w:r>
          </w:p>
        </w:tc>
      </w:tr>
    </w:tbl>
    <w:p/>
    <w:sectPr>
      <w:pgSz w:w="16783" w:h="11850" w:orient="landscape"/>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roman"/>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7F9D"/>
    <w:rsid w:val="00310AF3"/>
    <w:rsid w:val="02D05ED8"/>
    <w:rsid w:val="041F6901"/>
    <w:rsid w:val="07F5129F"/>
    <w:rsid w:val="09ED274E"/>
    <w:rsid w:val="0A8E4466"/>
    <w:rsid w:val="0B713744"/>
    <w:rsid w:val="0D1A3FCF"/>
    <w:rsid w:val="1205001C"/>
    <w:rsid w:val="128A17E6"/>
    <w:rsid w:val="14ED48A8"/>
    <w:rsid w:val="16FC0241"/>
    <w:rsid w:val="17113DED"/>
    <w:rsid w:val="187D475E"/>
    <w:rsid w:val="19D70010"/>
    <w:rsid w:val="1A0D5B3C"/>
    <w:rsid w:val="1AEE3208"/>
    <w:rsid w:val="1B792EC3"/>
    <w:rsid w:val="1C203508"/>
    <w:rsid w:val="1EAF6BEF"/>
    <w:rsid w:val="1FB104DD"/>
    <w:rsid w:val="233B15C3"/>
    <w:rsid w:val="23D35EBF"/>
    <w:rsid w:val="295D6929"/>
    <w:rsid w:val="2B6A508E"/>
    <w:rsid w:val="30A407C6"/>
    <w:rsid w:val="31B43D3F"/>
    <w:rsid w:val="32D4595B"/>
    <w:rsid w:val="33931EDE"/>
    <w:rsid w:val="33CC190B"/>
    <w:rsid w:val="33F47BFD"/>
    <w:rsid w:val="34AE37CE"/>
    <w:rsid w:val="34D74183"/>
    <w:rsid w:val="36AD307F"/>
    <w:rsid w:val="3799725C"/>
    <w:rsid w:val="38AA4466"/>
    <w:rsid w:val="398D53F4"/>
    <w:rsid w:val="39D852DE"/>
    <w:rsid w:val="3F25035B"/>
    <w:rsid w:val="41B16E5A"/>
    <w:rsid w:val="43C46754"/>
    <w:rsid w:val="442E5A4C"/>
    <w:rsid w:val="45FE1826"/>
    <w:rsid w:val="46473E26"/>
    <w:rsid w:val="47B34DF1"/>
    <w:rsid w:val="48804494"/>
    <w:rsid w:val="48F74067"/>
    <w:rsid w:val="49E12E85"/>
    <w:rsid w:val="4A4F2C9A"/>
    <w:rsid w:val="4C9F074C"/>
    <w:rsid w:val="4DE57F5D"/>
    <w:rsid w:val="4EE85969"/>
    <w:rsid w:val="4FBD43F5"/>
    <w:rsid w:val="50C06FB1"/>
    <w:rsid w:val="53A40466"/>
    <w:rsid w:val="54104299"/>
    <w:rsid w:val="541E5F7F"/>
    <w:rsid w:val="56843921"/>
    <w:rsid w:val="57C471CA"/>
    <w:rsid w:val="57C9665B"/>
    <w:rsid w:val="58015F9F"/>
    <w:rsid w:val="595772E8"/>
    <w:rsid w:val="5CEF1E9F"/>
    <w:rsid w:val="5D9178DD"/>
    <w:rsid w:val="5F647BCC"/>
    <w:rsid w:val="5FAD1AFB"/>
    <w:rsid w:val="62BE7983"/>
    <w:rsid w:val="644D1557"/>
    <w:rsid w:val="6576156F"/>
    <w:rsid w:val="667708A8"/>
    <w:rsid w:val="67DF4E86"/>
    <w:rsid w:val="6A383E8F"/>
    <w:rsid w:val="6CC82D86"/>
    <w:rsid w:val="6DA731D0"/>
    <w:rsid w:val="6E5442D0"/>
    <w:rsid w:val="70B16222"/>
    <w:rsid w:val="717744B1"/>
    <w:rsid w:val="732C4DDF"/>
    <w:rsid w:val="76EB024E"/>
    <w:rsid w:val="7952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character" w:default="1" w:styleId="6">
    <w:name w:val="Default Paragraph Font"/>
    <w:link w:val="7"/>
    <w:semiHidden/>
    <w:uiPriority w:val="0"/>
    <w:rPr>
      <w:szCs w:val="20"/>
    </w:rPr>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 Char Char"/>
    <w:basedOn w:val="1"/>
    <w:link w:val="6"/>
    <w:qFormat/>
    <w:uiPriority w:val="0"/>
    <w:rPr>
      <w:szCs w:val="20"/>
    </w:rPr>
  </w:style>
  <w:style w:type="character" w:styleId="8">
    <w:name w:val="page number"/>
    <w:basedOn w:val="6"/>
    <w:qFormat/>
    <w:uiPriority w:val="0"/>
  </w:style>
  <w:style w:type="character" w:customStyle="1" w:styleId="10">
    <w:name w:val="font31"/>
    <w:basedOn w:val="6"/>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Company>
  <Pages>1</Pages>
  <Words>0</Words>
  <Characters>0</Characters>
  <Lines>0</Lines>
  <Paragraphs>0</Paragraphs>
  <TotalTime>1019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2025-06-26T08:14:00Z</dcterms:created>
  <dc:creator>Administrator</dc:creator>
  <cp:lastModifiedBy>Administrator</cp:lastModifiedBy>
  <dcterms:modified xsi:type="dcterms:W3CDTF">2025-07-09T01:33:52Z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