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ind w:left="0" w:leftChars="0" w:firstLine="0" w:firstLineChars="0"/>
        <w:rPr>
          <w:rFonts w:hint="eastAsia"/>
          <w:lang w:val="en-US" w:eastAsia="zh-CN"/>
        </w:rPr>
      </w:pPr>
      <w:r>
        <w:rPr>
          <w:rFonts w:hint="eastAsia"/>
          <w:lang w:val="en-US" w:eastAsia="zh-CN"/>
        </w:rPr>
        <w:t>附件1</w:t>
      </w:r>
    </w:p>
    <w:p>
      <w:pPr>
        <w:jc w:val="center"/>
        <w:rPr>
          <w:rFonts w:hint="eastAsia" w:ascii="宋体" w:hAnsi="宋体" w:eastAsia="宋体" w:cs="宋体"/>
          <w:b/>
          <w:bCs/>
          <w:sz w:val="52"/>
          <w:szCs w:val="52"/>
          <w:lang w:val="en-US" w:eastAsia="zh-CN"/>
        </w:rPr>
      </w:pPr>
    </w:p>
    <w:p>
      <w:pPr>
        <w:jc w:val="center"/>
        <w:rPr>
          <w:rFonts w:hint="eastAsia" w:ascii="宋体" w:hAnsi="宋体" w:eastAsia="宋体" w:cs="宋体"/>
          <w:b/>
          <w:bCs/>
          <w:sz w:val="52"/>
          <w:szCs w:val="52"/>
          <w:lang w:val="en-US" w:eastAsia="zh-CN"/>
        </w:rPr>
      </w:pPr>
      <w:r>
        <w:rPr>
          <w:rFonts w:hint="eastAsia" w:ascii="宋体" w:hAnsi="宋体" w:eastAsia="宋体" w:cs="宋体"/>
          <w:b/>
          <w:bCs/>
          <w:sz w:val="72"/>
          <w:szCs w:val="72"/>
          <w:lang w:val="en-US" w:eastAsia="zh-CN"/>
        </w:rPr>
        <w:t>202</w:t>
      </w:r>
      <w:r>
        <w:rPr>
          <w:rFonts w:hint="eastAsia" w:ascii="宋体" w:hAnsi="宋体" w:cs="宋体"/>
          <w:b/>
          <w:bCs/>
          <w:sz w:val="72"/>
          <w:szCs w:val="72"/>
          <w:lang w:val="en-US" w:eastAsia="zh-CN"/>
        </w:rPr>
        <w:t>5</w:t>
      </w:r>
      <w:r>
        <w:rPr>
          <w:rFonts w:hint="eastAsia" w:ascii="宋体" w:hAnsi="宋体" w:eastAsia="宋体" w:cs="宋体"/>
          <w:b/>
          <w:bCs/>
          <w:sz w:val="72"/>
          <w:szCs w:val="72"/>
          <w:lang w:val="en-US" w:eastAsia="zh-CN"/>
        </w:rPr>
        <w:t>年汾阳市决算情况表</w:t>
      </w:r>
    </w:p>
    <w:p>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黑体" w:hAnsi="黑体" w:eastAsia="黑体" w:cs="黑体"/>
          <w:sz w:val="28"/>
          <w:szCs w:val="28"/>
          <w:lang w:val="en-US" w:eastAsia="zh-CN"/>
        </w:rPr>
      </w:pPr>
    </w:p>
    <w:p>
      <w:pPr>
        <w:rPr>
          <w:rFonts w:hint="eastAsia" w:ascii="黑体" w:hAnsi="黑体" w:eastAsia="黑体" w:cs="黑体"/>
          <w:sz w:val="28"/>
          <w:szCs w:val="28"/>
          <w:lang w:val="en-US" w:eastAsia="zh-CN"/>
        </w:rPr>
      </w:pPr>
    </w:p>
    <w:p>
      <w:pPr>
        <w:pStyle w:val="2"/>
        <w:rPr>
          <w:rFonts w:hint="eastAsia" w:ascii="黑体" w:hAnsi="黑体" w:eastAsia="黑体" w:cs="黑体"/>
          <w:sz w:val="28"/>
          <w:szCs w:val="28"/>
          <w:lang w:val="en-US" w:eastAsia="zh-CN"/>
        </w:rPr>
      </w:pPr>
    </w:p>
    <w:p>
      <w:pPr>
        <w:rPr>
          <w:rFonts w:hint="eastAsia" w:ascii="黑体" w:hAnsi="黑体" w:eastAsia="黑体" w:cs="黑体"/>
          <w:sz w:val="28"/>
          <w:szCs w:val="28"/>
          <w:lang w:val="en-US" w:eastAsia="zh-CN"/>
        </w:rPr>
      </w:pPr>
    </w:p>
    <w:p>
      <w:pPr>
        <w:pStyle w:val="2"/>
        <w:rPr>
          <w:rFonts w:hint="eastAsia"/>
          <w:lang w:val="en-US" w:eastAsia="zh-CN"/>
        </w:rPr>
      </w:pPr>
    </w:p>
    <w:p>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汾阳市财政局</w:t>
      </w:r>
    </w:p>
    <w:p>
      <w:pPr>
        <w:jc w:val="cente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二〇二六年八月</w:t>
      </w:r>
    </w:p>
    <w:p>
      <w:pPr>
        <w:pStyle w:val="2"/>
        <w:rPr>
          <w:rFonts w:hint="eastAsia" w:ascii="黑体" w:hAnsi="黑体" w:eastAsia="黑体" w:cs="黑体"/>
          <w:sz w:val="32"/>
          <w:szCs w:val="32"/>
          <w:lang w:val="en-US" w:eastAsia="zh-CN"/>
        </w:rPr>
      </w:pPr>
    </w:p>
    <w:p>
      <w:pPr>
        <w:rPr>
          <w:rFonts w:hint="eastAsia" w:ascii="黑体" w:hAnsi="黑体" w:eastAsia="黑体" w:cs="黑体"/>
          <w:sz w:val="32"/>
          <w:szCs w:val="32"/>
          <w:lang w:val="en-US" w:eastAsia="zh-CN"/>
        </w:rPr>
      </w:pPr>
    </w:p>
    <w:tbl>
      <w:tblPr>
        <w:tblStyle w:val="5"/>
        <w:tblW w:w="139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514"/>
        <w:gridCol w:w="2038"/>
        <w:gridCol w:w="2039"/>
        <w:gridCol w:w="1480"/>
        <w:gridCol w:w="2278"/>
        <w:gridCol w:w="16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817" w:hRule="atLeast"/>
          <w:tblHeader/>
        </w:trPr>
        <w:tc>
          <w:tcPr>
            <w:tcW w:w="13988" w:type="dxa"/>
            <w:gridSpan w:val="6"/>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32"/>
                <w:szCs w:val="32"/>
                <w:u w:val="none"/>
              </w:rPr>
            </w:pPr>
            <w:r>
              <w:rPr>
                <w:rFonts w:hint="eastAsia" w:ascii="宋体" w:hAnsi="宋体" w:eastAsia="宋体" w:cs="宋体"/>
                <w:b/>
                <w:i w:val="0"/>
                <w:color w:val="000000"/>
                <w:kern w:val="0"/>
                <w:sz w:val="32"/>
                <w:szCs w:val="32"/>
                <w:u w:val="none"/>
                <w:lang w:val="en-US" w:eastAsia="zh-CN" w:bidi="ar"/>
              </w:rPr>
              <w:t>汾阳市二〇二五年一般公共预算收入完成情况表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3" w:hRule="atLeast"/>
          <w:tblHeader/>
        </w:trPr>
        <w:tc>
          <w:tcPr>
            <w:tcW w:w="451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附表一</w:t>
            </w:r>
          </w:p>
        </w:tc>
        <w:tc>
          <w:tcPr>
            <w:tcW w:w="2038" w:type="dxa"/>
            <w:shd w:val="clear" w:color="auto" w:fill="auto"/>
            <w:vAlign w:val="center"/>
          </w:tcPr>
          <w:p>
            <w:pPr>
              <w:jc w:val="center"/>
              <w:rPr>
                <w:rFonts w:hint="eastAsia" w:ascii="宋体" w:hAnsi="宋体" w:eastAsia="宋体" w:cs="宋体"/>
                <w:i w:val="0"/>
                <w:color w:val="000000"/>
                <w:sz w:val="24"/>
                <w:szCs w:val="24"/>
                <w:u w:val="none"/>
              </w:rPr>
            </w:pPr>
          </w:p>
        </w:tc>
        <w:tc>
          <w:tcPr>
            <w:tcW w:w="2039" w:type="dxa"/>
            <w:shd w:val="clear" w:color="auto" w:fill="auto"/>
            <w:vAlign w:val="center"/>
          </w:tcPr>
          <w:p>
            <w:pPr>
              <w:jc w:val="center"/>
              <w:rPr>
                <w:rFonts w:hint="eastAsia" w:ascii="宋体" w:hAnsi="宋体" w:eastAsia="宋体" w:cs="宋体"/>
                <w:i w:val="0"/>
                <w:color w:val="000000"/>
                <w:sz w:val="24"/>
                <w:szCs w:val="24"/>
                <w:u w:val="none"/>
              </w:rPr>
            </w:pPr>
          </w:p>
        </w:tc>
        <w:tc>
          <w:tcPr>
            <w:tcW w:w="1480" w:type="dxa"/>
            <w:shd w:val="clear" w:color="auto" w:fill="auto"/>
            <w:vAlign w:val="center"/>
          </w:tcPr>
          <w:p>
            <w:pPr>
              <w:jc w:val="center"/>
              <w:rPr>
                <w:rFonts w:hint="eastAsia" w:ascii="宋体" w:hAnsi="宋体" w:eastAsia="宋体" w:cs="宋体"/>
                <w:i w:val="0"/>
                <w:color w:val="000000"/>
                <w:sz w:val="24"/>
                <w:szCs w:val="24"/>
                <w:u w:val="none"/>
              </w:rPr>
            </w:pPr>
          </w:p>
        </w:tc>
        <w:tc>
          <w:tcPr>
            <w:tcW w:w="2278" w:type="dxa"/>
            <w:shd w:val="clear" w:color="auto" w:fill="auto"/>
            <w:vAlign w:val="center"/>
          </w:tcPr>
          <w:p>
            <w:pPr>
              <w:jc w:val="center"/>
              <w:rPr>
                <w:rFonts w:hint="eastAsia" w:ascii="宋体" w:hAnsi="宋体" w:eastAsia="宋体" w:cs="宋体"/>
                <w:i w:val="0"/>
                <w:color w:val="000000"/>
                <w:sz w:val="24"/>
                <w:szCs w:val="24"/>
                <w:u w:val="none"/>
              </w:rPr>
            </w:pPr>
          </w:p>
        </w:tc>
        <w:tc>
          <w:tcPr>
            <w:tcW w:w="1639"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blHeader/>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科目名称</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2025年预算数</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2025年完成数</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完成预算%</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为2024年决算%</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一般公共预算收入</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444444"/>
                <w:sz w:val="22"/>
                <w:szCs w:val="22"/>
                <w:u w:val="none"/>
              </w:rPr>
            </w:pPr>
            <w:r>
              <w:rPr>
                <w:rFonts w:hint="eastAsia" w:ascii="宋体" w:hAnsi="宋体" w:eastAsia="宋体" w:cs="宋体"/>
                <w:b/>
                <w:i w:val="0"/>
                <w:color w:val="444444"/>
                <w:kern w:val="0"/>
                <w:sz w:val="22"/>
                <w:szCs w:val="22"/>
                <w:u w:val="none"/>
                <w:lang w:val="en-US" w:eastAsia="zh-CN" w:bidi="ar"/>
              </w:rPr>
              <w:t>372300</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444444"/>
                <w:sz w:val="22"/>
                <w:szCs w:val="22"/>
                <w:u w:val="none"/>
              </w:rPr>
            </w:pPr>
            <w:r>
              <w:rPr>
                <w:rFonts w:hint="eastAsia" w:ascii="宋体" w:hAnsi="宋体" w:eastAsia="宋体" w:cs="宋体"/>
                <w:b/>
                <w:i w:val="0"/>
                <w:color w:val="444444"/>
                <w:kern w:val="0"/>
                <w:sz w:val="22"/>
                <w:szCs w:val="22"/>
                <w:u w:val="none"/>
                <w:lang w:val="en-US" w:eastAsia="zh-CN" w:bidi="ar"/>
              </w:rPr>
              <w:t>377649</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444444"/>
                <w:sz w:val="22"/>
                <w:szCs w:val="22"/>
                <w:u w:val="none"/>
              </w:rPr>
            </w:pPr>
            <w:r>
              <w:rPr>
                <w:rFonts w:hint="eastAsia" w:ascii="宋体" w:hAnsi="宋体" w:eastAsia="宋体" w:cs="宋体"/>
                <w:b/>
                <w:i w:val="0"/>
                <w:color w:val="444444"/>
                <w:kern w:val="0"/>
                <w:sz w:val="22"/>
                <w:szCs w:val="22"/>
                <w:u w:val="none"/>
                <w:lang w:val="en-US" w:eastAsia="zh-CN" w:bidi="ar"/>
              </w:rPr>
              <w:t>101.44%</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444444"/>
                <w:sz w:val="22"/>
                <w:szCs w:val="22"/>
                <w:u w:val="none"/>
              </w:rPr>
            </w:pPr>
            <w:r>
              <w:rPr>
                <w:rFonts w:hint="eastAsia" w:ascii="宋体" w:hAnsi="宋体" w:eastAsia="宋体" w:cs="宋体"/>
                <w:b/>
                <w:i w:val="0"/>
                <w:color w:val="444444"/>
                <w:kern w:val="0"/>
                <w:sz w:val="22"/>
                <w:szCs w:val="22"/>
                <w:u w:val="none"/>
                <w:lang w:val="en-US" w:eastAsia="zh-CN" w:bidi="ar"/>
              </w:rPr>
              <w:t>108.56%</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税收收入</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444444"/>
                <w:sz w:val="22"/>
                <w:szCs w:val="22"/>
                <w:u w:val="none"/>
              </w:rPr>
            </w:pPr>
            <w:r>
              <w:rPr>
                <w:rFonts w:hint="eastAsia" w:ascii="宋体" w:hAnsi="宋体" w:eastAsia="宋体" w:cs="宋体"/>
                <w:b/>
                <w:i w:val="0"/>
                <w:color w:val="444444"/>
                <w:kern w:val="0"/>
                <w:sz w:val="22"/>
                <w:szCs w:val="22"/>
                <w:u w:val="none"/>
                <w:lang w:val="en-US" w:eastAsia="zh-CN" w:bidi="ar"/>
              </w:rPr>
              <w:t>320150</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444444"/>
                <w:sz w:val="22"/>
                <w:szCs w:val="22"/>
                <w:u w:val="none"/>
              </w:rPr>
            </w:pPr>
            <w:r>
              <w:rPr>
                <w:rFonts w:hint="eastAsia" w:ascii="宋体" w:hAnsi="宋体" w:eastAsia="宋体" w:cs="宋体"/>
                <w:b/>
                <w:i w:val="0"/>
                <w:color w:val="444444"/>
                <w:kern w:val="0"/>
                <w:sz w:val="22"/>
                <w:szCs w:val="22"/>
                <w:u w:val="none"/>
                <w:lang w:val="en-US" w:eastAsia="zh-CN" w:bidi="ar"/>
              </w:rPr>
              <w:t>316771</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444444"/>
                <w:sz w:val="22"/>
                <w:szCs w:val="22"/>
                <w:u w:val="none"/>
              </w:rPr>
            </w:pPr>
            <w:r>
              <w:rPr>
                <w:rFonts w:hint="eastAsia" w:ascii="宋体" w:hAnsi="宋体" w:eastAsia="宋体" w:cs="宋体"/>
                <w:b/>
                <w:i w:val="0"/>
                <w:color w:val="444444"/>
                <w:kern w:val="0"/>
                <w:sz w:val="22"/>
                <w:szCs w:val="22"/>
                <w:u w:val="none"/>
                <w:lang w:val="en-US" w:eastAsia="zh-CN" w:bidi="ar"/>
              </w:rPr>
              <w:t>98.94%</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444444"/>
                <w:sz w:val="22"/>
                <w:szCs w:val="22"/>
                <w:u w:val="none"/>
              </w:rPr>
            </w:pPr>
            <w:r>
              <w:rPr>
                <w:rFonts w:hint="eastAsia" w:ascii="宋体" w:hAnsi="宋体" w:eastAsia="宋体" w:cs="宋体"/>
                <w:b/>
                <w:i w:val="0"/>
                <w:color w:val="444444"/>
                <w:kern w:val="0"/>
                <w:sz w:val="22"/>
                <w:szCs w:val="22"/>
                <w:u w:val="none"/>
                <w:lang w:val="en-US" w:eastAsia="zh-CN" w:bidi="ar"/>
              </w:rPr>
              <w:t>107.77%</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增值税</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122300</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2"/>
                <w:szCs w:val="22"/>
                <w:u w:val="none"/>
              </w:rPr>
            </w:pPr>
            <w:r>
              <w:rPr>
                <w:rFonts w:hint="eastAsia" w:ascii="宋体" w:hAnsi="宋体" w:eastAsia="宋体" w:cs="宋体"/>
                <w:i w:val="0"/>
                <w:color w:val="444444"/>
                <w:kern w:val="0"/>
                <w:sz w:val="22"/>
                <w:szCs w:val="22"/>
                <w:u w:val="none"/>
                <w:lang w:val="en-US" w:eastAsia="zh-CN" w:bidi="ar"/>
              </w:rPr>
              <w:t>117925</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96.42%</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105.00%</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消费税</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b w:val="0"/>
                <w:bCs/>
                <w:i w:val="0"/>
                <w:color w:val="444444"/>
                <w:sz w:val="22"/>
                <w:szCs w:val="22"/>
                <w:u w:val="none"/>
              </w:rPr>
            </w:pP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b w:val="0"/>
                <w:bCs/>
                <w:i w:val="0"/>
                <w:color w:val="444444"/>
                <w:sz w:val="22"/>
                <w:szCs w:val="22"/>
                <w:u w:val="none"/>
              </w:rPr>
            </w:pP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企业所得税</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109250</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2"/>
                <w:szCs w:val="22"/>
                <w:u w:val="none"/>
              </w:rPr>
            </w:pPr>
            <w:r>
              <w:rPr>
                <w:rFonts w:hint="eastAsia" w:ascii="宋体" w:hAnsi="宋体" w:eastAsia="宋体" w:cs="宋体"/>
                <w:i w:val="0"/>
                <w:color w:val="444444"/>
                <w:kern w:val="0"/>
                <w:sz w:val="22"/>
                <w:szCs w:val="22"/>
                <w:u w:val="none"/>
                <w:lang w:val="en-US" w:eastAsia="zh-CN" w:bidi="ar"/>
              </w:rPr>
              <w:t>105884</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96.92%</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105.55%</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企业所得税退税</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b/>
                <w:i w:val="0"/>
                <w:color w:val="444444"/>
                <w:sz w:val="22"/>
                <w:szCs w:val="22"/>
                <w:u w:val="none"/>
              </w:rPr>
            </w:pP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b/>
                <w:i w:val="0"/>
                <w:color w:val="444444"/>
                <w:sz w:val="22"/>
                <w:szCs w:val="22"/>
                <w:u w:val="none"/>
              </w:rPr>
            </w:pP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个人所得税(款)</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5600</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2"/>
                <w:szCs w:val="22"/>
                <w:u w:val="none"/>
              </w:rPr>
            </w:pPr>
            <w:r>
              <w:rPr>
                <w:rFonts w:hint="eastAsia" w:ascii="宋体" w:hAnsi="宋体" w:eastAsia="宋体" w:cs="宋体"/>
                <w:i w:val="0"/>
                <w:color w:val="444444"/>
                <w:kern w:val="0"/>
                <w:sz w:val="22"/>
                <w:szCs w:val="22"/>
                <w:u w:val="none"/>
                <w:lang w:val="en-US" w:eastAsia="zh-CN" w:bidi="ar"/>
              </w:rPr>
              <w:t>4934</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88.11%</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96.09%</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资源税</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2300</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2"/>
                <w:szCs w:val="22"/>
                <w:u w:val="none"/>
              </w:rPr>
            </w:pPr>
            <w:r>
              <w:rPr>
                <w:rFonts w:hint="eastAsia" w:ascii="宋体" w:hAnsi="宋体" w:eastAsia="宋体" w:cs="宋体"/>
                <w:i w:val="0"/>
                <w:color w:val="444444"/>
                <w:kern w:val="0"/>
                <w:sz w:val="22"/>
                <w:szCs w:val="22"/>
                <w:u w:val="none"/>
                <w:lang w:val="en-US" w:eastAsia="zh-CN" w:bidi="ar"/>
              </w:rPr>
              <w:t>1716</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74.61%</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81.21%</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城市维护建设税</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52800</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2"/>
                <w:szCs w:val="22"/>
                <w:u w:val="none"/>
              </w:rPr>
            </w:pPr>
            <w:r>
              <w:rPr>
                <w:rFonts w:hint="eastAsia" w:ascii="宋体" w:hAnsi="宋体" w:eastAsia="宋体" w:cs="宋体"/>
                <w:i w:val="0"/>
                <w:color w:val="444444"/>
                <w:kern w:val="0"/>
                <w:sz w:val="22"/>
                <w:szCs w:val="22"/>
                <w:u w:val="none"/>
                <w:lang w:val="en-US" w:eastAsia="zh-CN" w:bidi="ar"/>
              </w:rPr>
              <w:t>49844</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94.40%</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102.88%</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房产税</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4600</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7880</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171.30%</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186.29%</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印花税</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5510</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5492</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99.67%</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108.64%</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城镇土地使用税</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10025</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15994</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159.54%</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173.89%</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土地增值税</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1655</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1707</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103.14%</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112.45%</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车船税(款)</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2280</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2153</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94.43%</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102.82%</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车辆购置税(款)</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b/>
                <w:i w:val="0"/>
                <w:color w:val="444444"/>
                <w:sz w:val="22"/>
                <w:szCs w:val="22"/>
                <w:u w:val="none"/>
              </w:rPr>
            </w:pP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b/>
                <w:i w:val="0"/>
                <w:color w:val="444444"/>
                <w:sz w:val="22"/>
                <w:szCs w:val="22"/>
                <w:u w:val="none"/>
              </w:rPr>
            </w:pP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关税(款)</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b/>
                <w:i w:val="0"/>
                <w:color w:val="444444"/>
                <w:sz w:val="22"/>
                <w:szCs w:val="22"/>
                <w:u w:val="none"/>
              </w:rPr>
            </w:pP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b/>
                <w:i w:val="0"/>
                <w:color w:val="444444"/>
                <w:sz w:val="22"/>
                <w:szCs w:val="22"/>
                <w:u w:val="none"/>
              </w:rPr>
            </w:pP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耕地占用税(款)</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1160</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262</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22.59%</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24.65%</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契税(款)</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1920</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2437</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126.93%</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138.07%</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烟叶税(款)</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b/>
                <w:i w:val="0"/>
                <w:color w:val="444444"/>
                <w:sz w:val="22"/>
                <w:szCs w:val="22"/>
                <w:u w:val="none"/>
              </w:rPr>
            </w:pP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b/>
                <w:i w:val="0"/>
                <w:color w:val="444444"/>
                <w:sz w:val="22"/>
                <w:szCs w:val="22"/>
                <w:u w:val="none"/>
              </w:rPr>
            </w:pP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环境保护税(款)</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750</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543</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72.40%</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79.62%</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其他税收收入(款)</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b/>
                <w:i w:val="0"/>
                <w:color w:val="444444"/>
                <w:sz w:val="22"/>
                <w:szCs w:val="22"/>
                <w:u w:val="none"/>
              </w:rPr>
            </w:pP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b/>
                <w:i w:val="0"/>
                <w:color w:val="444444"/>
                <w:sz w:val="22"/>
                <w:szCs w:val="22"/>
                <w:u w:val="none"/>
              </w:rPr>
            </w:pP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非税收入</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52150</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60878</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444444"/>
                <w:sz w:val="22"/>
                <w:szCs w:val="22"/>
                <w:u w:val="none"/>
              </w:rPr>
            </w:pPr>
            <w:r>
              <w:rPr>
                <w:rFonts w:hint="eastAsia" w:ascii="宋体" w:hAnsi="宋体" w:eastAsia="宋体" w:cs="宋体"/>
                <w:b/>
                <w:i w:val="0"/>
                <w:color w:val="444444"/>
                <w:kern w:val="0"/>
                <w:sz w:val="22"/>
                <w:szCs w:val="22"/>
                <w:u w:val="none"/>
                <w:lang w:val="en-US" w:eastAsia="zh-CN" w:bidi="ar"/>
              </w:rPr>
              <w:t>116.74%</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444444"/>
                <w:sz w:val="22"/>
                <w:szCs w:val="22"/>
                <w:u w:val="none"/>
              </w:rPr>
            </w:pPr>
            <w:r>
              <w:rPr>
                <w:rFonts w:hint="eastAsia" w:ascii="宋体" w:hAnsi="宋体" w:eastAsia="宋体" w:cs="宋体"/>
                <w:b/>
                <w:i w:val="0"/>
                <w:color w:val="444444"/>
                <w:kern w:val="0"/>
                <w:sz w:val="22"/>
                <w:szCs w:val="22"/>
                <w:u w:val="none"/>
                <w:lang w:val="en-US" w:eastAsia="zh-CN" w:bidi="ar"/>
              </w:rPr>
              <w:t>112.83%</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专项收入</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45622</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47974</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105.16%</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102.64%</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行政事业性收费收入</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1449</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6534</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450.93%</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413.81%</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罚没收入</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3450</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4055</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117.54%</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82.28%</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国有资本经营收入</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b w:val="0"/>
                <w:bCs/>
                <w:i w:val="0"/>
                <w:color w:val="444444"/>
                <w:sz w:val="22"/>
                <w:szCs w:val="22"/>
                <w:u w:val="none"/>
              </w:rPr>
            </w:pP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center"/>
              <w:rPr>
                <w:rFonts w:hint="eastAsia" w:ascii="宋体" w:hAnsi="宋体" w:eastAsia="宋体" w:cs="宋体"/>
                <w:b w:val="0"/>
                <w:bCs/>
                <w:i w:val="0"/>
                <w:color w:val="444444"/>
                <w:sz w:val="22"/>
                <w:szCs w:val="22"/>
                <w:u w:val="none"/>
              </w:rPr>
            </w:pP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国有资源(资产)有偿使用收入</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1380</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2072</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150.14%</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452.40%</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捐赠收入</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75</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66</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88.00%</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92.96%</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政府住房基金收入</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165</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166</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100.61%</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100.00%</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4514"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其他收入(款)</w:t>
            </w:r>
          </w:p>
        </w:tc>
        <w:tc>
          <w:tcPr>
            <w:tcW w:w="203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w:t>
            </w:r>
          </w:p>
        </w:tc>
        <w:tc>
          <w:tcPr>
            <w:tcW w:w="2039"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w:t>
            </w:r>
          </w:p>
        </w:tc>
        <w:tc>
          <w:tcPr>
            <w:tcW w:w="1480"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110.00%</w:t>
            </w:r>
          </w:p>
        </w:tc>
        <w:tc>
          <w:tcPr>
            <w:tcW w:w="2278" w:type="dxa"/>
            <w:tcBorders>
              <w:top w:val="single" w:color="444444" w:sz="4" w:space="0"/>
              <w:left w:val="single" w:color="444444" w:sz="4" w:space="0"/>
              <w:bottom w:val="single" w:color="444444" w:sz="4" w:space="0"/>
              <w:right w:val="single" w:color="444444"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color w:val="444444"/>
                <w:sz w:val="22"/>
                <w:szCs w:val="22"/>
                <w:u w:val="none"/>
              </w:rPr>
            </w:pPr>
            <w:r>
              <w:rPr>
                <w:rFonts w:hint="eastAsia" w:ascii="宋体" w:hAnsi="宋体" w:eastAsia="宋体" w:cs="宋体"/>
                <w:b w:val="0"/>
                <w:bCs/>
                <w:i w:val="0"/>
                <w:color w:val="444444"/>
                <w:kern w:val="0"/>
                <w:sz w:val="22"/>
                <w:szCs w:val="22"/>
                <w:u w:val="none"/>
                <w:lang w:val="en-US" w:eastAsia="zh-CN" w:bidi="ar"/>
              </w:rPr>
              <w:t>91.67%</w:t>
            </w:r>
          </w:p>
        </w:tc>
        <w:tc>
          <w:tcPr>
            <w:tcW w:w="1639" w:type="dxa"/>
            <w:tcBorders>
              <w:top w:val="single" w:color="444444" w:sz="4" w:space="0"/>
              <w:left w:val="single" w:color="444444" w:sz="4" w:space="0"/>
              <w:bottom w:val="single" w:color="444444" w:sz="4" w:space="0"/>
              <w:right w:val="single" w:color="444444" w:sz="4" w:space="0"/>
            </w:tcBorders>
            <w:shd w:val="clear" w:color="auto" w:fill="auto"/>
            <w:vAlign w:val="center"/>
          </w:tcPr>
          <w:p>
            <w:pPr>
              <w:rPr>
                <w:rFonts w:hint="eastAsia" w:ascii="宋体" w:hAnsi="宋体" w:eastAsia="宋体" w:cs="宋体"/>
                <w:i w:val="0"/>
                <w:color w:val="444444"/>
                <w:sz w:val="22"/>
                <w:szCs w:val="22"/>
                <w:u w:val="none"/>
              </w:rPr>
            </w:pPr>
          </w:p>
        </w:tc>
      </w:tr>
    </w:tbl>
    <w:tbl>
      <w:tblPr>
        <w:tblW w:w="139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
      <w:tblGrid>
        <w:gridCol w:w="5198"/>
        <w:gridCol w:w="2257"/>
        <w:gridCol w:w="1719"/>
        <w:gridCol w:w="1517"/>
        <w:gridCol w:w="1920"/>
        <w:gridCol w:w="13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567" w:hRule="atLeast"/>
          <w:tblHeader/>
        </w:trPr>
        <w:tc>
          <w:tcPr>
            <w:tcW w:w="13988" w:type="dxa"/>
            <w:gridSpan w:val="6"/>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32"/>
                <w:szCs w:val="32"/>
                <w:u w:val="none"/>
                <w:lang w:val="en-US" w:eastAsia="zh-CN" w:bidi="ar"/>
              </w:rPr>
              <w:t>汾阳市二〇二五年一般公共预算支出完成情况表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blHeader/>
        </w:trPr>
        <w:tc>
          <w:tcPr>
            <w:tcW w:w="5198" w:type="dxa"/>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附表二</w:t>
            </w:r>
          </w:p>
        </w:tc>
        <w:tc>
          <w:tcPr>
            <w:tcW w:w="2257" w:type="dxa"/>
            <w:shd w:val="clear"/>
            <w:vAlign w:val="center"/>
          </w:tcPr>
          <w:p>
            <w:pPr>
              <w:jc w:val="center"/>
              <w:rPr>
                <w:rFonts w:hint="eastAsia" w:ascii="宋体" w:hAnsi="宋体" w:eastAsia="宋体" w:cs="宋体"/>
                <w:i w:val="0"/>
                <w:color w:val="000000"/>
                <w:sz w:val="24"/>
                <w:szCs w:val="24"/>
                <w:u w:val="none"/>
              </w:rPr>
            </w:pPr>
          </w:p>
        </w:tc>
        <w:tc>
          <w:tcPr>
            <w:tcW w:w="1719" w:type="dxa"/>
            <w:shd w:val="clear"/>
            <w:vAlign w:val="center"/>
          </w:tcPr>
          <w:p>
            <w:pPr>
              <w:jc w:val="center"/>
              <w:rPr>
                <w:rFonts w:hint="eastAsia" w:ascii="宋体" w:hAnsi="宋体" w:eastAsia="宋体" w:cs="宋体"/>
                <w:i w:val="0"/>
                <w:color w:val="000000"/>
                <w:sz w:val="24"/>
                <w:szCs w:val="24"/>
                <w:u w:val="none"/>
              </w:rPr>
            </w:pPr>
          </w:p>
        </w:tc>
        <w:tc>
          <w:tcPr>
            <w:tcW w:w="1517" w:type="dxa"/>
            <w:shd w:val="clear"/>
            <w:vAlign w:val="center"/>
          </w:tcPr>
          <w:p>
            <w:pPr>
              <w:jc w:val="center"/>
              <w:rPr>
                <w:rFonts w:hint="eastAsia" w:ascii="宋体" w:hAnsi="宋体" w:eastAsia="宋体" w:cs="宋体"/>
                <w:i w:val="0"/>
                <w:color w:val="000000"/>
                <w:sz w:val="24"/>
                <w:szCs w:val="24"/>
                <w:u w:val="none"/>
              </w:rPr>
            </w:pPr>
          </w:p>
        </w:tc>
        <w:tc>
          <w:tcPr>
            <w:tcW w:w="1920" w:type="dxa"/>
            <w:shd w:val="clear"/>
            <w:vAlign w:val="center"/>
          </w:tcPr>
          <w:p>
            <w:pPr>
              <w:jc w:val="center"/>
              <w:rPr>
                <w:rFonts w:hint="eastAsia" w:ascii="宋体" w:hAnsi="宋体" w:eastAsia="宋体" w:cs="宋体"/>
                <w:i w:val="0"/>
                <w:color w:val="000000"/>
                <w:sz w:val="24"/>
                <w:szCs w:val="24"/>
                <w:u w:val="none"/>
              </w:rPr>
            </w:pPr>
          </w:p>
        </w:tc>
        <w:tc>
          <w:tcPr>
            <w:tcW w:w="1377" w:type="dxa"/>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blHeader/>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支出项目</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2025年调整预算数</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2025年完成数</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为调整预算%</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为2024年决算%</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一般公共预算支出合计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581830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563189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96.80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96.31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一般公共服务支出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47652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47283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99.23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117.02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人大事务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574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564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98.26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86.37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84.86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人大会议</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115.15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代表工作</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69.18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135.29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其他人大事务支出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91.30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106.06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政协事务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547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547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90.41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107.69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108.25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机关服务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15.00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政协会议</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委员视察</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参政议政</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32.41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108.22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其他政协事务支出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137.14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政府办公厅(室)及相关机构事务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25181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25181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131.35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5699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5699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98.28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1589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1589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274.91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机关服务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5394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5394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110.10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政务公开审批</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6077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6077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311.16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1193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1193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271.75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其他政府办公厅(室)及相关机构事务支出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5228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5228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95.00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发展与改革事务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1400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1400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96.15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110.00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1001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1001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108.22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战略规划与实施</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128.57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其他发展与改革事务支出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6.54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统计信息事务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735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715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97.28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100.42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104.48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专项普查活动</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99.03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51.00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统计抽样调查</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177.65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104.27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其他统计信息事务支出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218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91.28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151.91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财政事务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1551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1551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145.36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489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489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109.15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435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435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945.65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财政委托业务支出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483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483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101.25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其他财政事务支出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12.58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税收事务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775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775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77.66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529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529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89.66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233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233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57.11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审计事务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388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380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97.94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138.18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104.60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65.22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62.50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131.58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其他审计事务支出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764.29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纪检监察事务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1918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1903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99.22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89.01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1439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1439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108.03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277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277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116.88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其他纪检监察事务支出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201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92.54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32.69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商贸事务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751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751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46.44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135.11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50.00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其他商贸事务支出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617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617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40.89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民族事务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档案事务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392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392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152.53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98.41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档案馆</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326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326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207.64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其他档案事务支出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民主党派及工商联事务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109.68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86.11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其他民主党派及工商联事务支出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184.62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群众团体事务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1472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1472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103.66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92.52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其他群众团体事务支出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1374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1374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104.97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党委办公厅(室)及相关机构事务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2235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2235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70.04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628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628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130.02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1080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1080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49.32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专项业务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53.85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367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367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142.25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其他党委办公厅(室)及相关机构事务支出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组织事务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2180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2100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96.33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152.95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207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207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110.70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公务员事务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44.44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232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232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106.91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其他组织事务支出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1734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1654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95.39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173.92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宣传事务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871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871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81.17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72.80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宣传管理</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567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567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304.84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123.42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其他宣传事务支出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11.21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统战事务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286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87.06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56.72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89.31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228.57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宗教事务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24.49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5.29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152.94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其他共产党事务支出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176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176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113.55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110.99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117.19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市场监督管理事务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3302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3300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99.94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101.66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1017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1017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103.46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4785.71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市场秩序执法</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96.00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质量基础</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76.92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质量安全监管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371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371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115.94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食品安全监管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39.00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1119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1119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108.64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其他市场监督管理事务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200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60.37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社会工作事务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2511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2313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92.11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992.70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88.64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专项业务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115.93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1800.00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其他社会工作事务支出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2277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2079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91.30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6706.45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信访事务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130.17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其他信访事务支出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81.14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其他一般公共服务支出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37.50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国家赔偿费用支出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37.50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国防支出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68.53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国防动员</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60.36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兵役征集</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91.67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民兵</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48.77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其他国防支出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75.48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其他国防支出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75.48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公共安全支出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23826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23637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99.21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132.41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公安</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18974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18837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99.28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115.28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4606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4606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101.19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3133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3004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95.88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215.49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执法办案</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1136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1135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99.91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75.27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特别业务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1105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1098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99.37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48.14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3068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3068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108.52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其他公安支出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5926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5926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156.86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检察</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309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309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198.08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309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309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198.08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法院</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3296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3296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732.44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106.25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1254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1254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357.26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“两庭”建设</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1933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1933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111.94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司法</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1160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1108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95.52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123.11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563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563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108.27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404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354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87.62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203.45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普法宣传</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76.92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律师管理</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82.76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公共法律服务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93.10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675.00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法治建设</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65.52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98.73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其他司法支出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其他公共安全支出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98.86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1740.00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国家司法救助支出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900.00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其他公共安全支出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97.67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教育支出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102185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99435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97.31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教育管理事务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7.41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92.13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1250.00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其他教育管理事务支出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0.15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普通教育</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90155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87591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97.16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102.37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学前教育</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6065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5539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91.33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145.30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小学教育</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26070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25317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97.11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97.94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初中教育</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25385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25009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98.52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108.84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高中教育</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18595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18514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99.56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109.84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其他普通教育支出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14040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13212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94.10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82.20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职业教育</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4297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4111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95.67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105.22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中等职业教育</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4094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3908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95.46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110.27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技校教育</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203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203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55.92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广播电视教育</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广播电视学校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特殊教育</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117.02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特殊学校教育</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117.02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进修及培训</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171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171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100.59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干部教育</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171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171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100.59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教育费附加安排的支出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3102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3102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57.32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其他教育费附加安排的支出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3102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3102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57.32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其他教育支出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3831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3831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825.65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其他教育支出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3831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3831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825.65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科学技术支出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701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701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51.39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科学技术管理事务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253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253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25.43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3.05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其他科学技术管理事务支出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23.81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基础研究</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30.69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科技人才队伍建设</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30.69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技术研究与开发</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210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210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300.00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科技成果转化与扩散</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其他技术研究与开发支出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264.29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科学技术普及</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163.64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科普活动</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112.35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科技馆站</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其他科学技术普及支出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61.54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文化旅游体育与传媒支出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15567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15126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97.17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103.63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文化和旅游</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2618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2608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99.62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83.27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117.16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图书馆</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93.60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文化展示及纪念机构</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31.02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文化活动</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99.36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群众文化</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82.21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文化和旅游交流与合作</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文化创作与保护</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97.35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97.35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文化和旅游市场管理</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99.32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旅游宣传</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58.90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其他文化和旅游支出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1207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1200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99.42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84.81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文物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7314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6961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95.17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204.98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文物保护</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5304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5034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94.91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216.42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博物馆</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2009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1926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95.87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180.00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体育</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678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629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92.77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94.73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体育场馆</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60.23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883.33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其他体育支出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591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577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97.63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87.96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新闻出版电影</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92.86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其他新闻出版电影支出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92.86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广播电视</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2447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2433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99.43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98.26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广播电视事务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2336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2336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96.45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其他广播电视支出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87.50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181.48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其他文化旅游体育与传媒支出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2494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2482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99.52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50.51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其他文化旅游体育与传媒支出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2494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2482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99.52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50.87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社会保障和就业支出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116662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115950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99.39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120.35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人力资源和社会保障管理事务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1496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1496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31.51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91.39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综合业务管理</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325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325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140.09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就业管理事务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125.35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社会保险经办机构</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444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444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11.65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劳动关系和维权</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引进人才费用</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75.00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民政管理事务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1813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1813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184.25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82.93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机关服务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社会组织管理</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752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752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其他民政管理事务支出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808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808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800.00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行政事业单位养老支出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66746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66746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132.96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行政单位离退休</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2205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2205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100.27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事业单位离退休</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3132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3132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105.74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离退休人员管理机构</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607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607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94.25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机关事业单位基本养老保险缴费支出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11644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11644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108.52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机关事业单位职业年金缴费支出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18885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18885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263.57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对机关事业单位基本养老保险基金的补助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30273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30273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114.24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就业补助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1608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1467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91.23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112.33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高技能人才培养补助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323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323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其他就业补助支出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1171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1144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97.69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89.94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抚恤</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4838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4625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95.60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109.57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死亡抚恤</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276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97.10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73.63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伤残抚恤</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587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561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95.57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109.36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在乡复员、退伍军人生活补助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354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329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92.94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97.05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义务兵优待</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1346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1336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99.26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146.81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农村籍退役士兵老年生活补助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1159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1023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88.27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108.83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褒扬纪念</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80.77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其他优抚支出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1052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1045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99.33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97.03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退役安置</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3763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3725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98.99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96.43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退役士兵安置</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2699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2699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131.02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军队移交政府的离退休人员安置</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290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258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88.97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115.18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军队移交政府离退休干部管理机构</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98.28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114.00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退役士兵管理教育</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76.92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23.26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军队转业干部安置</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83.33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其他退役安置支出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694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692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99.71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46.95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社会福利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4451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4164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93.55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74.56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儿童福利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211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211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112.83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老年福利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836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825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98.68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106.45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殡葬</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1032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1032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社会福利事业单位</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1079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1079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28.14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养老服务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1294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1018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78.67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129.19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残疾人事业</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3584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2584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72.10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144.36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123.61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残疾人康复</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280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280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195.80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残疾人就业</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7.32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残疾人生活和护理补贴</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1046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1046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102.35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其他残疾人事业支出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2162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1162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53.75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246.71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红十字事业</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92.68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96.00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其他红十字事业支出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87.50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最低生活保障</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6297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6297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99.71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城市最低生活保障金支出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530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530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78.29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农村最低生活保障金支出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5767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5767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102.29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临时救助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284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91.55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149.43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临时救助支出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144.74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流浪乞讨人员救助支出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79.66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156.67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特困人员救助供养</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2322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2313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99.61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105.71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城市特困人员救助供养支出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92.86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113.59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农村特困人员救助供养支出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2196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2196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105.32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其他生活救助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201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201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31.21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其他农村生活救助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201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201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32.32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财政对基本养老保险基金的补助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18902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18902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142.14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财政对企业职工基本养老保险基金的补助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1100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1100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336.39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财政对城乡居民基本养老保险基金的补助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16221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16221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135.13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财政对其他基本养老保险基金的补助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1581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1581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163.50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退役军人管理事务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120.53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107.69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拥军优属</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693.33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96.88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其他退役军人事务管理支出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67.23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其他社会保障和就业支出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1003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1003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525.13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其他社会保障和就业支出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1003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1003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525.13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卫生健康支出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39061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37541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96.11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108.64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卫生健康管理事务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1223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1223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129.42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80.32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其他卫生健康管理事务支出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1072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1072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141.61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公立医院</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5059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4970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98.24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77.01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综合医院</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2066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2066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69.47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中医(民族)医院</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2830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2830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88.91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其他公立医院支出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45.40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24.92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基层医疗卫生机构</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6884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6878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99.91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98.91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城市社区卫生机构</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1737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1737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107.82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乡镇卫生院</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3969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3969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88.18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其他基层医疗卫生机构支出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1178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1172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99.49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139.19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公共卫生</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7918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7383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93.24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110.47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疾病预防控制机构</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763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760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99.61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134.04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妇幼保健机构</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938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938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117.10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基本公共卫生服务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4112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3621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88.06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105.48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重大公共卫生服务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293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253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86.35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173.29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突发公共卫生事件应急处置</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1201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1201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2729.55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其他公共卫生支出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611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610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99.84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36.33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计划生育事务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2191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2191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125.63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计划生育服务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1162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1162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220.91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其他计划生育事务支出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1029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1029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84.48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行政事业单位医疗</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4978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4978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104.71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行政单位医疗</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737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737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102.65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事业单位医疗</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3902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3902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105.35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公务员医疗补助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102.11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财政对基本医疗保险基金的补助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3098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3098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105.34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财政对城乡居民基本医疗保险基金的补助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3098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3098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105.34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医疗救助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1954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1954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129.75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城乡医疗救助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1841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1841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122.24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其他医疗救助支出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优抚对象医疗</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83.78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172.22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优抚对象医疗补助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83.78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172.22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医疗保障管理事务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524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521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99.43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69.10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94.00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142.42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医疗保障经办事务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108.57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394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394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112.89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其他医疗保障管理事务支出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1.44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中医药事务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97.56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13.42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中医（民族医）药专项</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97.56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13.42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托育服务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4443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3571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80.37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托育机构</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其他托育服务支出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4370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3498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80.05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其他卫生健康支出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673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672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99.85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80.10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其他卫生健康支出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673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672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99.85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80.10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节能环保支出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17128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13125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76.63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90.72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环境保护管理事务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871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871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45.84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其他环境保护管理事务支出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832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832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43.79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污染防治</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10097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7462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73.90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85.86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大气</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9697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7062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72.83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82.28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水体</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399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399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自然生态保护</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4765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3478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72.99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137.36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生态保护</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农村环境保护</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4542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3255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71.66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129.22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森林保护修复</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236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74.45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73.75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森林管护</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236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74.45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81.94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污染减排</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减排专项支出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能源管理事务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1074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1074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104.78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84.34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59.96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信息化建设</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429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429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100.94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城乡社区支出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77837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77704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99.83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117.77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城乡社区管理事务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4014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4014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170.59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109.48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机关服务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城管执法</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1389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1389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276.69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工程建设管理</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其他城乡社区管理事务支出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2182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2182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125.76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城乡社区规划与管理</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715.91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城乡社区规划与管理</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715.91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城乡社区公共设施</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56204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56071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99.76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113.40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小城镇基础设施建设</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8401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8401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328.42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其他城乡社区公共设施支出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47803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47670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99.72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101.67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城乡社区环境卫生</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16127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16127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125.44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城乡社区环境卫生</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16127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16127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125.44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建设市场管理与监督</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210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210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103.45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建设市场管理与监督</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210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210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103.45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其他城乡社区支出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967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967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89.37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其他城乡社区支出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967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967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89.37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农林水支出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50848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49956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98.25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69.95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农业农村</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24079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23702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98.43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64.09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80.94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1284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1284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106.82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病虫害控制</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326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302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92.64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30.05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执法监管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25.00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统计监测与信息服务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58.82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防灾救灾</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56.33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37.50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稳定农民收入补贴</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3586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3586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100.90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农业生产发展</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5091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4938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96.99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52.35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农村合作经济</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1323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1226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92.67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213.96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农村社会事业</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3371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3371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83.01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农业生态资源保护</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3.73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对高校毕业生到基层任职补助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耕地建设与利用</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397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394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99.24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18.47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其他农业农村支出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8071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8071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82.44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林业和草原</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2544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2544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47.67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74.80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事业机构</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440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440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132.93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森林资源培育</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138.65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森林资源管理</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275.00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林业草原防灾减灾</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90.73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其他林业和草原支出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1616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1616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36.82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水利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10545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10413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98.75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92.82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120.78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水利行业业务管理</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618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618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97.63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水利工程建设</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7564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7432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98.25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134.78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水利工程运行与维护</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94.41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水利前期工作</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1116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1116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72.61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水资源节约管理与保护</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36.59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水质监测</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防汛</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82.17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农村供水</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14.29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其他水利支出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571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571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72.28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巩固脱贫攻坚成果衔接乡村振兴</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4625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4625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97.93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社会发展</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其他巩固脱贫攻坚成果衔接乡村振兴支出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4539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4539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97.34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农村综合改革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5719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5716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99.95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76.91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对村级公益事业建设的补助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1490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1490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45.22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对村民委员会和村党支部的补助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4230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4227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99.93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102.18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普惠金融发展支出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3331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2951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88.59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52.06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农业保险保费补贴</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3327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2947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88.58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56.08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创业担保贷款贴息及奖补</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21.43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其他农林水支出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其他农林水支出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交通运输支出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20159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19517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96.82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73.85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公路水路运输</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19646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19450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74.02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102.74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223.81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公路建设</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13161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12993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98.72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63.33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公路养护</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388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388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47.14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交通运输信息化建设</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公路运输管理</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4231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4231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139.41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其他公路水路运输支出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1571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1543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98.22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89.97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其他交通运输支出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513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13.06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44.67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其他交通运输支出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513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13.06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44.67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资源勘探工业信息等支出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8277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8098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97.84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127.73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资源勘探开发</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制造业</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158.57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137.11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206.98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工业和信息产业</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6655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6476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97.31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121.46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78.26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254.17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工程建设及运行维护</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287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287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产业发展</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6085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5906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97.06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120.29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国有资产监管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120.89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其他国有资产监管支出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120.89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支持中小企业发展和管理支出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1200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1200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169.01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中小企业发展专项</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1072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1072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150.99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其他支持中小企业发展和管理支出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商业服务业等支出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5013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3872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77.24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195.36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商业流通事务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1610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1610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109.60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91.95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其他商业流通事务支出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1530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1530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112.33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涉外发展服务支出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287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39.72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223.53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其他涉外发展服务支出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287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39.72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223.53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其他商业服务业等支出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3117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2149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68.94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465.15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其他商业服务业等支出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3117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2149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68.94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465.15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金融支出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245.56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金融部门行政支出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其他金融支出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212.22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其他金融支出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212.22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自然资源海洋气象等支出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15034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14280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94.98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35.31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自然资源事务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14862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14108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94.93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35.14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83.59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一般行政管理事务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381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381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325.64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自然资源规划及管理</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1008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1008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77.36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自然资源利用与保护</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12248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11494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93.84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34.37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自然资源行业业务管理</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680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680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114.29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自然资源调查与确权登记</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11.72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地质勘查与矿产资源管理</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76.64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40.87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气象事务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172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172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58.11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136.36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气象事业机构</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300.00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气象服务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其他气象事务支出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40.44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住房保障支出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22784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19359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84.97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54.40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保障性安居工程支出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9153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9153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36.14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棚户区改造</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5257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5243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99.73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21.94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农村危房改造</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老旧小区改造</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6941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3530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50.86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331.14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配租型住房保障</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347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347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配售型保障性住房</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住房改革支出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10140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10140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99.81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住房公积金</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10140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10140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99.81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城乡社区住宅</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64.71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公有住房建设和维修改造支出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64.71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粮油物资储备支出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587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587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74.21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粮油物资事务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587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587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74.21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98.59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其他粮油物资事务支出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517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517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71.81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灾害防治及应急管理支出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9549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9059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94.87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116.56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应急管理事务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3511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3511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182.39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113.43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灾害风险防治</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88.00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安全监管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90.06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应急救援</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2677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2666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99.59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242.58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事业运行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389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389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112.10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其他应急管理支出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消防救援事务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3171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3171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82.84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消防应急救援</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3106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3106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82.30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其他消防救援事务支出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120.37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矿山安全</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629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629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938.81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其他矿山安全支出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629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629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938.81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地震事务</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239.34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行政运行</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268.75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地震预测预报</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地震灾害预防</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36</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36</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防震减灾信息管理</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21</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21</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233.33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自然灾害防治</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1948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1469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75.41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102.37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地质灾害防治</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1818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1339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73.65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106.95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其他自然灾害防治支出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130</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130</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71.04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自然灾害救灾及恢复重建支出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132</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132</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28.95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自然灾害救灾补助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63.91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自然灾害灾后重建补助</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其他自然灾害救灾及恢复重建支出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17</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17</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5.92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894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894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56.23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894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894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56.23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894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894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56.23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债务付息支出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6505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6505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95.30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地方政府一般债务付息支出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6505</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6505</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95.30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地方政府一般债券付息支出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6203</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6203</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98.02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地方政府向外国政府借款付息支出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地方政府向国际组织借款付息支出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298</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298</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60.32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债务发行费用支出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47.37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地方政府一般债务发行费用支出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47.37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9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地方政府一般债务发行费用支出</w:t>
            </w:r>
          </w:p>
        </w:tc>
        <w:tc>
          <w:tcPr>
            <w:tcW w:w="225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w:t>
            </w:r>
          </w:p>
        </w:tc>
        <w:tc>
          <w:tcPr>
            <w:tcW w:w="171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w:t>
            </w:r>
          </w:p>
        </w:tc>
        <w:tc>
          <w:tcPr>
            <w:tcW w:w="151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92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47.37 </w:t>
            </w:r>
          </w:p>
        </w:tc>
        <w:tc>
          <w:tcPr>
            <w:tcW w:w="1377"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bl>
    <w:p>
      <w:pPr>
        <w:pStyle w:val="2"/>
      </w:pPr>
    </w:p>
    <w:p/>
    <w:p>
      <w:pPr>
        <w:pStyle w:val="2"/>
      </w:pPr>
    </w:p>
    <w:p/>
    <w:p>
      <w:pPr>
        <w:pStyle w:val="2"/>
      </w:pPr>
    </w:p>
    <w:p/>
    <w:p>
      <w:pPr>
        <w:pStyle w:val="2"/>
      </w:pPr>
    </w:p>
    <w:tbl>
      <w:tblPr>
        <w:tblW w:w="139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
      <w:tblGrid>
        <w:gridCol w:w="9215"/>
        <w:gridCol w:w="1808"/>
        <w:gridCol w:w="29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567" w:hRule="atLeast"/>
          <w:tblHeader/>
        </w:trPr>
        <w:tc>
          <w:tcPr>
            <w:tcW w:w="13988" w:type="dxa"/>
            <w:gridSpan w:val="3"/>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32"/>
                <w:szCs w:val="32"/>
                <w:u w:val="none"/>
                <w:lang w:val="en-US" w:eastAsia="zh-CN" w:bidi="ar"/>
              </w:rPr>
              <w:t>汾阳市二〇二五年一般公共预算支出分经济科目执行情况表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blHeader/>
        </w:trPr>
        <w:tc>
          <w:tcPr>
            <w:tcW w:w="9215" w:type="dxa"/>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附表三</w:t>
            </w:r>
          </w:p>
        </w:tc>
        <w:tc>
          <w:tcPr>
            <w:tcW w:w="1808" w:type="dxa"/>
            <w:shd w:val="clear"/>
            <w:vAlign w:val="center"/>
          </w:tcPr>
          <w:p>
            <w:pPr>
              <w:jc w:val="center"/>
              <w:rPr>
                <w:rFonts w:hint="eastAsia" w:ascii="宋体" w:hAnsi="宋体" w:eastAsia="宋体" w:cs="宋体"/>
                <w:i w:val="0"/>
                <w:color w:val="000000"/>
                <w:sz w:val="24"/>
                <w:szCs w:val="24"/>
                <w:u w:val="none"/>
              </w:rPr>
            </w:pPr>
          </w:p>
        </w:tc>
        <w:tc>
          <w:tcPr>
            <w:tcW w:w="2965" w:type="dxa"/>
            <w:shd w:val="cle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blHeader/>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科目名称</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决算数</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一般公共预算支出</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563189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机关工资福利支出</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39713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工资奖金津补贴</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16598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社会保障缴费</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16558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住房公积金</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3639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其他工资福利支出</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2918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机关商品和服务支出</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54574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办公经费</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12425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会议费</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212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培训费</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285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专用材料购置费</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692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委托业务费</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33742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公务接待费</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因公出国(境)费用</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17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公务用车运行维护费</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303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维修(护)费</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2741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其他商品和服务支出</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4149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机关资本性支出</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98873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房屋建筑物购建</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12613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基础设施建设</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43979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公务用车购置</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215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土地征迁补偿和安置支出</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15608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设备购置</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9446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大型修缮</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7081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其他资本性支出</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9931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机关资本性支出(基本建设)</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3739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房屋建筑物购建</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680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基础设施建设</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2684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公务用车购置</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设备购置</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94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大型修缮</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281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其他资本性支出</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对事业单位经常性补助</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152602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工资福利支出</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119253</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商品和服务支出</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33349</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其他对事业单位补助</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对事业单位资本性补助</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52244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资本性支出</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49196</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资本性支出(基本建设)</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3048</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对企业补助</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36802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费用补贴</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34767</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利息补贴</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179</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其他对企业补助</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1856</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对企业资本性支出</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1110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资本金注入</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1110</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资本金注入(基本建设)</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政府投资基金股权投资</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其他对企业资本性支出</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对个人和家庭的补助</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61172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社会福利和救助</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38151</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助学金</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805</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个人农业生产补贴</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13896</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离退休费</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5661</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其他对个人和家庭的补助</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2659</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对社会保障基金补助</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52273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对社会保险基金补助</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52273</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补充全国社会保障基金</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对机关事业单位职业年金的补助</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债务利息及费用支出</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6514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国内债务付息</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6203</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国外债务付息</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302</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国内债务发行费用</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国外债务发行费用</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其他支出</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3573 </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国家赔偿费用支出</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对民间非营利组织和群众性自治组织补贴</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3476</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经常性赠与</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资本性赠与</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921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其他支出</w:t>
            </w:r>
          </w:p>
        </w:tc>
        <w:tc>
          <w:tcPr>
            <w:tcW w:w="180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88</w:t>
            </w:r>
          </w:p>
        </w:tc>
        <w:tc>
          <w:tcPr>
            <w:tcW w:w="296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bl>
    <w:p/>
    <w:p>
      <w:pPr>
        <w:pStyle w:val="2"/>
      </w:pPr>
    </w:p>
    <w:tbl>
      <w:tblPr>
        <w:tblW w:w="139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
      <w:tblGrid>
        <w:gridCol w:w="7089"/>
        <w:gridCol w:w="2614"/>
        <w:gridCol w:w="42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567" w:hRule="atLeast"/>
          <w:tblHeader/>
        </w:trPr>
        <w:tc>
          <w:tcPr>
            <w:tcW w:w="13988" w:type="dxa"/>
            <w:gridSpan w:val="3"/>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32"/>
                <w:szCs w:val="32"/>
                <w:u w:val="none"/>
                <w:lang w:val="en-US" w:eastAsia="zh-CN" w:bidi="ar"/>
              </w:rPr>
              <w:t>汾阳市二〇二五年一般公共预算基本支出分经济科目执行情况表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blHeader/>
        </w:trPr>
        <w:tc>
          <w:tcPr>
            <w:tcW w:w="7089" w:type="dxa"/>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附表四</w:t>
            </w:r>
          </w:p>
        </w:tc>
        <w:tc>
          <w:tcPr>
            <w:tcW w:w="2614" w:type="dxa"/>
            <w:shd w:val="clear"/>
            <w:vAlign w:val="center"/>
          </w:tcPr>
          <w:p>
            <w:pPr>
              <w:jc w:val="center"/>
              <w:rPr>
                <w:rFonts w:hint="eastAsia" w:ascii="宋体" w:hAnsi="宋体" w:eastAsia="宋体" w:cs="宋体"/>
                <w:i w:val="0"/>
                <w:color w:val="000000"/>
                <w:sz w:val="24"/>
                <w:szCs w:val="24"/>
                <w:u w:val="none"/>
              </w:rPr>
            </w:pPr>
          </w:p>
        </w:tc>
        <w:tc>
          <w:tcPr>
            <w:tcW w:w="4285" w:type="dxa"/>
            <w:shd w:val="cle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blHeader/>
        </w:trPr>
        <w:tc>
          <w:tcPr>
            <w:tcW w:w="708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科目名称</w:t>
            </w:r>
          </w:p>
        </w:tc>
        <w:tc>
          <w:tcPr>
            <w:tcW w:w="261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决算数</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一般公共预算支出</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135511 </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机关工资福利支出</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22885 </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工资奖金津补贴</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14482</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社会保障缴费</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3880</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住房公积金</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3429</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其他工资福利支出</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1094</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机关商品和服务支出</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3999 </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办公经费</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2636</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培训费</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38</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专用材料购置费</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委托业务费</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168</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公务用车运行维护费</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236</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维修(护)费</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113</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其他商品和服务支出</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798</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机关资本性支出</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108 </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设备购置</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104</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其他资本性支出</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4</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对事业单位经常性补助</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102912 </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工资福利支出</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99913</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商品和服务支出</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2999</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对事业单位资本性补助</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 </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资本性支出</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对个人和家庭的补助</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5602 </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社会福利和救助</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383</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08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离退休费</w:t>
            </w:r>
          </w:p>
        </w:tc>
        <w:tc>
          <w:tcPr>
            <w:tcW w:w="2614" w:type="dxa"/>
            <w:tcBorders>
              <w:top w:val="single" w:color="444444" w:sz="4" w:space="0"/>
              <w:left w:val="single" w:color="000000"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5219</w:t>
            </w:r>
          </w:p>
        </w:tc>
        <w:tc>
          <w:tcPr>
            <w:tcW w:w="4285"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bl>
    <w:p/>
    <w:p>
      <w:pPr>
        <w:pStyle w:val="2"/>
      </w:pPr>
    </w:p>
    <w:p/>
    <w:p>
      <w:pPr>
        <w:pStyle w:val="2"/>
      </w:pPr>
    </w:p>
    <w:p/>
    <w:p>
      <w:pPr>
        <w:pStyle w:val="2"/>
      </w:pPr>
    </w:p>
    <w:p/>
    <w:tbl>
      <w:tblPr>
        <w:tblW w:w="139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
      <w:tblGrid>
        <w:gridCol w:w="5990"/>
        <w:gridCol w:w="820"/>
        <w:gridCol w:w="5991"/>
        <w:gridCol w:w="11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567" w:hRule="atLeast"/>
          <w:tblHeader/>
        </w:trPr>
        <w:tc>
          <w:tcPr>
            <w:tcW w:w="13988" w:type="dxa"/>
            <w:gridSpan w:val="4"/>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32"/>
                <w:szCs w:val="32"/>
                <w:u w:val="none"/>
                <w:lang w:val="en-US" w:eastAsia="zh-CN" w:bidi="ar"/>
              </w:rPr>
              <w:t>汾阳市二〇二五年一般公共预算转移性收支平衡情况表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blHeader/>
        </w:trPr>
        <w:tc>
          <w:tcPr>
            <w:tcW w:w="5990" w:type="dxa"/>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附表五</w:t>
            </w:r>
          </w:p>
        </w:tc>
        <w:tc>
          <w:tcPr>
            <w:tcW w:w="820" w:type="dxa"/>
            <w:shd w:val="clear"/>
            <w:vAlign w:val="center"/>
          </w:tcPr>
          <w:p>
            <w:pPr>
              <w:jc w:val="center"/>
              <w:rPr>
                <w:rFonts w:hint="eastAsia" w:ascii="宋体" w:hAnsi="宋体" w:eastAsia="宋体" w:cs="宋体"/>
                <w:i w:val="0"/>
                <w:color w:val="000000"/>
                <w:sz w:val="24"/>
                <w:szCs w:val="24"/>
                <w:u w:val="none"/>
              </w:rPr>
            </w:pPr>
          </w:p>
        </w:tc>
        <w:tc>
          <w:tcPr>
            <w:tcW w:w="5991" w:type="dxa"/>
            <w:shd w:val="clear"/>
            <w:vAlign w:val="center"/>
          </w:tcPr>
          <w:p>
            <w:pPr>
              <w:jc w:val="both"/>
              <w:rPr>
                <w:rFonts w:hint="eastAsia" w:ascii="宋体" w:hAnsi="宋体" w:eastAsia="宋体" w:cs="宋体"/>
                <w:i w:val="0"/>
                <w:color w:val="000000"/>
                <w:sz w:val="24"/>
                <w:szCs w:val="24"/>
                <w:u w:val="none"/>
              </w:rPr>
            </w:pPr>
          </w:p>
        </w:tc>
        <w:tc>
          <w:tcPr>
            <w:tcW w:w="1187" w:type="dxa"/>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blHeader/>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项目</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决 算 数</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项目</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决 算 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一般公共预算收入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377649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一般公共预算支出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563189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上级补助收入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219747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补助下级支出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 xml:space="preserve">  返还性收入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23005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 xml:space="preserve">  返还性支出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所得税基数返还收入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-1654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所得税基数返还支出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成品油税费改革税收返还收入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639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成品油税费改革税收返还支出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增值税税收返还收入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12460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增值税税收返还支出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消费税税收返还收入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15381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消费税税收返还支出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增值税“五五分享”税收返还收入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-3821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增值税“五五分享”税收返还支出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其他返还性收入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其他返还性支出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 xml:space="preserve">  一般性转移支付收入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173623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 xml:space="preserve">  一般性转移支付支出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体制补助收入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体制补助支出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均衡性转移支付收入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22834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均衡性转移支付支出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县级基本财力保障机制奖补资金收入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17234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县级基本财力保障机制奖补资金支出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结算补助收入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40122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结算补助支出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资源枯竭型城市转移支付补助收入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629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资源枯竭型城市转移支付补助支出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企业事业单位划转补助收入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企业事业单位划转补助支出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产粮(油)大县奖励资金收入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产粮(油)大县奖励资金支出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重点生态功能区转移支付收入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73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重点生态功能区转移支付支出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固定数额补助收入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11336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固定数额补助支出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革命老区转移支付收入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613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革命老区转移支付支出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民族地区转移支付收入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民族地区转移支付支出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边境地区转移支付收入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边境地区转移支付支出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巩固脱贫攻坚成果衔接乡村振兴转移支付收入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3287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巩固脱贫攻坚成果衔接乡村振兴转移支付支出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一般公共服务共同财政事权转移支付收入  </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251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一般公共服务共同财政事权转移支付支出  </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外交共同财政事权转移支付收入  </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外交共同财政事权转移支付支出 </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国防共同财政事权转移支付收入  </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国防共同财政事权转移支付支出 </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公共安全共同财政事权转移支付收入  </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1073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公共安全共同财政事权转移支付支出 </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教育共同财政事权转移支付收入  </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10438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教育共同财政事权转移支付支出 </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科学技术共同财政事权转移支付收入  </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88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科学技术共同财政事权转移支付支出  </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文化旅游体育与传媒共同财政事权转移支付收入  </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2925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文化旅游体育与传媒共同财政事权转移支付支出  </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社会保障和就业共同财政事权转移支付收入  </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31044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社会保障和就业共同财政事权转移支付支出 </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医疗卫生共同财政事权转移支付收入  </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11337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医疗卫生共同财政事权转移支付支出  </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节能环保共同财政事权转移支付收入  </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313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节能环保共同财政事权转移支付支出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城乡社区共同财政事权转移支付收入  </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城乡社区共同财政事权转移支付支出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农林水共同财政事权转移支付收入  </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15330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农林水共同财政事权转移支付支出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交通运输共同财政事权转移支付收入  </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682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交通运输共同财政事权转移支付支出 </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资源勘探工业信息等共同财政事权转移支付收入  </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305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资源勘探工业信息等共同财政事权转移支付支出 </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商业服务业等共同财政事权转移支付收入  </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545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商业服务业等共同财政事权转移支付支出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金融共同财政事权转移支付收入  </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金融共同财政事权转移支付支出 </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自然资源海洋气象等共同财政事权转移支付收入  </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自然资源海洋气象等共同财政事权转移支付支出  </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住房保障共同财政事权转移支付收入  </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1356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住房保障共同财政事权转移支付支出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粮油物资储备共同财政事权转移支付收入  </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粮油物资储备共同财政事权转移支付支出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灾害防治及应急管理共同财政事权转移支付收入  </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118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灾害防治及应急管理共同财政事权转移支付支出  </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其他共同财政事权转移支付收入  </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其他共同财政事权转移支付支出 </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其他一般性转移支付收入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1690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其他一般性转移支付支出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 xml:space="preserve">  专项转移支付收入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23119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 xml:space="preserve">  专项转移支付支出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一般公共服务</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610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一般公共服务</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外交</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外交</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国防</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国防</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公共安全</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105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公共安全</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教育</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教育</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科学技术</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科学技术</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文化旅游体育与传媒</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23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文化旅游体育与传媒</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社会保障和就业</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119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社会保障和就业</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卫生健康</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95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卫生健康</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节能环保</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6996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节能环保</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城乡社区</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1450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城乡社区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农林水</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1162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农林水</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交通运输</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1028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交通运输</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资源勘探工业信息等</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1595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资源勘探工业信息等</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商业服务业等</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4326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商业服务业等</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金融</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金融</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自然资源海洋气象等</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自然资源海洋气象等</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住房保障</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5610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住房保障</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粮油物资储备</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粮油物资储备</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灾害防治及应急管理</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灾害防治及应急管理</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下级上解收入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上解上级支出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29546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体制上解收入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体制上解支出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16805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专项上解收入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专项上解支出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12741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待偿债再融资一般债券上年结余</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color w:val="444444"/>
                <w:sz w:val="24"/>
                <w:szCs w:val="24"/>
                <w:u w:val="none"/>
              </w:rPr>
            </w:pP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上年结余收入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20062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color w:val="444444"/>
                <w:sz w:val="24"/>
                <w:szCs w:val="24"/>
                <w:u w:val="none"/>
              </w:rPr>
            </w:pP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 xml:space="preserve">调入资金   </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2050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调出资金</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从政府性基金预算调入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2050 </w:t>
            </w:r>
          </w:p>
        </w:tc>
        <w:tc>
          <w:tcPr>
            <w:tcW w:w="5991" w:type="dxa"/>
            <w:tcBorders>
              <w:top w:val="single" w:color="000000" w:sz="4" w:space="0"/>
              <w:left w:val="single" w:color="000000" w:sz="4" w:space="0"/>
              <w:bottom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调出用于补充超长期特别国债偿债备付金的资金</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从国有资本经营预算调入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调出用于偿还超长期特别国债本金的资金</w:t>
            </w:r>
          </w:p>
        </w:tc>
        <w:tc>
          <w:tcPr>
            <w:tcW w:w="1187" w:type="dxa"/>
            <w:tcBorders>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从其他资金调入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其他调出资金</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债务收入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债务还本支出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8936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 xml:space="preserve">  地方政府债务收入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 xml:space="preserve">  地方政府一般债务还本支出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8936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 xml:space="preserve">    一般债务收入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地方政府一般债券还本支出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7711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地方政府一般债券收入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地方政府向外国政府借款还本支出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地方政府向外国政府借款收入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地方政府向国际组织借款还本支出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402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地方政府向国际组织借款收入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地方政府其他一般债务还本支出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地方政府其他一般债务收入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color w:val="444444"/>
                <w:sz w:val="24"/>
                <w:szCs w:val="24"/>
                <w:u w:val="none"/>
              </w:rPr>
            </w:pP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债务转贷收入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9291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债务转贷支出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 xml:space="preserve">  地方政府一般债务转贷收入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9291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地方政府一般债券转贷支出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地方政府一般债券转贷收入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8700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地方政府向外国政府借款转贷支出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地方政府向外国政府借款转贷收入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地方政府向国际组织借款转贷支出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地方政府向国际组织借款转贷收入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地方政府其他一般债务转贷支出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地方政府其他一般债务转贷收入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591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color w:val="444444"/>
                <w:sz w:val="24"/>
                <w:szCs w:val="24"/>
                <w:u w:val="none"/>
              </w:rPr>
            </w:pP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国债转贷收入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补充预算周转金</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国债转贷资金上年结余</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拨付国债转贷资金数</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国债转贷转补助数</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国债转贷资金结余</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动用预算稳定调节基金</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65000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安排预算稳定调节基金</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73487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区域间转移性收入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区域间转移性支出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 xml:space="preserve">  接受其他地区援助收入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 xml:space="preserve">  援助其他地区支出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接受其他省(自治区、直辖市、计划单列市)援助收入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援助其他省(自治区、直辖市、计划单列市)支出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接受省内其他地市(区)援助收入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援助省内其他地市(区)支出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接受市内其他县市(区)援助收入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援助市内其他县市(区)支出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 xml:space="preserve">  生态保护补偿转移性收入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 xml:space="preserve">  生态保护补偿转移性支出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其他省(自治区、直辖市、计划单列市)横向生态保护补偿转移性收入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其他省(自治区、直辖市、计划单列市)横向生态保护补偿转移性支出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省内其他地市(区)横向生态保护补偿转移性收入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省内其他地市(区)横向生态保护补偿转移性支出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市内其他县市(区)横向生态保护补偿转移性收入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市内其他县市(区)横向生态保护补偿转移性支出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 xml:space="preserve">  土地指标调剂转移性收入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 xml:space="preserve">  土地指标调剂转移性支出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其他省(自治区、直辖市、计划单列市)横向土地指标调剂转移性收入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其他省(自治区、直辖市、计划单列市)横向土地指标调剂转移性支出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省内其他地市(区)横向土地指标调剂转移性收入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省内其他地市(区)横向土地指标调剂转移性支出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市内其他县市(区)横向土地指标调剂转移性收入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市内其他县市(区)横向土地指标调剂转移性支出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 xml:space="preserve">  其他转移性收入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 xml:space="preserve">  其他转移性支出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其他省(自治区、直辖市、计划单列市)其他转移性收入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其他省(自治区、直辖市、计划单列市)其他转移性支出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省内其他地市(区)其他转移性收入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省内其他地市(区)其他转移性支出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市内其他县市(区)其他转移性收入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市内其他县市(区)其他转移性支出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省补助计划单列市收入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计划单列市上解省支出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计划单列市上解省收入</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省补助计划单列市支出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color w:val="444444"/>
                <w:sz w:val="24"/>
                <w:szCs w:val="24"/>
                <w:u w:val="none"/>
              </w:rPr>
            </w:pP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待偿债再融资一般债券结余</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color w:val="444444"/>
                <w:sz w:val="24"/>
                <w:szCs w:val="24"/>
                <w:u w:val="none"/>
              </w:rPr>
            </w:pP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年终结余</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18641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color w:val="444444"/>
                <w:sz w:val="24"/>
                <w:szCs w:val="24"/>
                <w:u w:val="none"/>
              </w:rPr>
            </w:pP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减:结转下年的支出</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color w:val="444444"/>
                <w:sz w:val="24"/>
                <w:szCs w:val="24"/>
                <w:u w:val="none"/>
              </w:rPr>
            </w:pP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净结余</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18641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9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收  入  总  计</w:t>
            </w:r>
          </w:p>
        </w:tc>
        <w:tc>
          <w:tcPr>
            <w:tcW w:w="8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693799 </w:t>
            </w:r>
          </w:p>
        </w:tc>
        <w:tc>
          <w:tcPr>
            <w:tcW w:w="599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支  出  总  计</w:t>
            </w:r>
          </w:p>
        </w:tc>
        <w:tc>
          <w:tcPr>
            <w:tcW w:w="118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693799 </w:t>
            </w:r>
          </w:p>
        </w:tc>
      </w:tr>
    </w:tbl>
    <w:p>
      <w:pPr>
        <w:pStyle w:val="2"/>
      </w:pPr>
    </w:p>
    <w:p/>
    <w:p>
      <w:pPr>
        <w:pStyle w:val="2"/>
      </w:pPr>
    </w:p>
    <w:p/>
    <w:p>
      <w:pPr>
        <w:pStyle w:val="2"/>
      </w:pPr>
    </w:p>
    <w:p/>
    <w:tbl>
      <w:tblPr>
        <w:tblW w:w="139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
      <w:tblGrid>
        <w:gridCol w:w="4718"/>
        <w:gridCol w:w="2309"/>
        <w:gridCol w:w="1756"/>
        <w:gridCol w:w="1826"/>
        <w:gridCol w:w="1964"/>
        <w:gridCol w:w="14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409" w:hRule="atLeast"/>
          <w:tblHeader/>
        </w:trPr>
        <w:tc>
          <w:tcPr>
            <w:tcW w:w="13987" w:type="dxa"/>
            <w:gridSpan w:val="6"/>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32"/>
                <w:szCs w:val="32"/>
                <w:u w:val="none"/>
                <w:lang w:val="en-US" w:eastAsia="zh-CN" w:bidi="ar"/>
              </w:rPr>
              <w:t>汾阳市二〇二五年政府性基金收入完成情况表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25" w:hRule="atLeast"/>
          <w:tblHeader/>
        </w:trPr>
        <w:tc>
          <w:tcPr>
            <w:tcW w:w="4718" w:type="dxa"/>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附表六</w:t>
            </w:r>
          </w:p>
        </w:tc>
        <w:tc>
          <w:tcPr>
            <w:tcW w:w="2309" w:type="dxa"/>
            <w:shd w:val="clear"/>
            <w:vAlign w:val="center"/>
          </w:tcPr>
          <w:p>
            <w:pPr>
              <w:jc w:val="center"/>
              <w:rPr>
                <w:rFonts w:hint="eastAsia" w:ascii="宋体" w:hAnsi="宋体" w:eastAsia="宋体" w:cs="宋体"/>
                <w:i w:val="0"/>
                <w:color w:val="000000"/>
                <w:sz w:val="24"/>
                <w:szCs w:val="24"/>
                <w:u w:val="none"/>
              </w:rPr>
            </w:pPr>
          </w:p>
        </w:tc>
        <w:tc>
          <w:tcPr>
            <w:tcW w:w="1756" w:type="dxa"/>
            <w:shd w:val="clear"/>
            <w:vAlign w:val="center"/>
          </w:tcPr>
          <w:p>
            <w:pPr>
              <w:jc w:val="center"/>
              <w:rPr>
                <w:rFonts w:hint="eastAsia" w:ascii="宋体" w:hAnsi="宋体" w:eastAsia="宋体" w:cs="宋体"/>
                <w:i w:val="0"/>
                <w:color w:val="000000"/>
                <w:sz w:val="24"/>
                <w:szCs w:val="24"/>
                <w:u w:val="none"/>
              </w:rPr>
            </w:pPr>
          </w:p>
        </w:tc>
        <w:tc>
          <w:tcPr>
            <w:tcW w:w="1826" w:type="dxa"/>
            <w:shd w:val="clear"/>
            <w:vAlign w:val="center"/>
          </w:tcPr>
          <w:p>
            <w:pPr>
              <w:jc w:val="center"/>
              <w:rPr>
                <w:rFonts w:hint="eastAsia" w:ascii="宋体" w:hAnsi="宋体" w:eastAsia="宋体" w:cs="宋体"/>
                <w:i w:val="0"/>
                <w:color w:val="000000"/>
                <w:sz w:val="24"/>
                <w:szCs w:val="24"/>
                <w:u w:val="none"/>
              </w:rPr>
            </w:pPr>
          </w:p>
        </w:tc>
        <w:tc>
          <w:tcPr>
            <w:tcW w:w="1964" w:type="dxa"/>
            <w:shd w:val="clear"/>
            <w:vAlign w:val="center"/>
          </w:tcPr>
          <w:p>
            <w:pPr>
              <w:jc w:val="center"/>
              <w:rPr>
                <w:rFonts w:hint="eastAsia" w:ascii="宋体" w:hAnsi="宋体" w:eastAsia="宋体" w:cs="宋体"/>
                <w:i w:val="0"/>
                <w:color w:val="000000"/>
                <w:sz w:val="24"/>
                <w:szCs w:val="24"/>
                <w:u w:val="none"/>
              </w:rPr>
            </w:pPr>
          </w:p>
        </w:tc>
        <w:tc>
          <w:tcPr>
            <w:tcW w:w="1414" w:type="dxa"/>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37" w:hRule="atLeast"/>
          <w:tblHeader/>
        </w:trPr>
        <w:tc>
          <w:tcPr>
            <w:tcW w:w="471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收入项目</w:t>
            </w:r>
          </w:p>
        </w:tc>
        <w:tc>
          <w:tcPr>
            <w:tcW w:w="230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2025年调整预算数</w:t>
            </w:r>
          </w:p>
        </w:tc>
        <w:tc>
          <w:tcPr>
            <w:tcW w:w="175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2025年完成数</w:t>
            </w:r>
          </w:p>
        </w:tc>
        <w:tc>
          <w:tcPr>
            <w:tcW w:w="182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完成预算调整%</w:t>
            </w:r>
          </w:p>
        </w:tc>
        <w:tc>
          <w:tcPr>
            <w:tcW w:w="19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为2024年决算%</w:t>
            </w:r>
          </w:p>
        </w:tc>
        <w:tc>
          <w:tcPr>
            <w:tcW w:w="141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77" w:hRule="atLeast"/>
        </w:trPr>
        <w:tc>
          <w:tcPr>
            <w:tcW w:w="4718" w:type="dxa"/>
            <w:tcBorders>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政府性基金预算收入</w:t>
            </w:r>
          </w:p>
        </w:tc>
        <w:tc>
          <w:tcPr>
            <w:tcW w:w="2309" w:type="dxa"/>
            <w:tcBorders>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18730</w:t>
            </w:r>
          </w:p>
        </w:tc>
        <w:tc>
          <w:tcPr>
            <w:tcW w:w="1756" w:type="dxa"/>
            <w:tcBorders>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30056</w:t>
            </w:r>
          </w:p>
        </w:tc>
        <w:tc>
          <w:tcPr>
            <w:tcW w:w="182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160.47 </w:t>
            </w:r>
          </w:p>
        </w:tc>
        <w:tc>
          <w:tcPr>
            <w:tcW w:w="1964" w:type="dxa"/>
            <w:tcBorders>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70.09 </w:t>
            </w:r>
          </w:p>
        </w:tc>
        <w:tc>
          <w:tcPr>
            <w:tcW w:w="1414" w:type="dxa"/>
            <w:tcBorders>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77" w:hRule="atLeast"/>
        </w:trPr>
        <w:tc>
          <w:tcPr>
            <w:tcW w:w="471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国有土地收益基金收入</w:t>
            </w:r>
          </w:p>
        </w:tc>
        <w:tc>
          <w:tcPr>
            <w:tcW w:w="230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1800</w:t>
            </w:r>
          </w:p>
        </w:tc>
        <w:tc>
          <w:tcPr>
            <w:tcW w:w="175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2828</w:t>
            </w:r>
          </w:p>
        </w:tc>
        <w:tc>
          <w:tcPr>
            <w:tcW w:w="182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157.11 </w:t>
            </w:r>
          </w:p>
        </w:tc>
        <w:tc>
          <w:tcPr>
            <w:tcW w:w="1964" w:type="dxa"/>
            <w:tcBorders>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69.13 </w:t>
            </w:r>
          </w:p>
        </w:tc>
        <w:tc>
          <w:tcPr>
            <w:tcW w:w="1414"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77" w:hRule="atLeast"/>
        </w:trPr>
        <w:tc>
          <w:tcPr>
            <w:tcW w:w="471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农业土地开发资金收入</w:t>
            </w:r>
          </w:p>
        </w:tc>
        <w:tc>
          <w:tcPr>
            <w:tcW w:w="230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140</w:t>
            </w:r>
          </w:p>
        </w:tc>
        <w:tc>
          <w:tcPr>
            <w:tcW w:w="175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226</w:t>
            </w:r>
          </w:p>
        </w:tc>
        <w:tc>
          <w:tcPr>
            <w:tcW w:w="182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161.43 </w:t>
            </w:r>
          </w:p>
        </w:tc>
        <w:tc>
          <w:tcPr>
            <w:tcW w:w="1964" w:type="dxa"/>
            <w:tcBorders>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101.35 </w:t>
            </w:r>
          </w:p>
        </w:tc>
        <w:tc>
          <w:tcPr>
            <w:tcW w:w="1414"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77" w:hRule="atLeast"/>
        </w:trPr>
        <w:tc>
          <w:tcPr>
            <w:tcW w:w="471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国有土地使用权出让收入</w:t>
            </w:r>
          </w:p>
        </w:tc>
        <w:tc>
          <w:tcPr>
            <w:tcW w:w="230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15680</w:t>
            </w:r>
          </w:p>
        </w:tc>
        <w:tc>
          <w:tcPr>
            <w:tcW w:w="175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24582</w:t>
            </w:r>
          </w:p>
        </w:tc>
        <w:tc>
          <w:tcPr>
            <w:tcW w:w="182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156.77 </w:t>
            </w:r>
          </w:p>
        </w:tc>
        <w:tc>
          <w:tcPr>
            <w:tcW w:w="1964" w:type="dxa"/>
            <w:tcBorders>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69.07 </w:t>
            </w:r>
          </w:p>
        </w:tc>
        <w:tc>
          <w:tcPr>
            <w:tcW w:w="1414"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77" w:hRule="atLeast"/>
        </w:trPr>
        <w:tc>
          <w:tcPr>
            <w:tcW w:w="471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土地出让价款收入</w:t>
            </w:r>
          </w:p>
        </w:tc>
        <w:tc>
          <w:tcPr>
            <w:tcW w:w="2309"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75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24634</w:t>
            </w:r>
          </w:p>
        </w:tc>
        <w:tc>
          <w:tcPr>
            <w:tcW w:w="1826"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964" w:type="dxa"/>
            <w:tcBorders>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68.40 </w:t>
            </w:r>
          </w:p>
        </w:tc>
        <w:tc>
          <w:tcPr>
            <w:tcW w:w="1414"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77" w:hRule="atLeast"/>
        </w:trPr>
        <w:tc>
          <w:tcPr>
            <w:tcW w:w="471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补缴的土地价款</w:t>
            </w:r>
          </w:p>
        </w:tc>
        <w:tc>
          <w:tcPr>
            <w:tcW w:w="2309"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75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826"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964" w:type="dxa"/>
            <w:tcBorders>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0.70 </w:t>
            </w:r>
          </w:p>
        </w:tc>
        <w:tc>
          <w:tcPr>
            <w:tcW w:w="1414"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77" w:hRule="atLeast"/>
        </w:trPr>
        <w:tc>
          <w:tcPr>
            <w:tcW w:w="471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缴纳新增建设用地土地有偿使用费</w:t>
            </w:r>
          </w:p>
        </w:tc>
        <w:tc>
          <w:tcPr>
            <w:tcW w:w="2309"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75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-54</w:t>
            </w:r>
          </w:p>
        </w:tc>
        <w:tc>
          <w:tcPr>
            <w:tcW w:w="1826"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964" w:type="dxa"/>
            <w:tcBorders>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7.63 </w:t>
            </w:r>
          </w:p>
        </w:tc>
        <w:tc>
          <w:tcPr>
            <w:tcW w:w="1414"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77" w:hRule="atLeast"/>
        </w:trPr>
        <w:tc>
          <w:tcPr>
            <w:tcW w:w="471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城市基础设施配套费收入</w:t>
            </w:r>
          </w:p>
        </w:tc>
        <w:tc>
          <w:tcPr>
            <w:tcW w:w="230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550</w:t>
            </w:r>
          </w:p>
        </w:tc>
        <w:tc>
          <w:tcPr>
            <w:tcW w:w="175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1791</w:t>
            </w:r>
          </w:p>
        </w:tc>
        <w:tc>
          <w:tcPr>
            <w:tcW w:w="182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325.64 </w:t>
            </w:r>
          </w:p>
        </w:tc>
        <w:tc>
          <w:tcPr>
            <w:tcW w:w="1964" w:type="dxa"/>
            <w:tcBorders>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78.14 </w:t>
            </w:r>
          </w:p>
        </w:tc>
        <w:tc>
          <w:tcPr>
            <w:tcW w:w="1414"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77" w:hRule="atLeast"/>
        </w:trPr>
        <w:tc>
          <w:tcPr>
            <w:tcW w:w="471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污水处理费收入</w:t>
            </w:r>
          </w:p>
        </w:tc>
        <w:tc>
          <w:tcPr>
            <w:tcW w:w="2309"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560</w:t>
            </w:r>
          </w:p>
        </w:tc>
        <w:tc>
          <w:tcPr>
            <w:tcW w:w="175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629</w:t>
            </w:r>
          </w:p>
        </w:tc>
        <w:tc>
          <w:tcPr>
            <w:tcW w:w="182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112.32 </w:t>
            </w:r>
          </w:p>
        </w:tc>
        <w:tc>
          <w:tcPr>
            <w:tcW w:w="1964" w:type="dxa"/>
            <w:tcBorders>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93.05 </w:t>
            </w:r>
          </w:p>
        </w:tc>
        <w:tc>
          <w:tcPr>
            <w:tcW w:w="1414"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0" w:hRule="atLeast"/>
        </w:trPr>
        <w:tc>
          <w:tcPr>
            <w:tcW w:w="471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其他政府性基金收入</w:t>
            </w:r>
          </w:p>
        </w:tc>
        <w:tc>
          <w:tcPr>
            <w:tcW w:w="2309"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756"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826"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964" w:type="dxa"/>
            <w:tcBorders>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414"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4"/>
                <w:szCs w:val="24"/>
                <w:u w:val="none"/>
              </w:rPr>
            </w:pPr>
          </w:p>
        </w:tc>
      </w:tr>
    </w:tbl>
    <w:p>
      <w:pPr>
        <w:pStyle w:val="2"/>
      </w:pPr>
    </w:p>
    <w:p/>
    <w:p>
      <w:pPr>
        <w:pStyle w:val="2"/>
      </w:pPr>
    </w:p>
    <w:p/>
    <w:tbl>
      <w:tblPr>
        <w:tblW w:w="139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
      <w:tblGrid>
        <w:gridCol w:w="5672"/>
        <w:gridCol w:w="2073"/>
        <w:gridCol w:w="1578"/>
        <w:gridCol w:w="1638"/>
        <w:gridCol w:w="1764"/>
        <w:gridCol w:w="126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567" w:hRule="atLeast"/>
          <w:tblHeader/>
        </w:trPr>
        <w:tc>
          <w:tcPr>
            <w:tcW w:w="13988" w:type="dxa"/>
            <w:gridSpan w:val="6"/>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32"/>
                <w:szCs w:val="32"/>
                <w:u w:val="none"/>
                <w:lang w:val="en-US" w:eastAsia="zh-CN" w:bidi="ar"/>
              </w:rPr>
              <w:t>汾阳市二〇二五年政府性基金支出完成情况表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blHeader/>
        </w:trPr>
        <w:tc>
          <w:tcPr>
            <w:tcW w:w="5672" w:type="dxa"/>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附表七</w:t>
            </w:r>
          </w:p>
        </w:tc>
        <w:tc>
          <w:tcPr>
            <w:tcW w:w="2073" w:type="dxa"/>
            <w:shd w:val="clear"/>
            <w:vAlign w:val="center"/>
          </w:tcPr>
          <w:p>
            <w:pPr>
              <w:jc w:val="left"/>
              <w:rPr>
                <w:rFonts w:hint="eastAsia" w:ascii="宋体" w:hAnsi="宋体" w:eastAsia="宋体" w:cs="宋体"/>
                <w:i w:val="0"/>
                <w:color w:val="000000"/>
                <w:sz w:val="24"/>
                <w:szCs w:val="24"/>
                <w:u w:val="none"/>
              </w:rPr>
            </w:pPr>
          </w:p>
        </w:tc>
        <w:tc>
          <w:tcPr>
            <w:tcW w:w="1578" w:type="dxa"/>
            <w:shd w:val="clear"/>
            <w:vAlign w:val="center"/>
          </w:tcPr>
          <w:p>
            <w:pPr>
              <w:jc w:val="left"/>
              <w:rPr>
                <w:rFonts w:hint="eastAsia" w:ascii="宋体" w:hAnsi="宋体" w:eastAsia="宋体" w:cs="宋体"/>
                <w:i w:val="0"/>
                <w:color w:val="000000"/>
                <w:sz w:val="24"/>
                <w:szCs w:val="24"/>
                <w:u w:val="none"/>
              </w:rPr>
            </w:pPr>
          </w:p>
        </w:tc>
        <w:tc>
          <w:tcPr>
            <w:tcW w:w="1638" w:type="dxa"/>
            <w:shd w:val="clear"/>
            <w:vAlign w:val="center"/>
          </w:tcPr>
          <w:p>
            <w:pPr>
              <w:jc w:val="center"/>
              <w:rPr>
                <w:rFonts w:hint="eastAsia" w:ascii="宋体" w:hAnsi="宋体" w:eastAsia="宋体" w:cs="宋体"/>
                <w:i w:val="0"/>
                <w:color w:val="000000"/>
                <w:sz w:val="24"/>
                <w:szCs w:val="24"/>
                <w:u w:val="none"/>
              </w:rPr>
            </w:pPr>
          </w:p>
        </w:tc>
        <w:tc>
          <w:tcPr>
            <w:tcW w:w="1764" w:type="dxa"/>
            <w:shd w:val="clear"/>
            <w:vAlign w:val="center"/>
          </w:tcPr>
          <w:p>
            <w:pPr>
              <w:jc w:val="center"/>
              <w:rPr>
                <w:rFonts w:hint="eastAsia" w:ascii="宋体" w:hAnsi="宋体" w:eastAsia="宋体" w:cs="宋体"/>
                <w:i w:val="0"/>
                <w:color w:val="000000"/>
                <w:sz w:val="24"/>
                <w:szCs w:val="24"/>
                <w:u w:val="none"/>
              </w:rPr>
            </w:pPr>
          </w:p>
        </w:tc>
        <w:tc>
          <w:tcPr>
            <w:tcW w:w="1263" w:type="dxa"/>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blHeader/>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支出项目</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2025年调整预算数</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2025年完成数</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完成调整预算%</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为2024年决算%</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政府性基金预算支出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66424</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51828</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78.03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96.38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文化旅游体育与传媒支出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157.14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国家电影事业发展专项资金安排的支出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0.00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资助国产影片放映</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157.14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城乡社区支出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38112</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26113</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68.52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60.82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国有土地使用权出让收入安排的支出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33430</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23398</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69.99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64.04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征地和拆迁补偿支出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24753</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14721</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59.47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88.31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城市建设支出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0.00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农村基础设施建设支出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0.00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补助被征地农民支出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3112</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3112</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94.36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土地出让业务支出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28</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28</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15.47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支付破产或改制企业职工安置费</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3259</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3259</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80.07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农业生产发展支出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2212</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2212</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69.04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农村社会事业支出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0.00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农业农村生态环境支出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66</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66</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5.42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国有土地收益基金安排的支出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2503</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1575</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62.92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34.14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征地和拆迁补偿支出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2503</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1575</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62.92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37.15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其他国有土地收益基金支出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0.00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农业土地开发资金安排的支出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220</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140</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63.64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147.37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城市基础设施配套费安排的支出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1728</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1000</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57.87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城市公共设施</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1728</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1000</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57.87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污水处理费安排的支出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232</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0.00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0.00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污水处理设施建设和运营</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232</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0.00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0.00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其他污水处理费安排的支出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0.00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农林水支出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1638</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137</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8.36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145.74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国家重大水利工程建设基金安排的支出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132</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132</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151.72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其他重大水利工程建设基金支出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0.00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大中型水库移民后期扶持基金支出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83.33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71.43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移民补助</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83.33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71.43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超长期特别国债安排的支出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1500</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农业农村支出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1500</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交通运输支出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0.00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政府收费公路专项债券收入安排的支出  </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0.00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公路建设  </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0.00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资源勘探工业信息等支出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5761</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5119</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88.86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1771.28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超长期特别国债安排的支出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5761</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5119</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88.86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1771.28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制造业</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5761</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5119</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88.86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1771.28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其他支出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17123</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16669</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97.35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303.40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其他政府性基金及对应专项债务收入安排的支出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15795</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15781</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99.91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321.86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其他地方自行试点项目收益专项债券收入安排的支出  </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15795</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15781</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99.91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321.86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彩票公益金安排的支出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1328</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888</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66.87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150.25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用于社会福利的彩票公益金支出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315</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64</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20.32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3200.00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用于体育事业的彩票公益金支出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251</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160</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63.75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188.24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用于残疾人事业的彩票公益金支出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114</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104</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91.23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81.89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用于文化事业的彩票公益金支出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25</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25</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用于其他社会公益事业的彩票公益金支出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623</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535</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85.87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141.91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债务付息支出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3724</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3724</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100.22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地方政府专项债务付息支出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3724</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3724</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100.22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国有土地使用权出让金债务付息支出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36</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36</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土地储备专项债券付息支出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0.00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政府收费公路专项债券付息支出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251</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251</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113.06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棚户区改造专项债券付息支出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168</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168</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50.91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其他地方自行试点项目收益专项债券付息支出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2669</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2669</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86.94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其他政府性基金债务付息支出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600</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600</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债务发行费用支出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33</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137.50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地方政府专项债务发行费用支出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0.00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政府收费公路专项债券发行费用支出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0.00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其他地方自行试点项目收益专项债券发行费用支出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13</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216.67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67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其他政府性基金债务发行费用支出</w:t>
            </w:r>
          </w:p>
        </w:tc>
        <w:tc>
          <w:tcPr>
            <w:tcW w:w="207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20</w:t>
            </w:r>
          </w:p>
        </w:tc>
        <w:tc>
          <w:tcPr>
            <w:tcW w:w="157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20</w:t>
            </w:r>
          </w:p>
        </w:tc>
        <w:tc>
          <w:tcPr>
            <w:tcW w:w="163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100.00 </w:t>
            </w:r>
          </w:p>
        </w:tc>
        <w:tc>
          <w:tcPr>
            <w:tcW w:w="176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117.65 </w:t>
            </w:r>
          </w:p>
        </w:tc>
        <w:tc>
          <w:tcPr>
            <w:tcW w:w="1263"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444444"/>
                <w:sz w:val="24"/>
                <w:szCs w:val="24"/>
                <w:u w:val="none"/>
              </w:rPr>
            </w:pPr>
          </w:p>
        </w:tc>
      </w:tr>
    </w:tbl>
    <w:p>
      <w:pPr>
        <w:pStyle w:val="2"/>
        <w:ind w:left="0" w:leftChars="0" w:firstLine="0" w:firstLineChars="0"/>
        <w:rPr>
          <w:rFonts w:hint="eastAsia"/>
          <w:lang w:val="en-US" w:eastAsia="zh-CN"/>
        </w:rPr>
      </w:pPr>
    </w:p>
    <w:tbl>
      <w:tblPr>
        <w:tblW w:w="139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
      <w:tblGrid>
        <w:gridCol w:w="7592"/>
        <w:gridCol w:w="890"/>
        <w:gridCol w:w="4051"/>
        <w:gridCol w:w="14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567" w:hRule="atLeast"/>
          <w:tblHeader/>
        </w:trPr>
        <w:tc>
          <w:tcPr>
            <w:tcW w:w="13987" w:type="dxa"/>
            <w:gridSpan w:val="4"/>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32"/>
                <w:szCs w:val="32"/>
                <w:u w:val="none"/>
                <w:lang w:val="en-US" w:eastAsia="zh-CN" w:bidi="ar"/>
              </w:rPr>
              <w:t>汾阳市二〇二五年政府性基金预算转移性收支决算平衡表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blHeader/>
        </w:trPr>
        <w:tc>
          <w:tcPr>
            <w:tcW w:w="7592" w:type="dxa"/>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附表八</w:t>
            </w:r>
          </w:p>
        </w:tc>
        <w:tc>
          <w:tcPr>
            <w:tcW w:w="890" w:type="dxa"/>
            <w:shd w:val="clear"/>
            <w:vAlign w:val="center"/>
          </w:tcPr>
          <w:p>
            <w:pPr>
              <w:jc w:val="center"/>
              <w:rPr>
                <w:rFonts w:hint="eastAsia" w:ascii="宋体" w:hAnsi="宋体" w:eastAsia="宋体" w:cs="宋体"/>
                <w:i w:val="0"/>
                <w:color w:val="000000"/>
                <w:sz w:val="24"/>
                <w:szCs w:val="24"/>
                <w:u w:val="none"/>
              </w:rPr>
            </w:pPr>
          </w:p>
        </w:tc>
        <w:tc>
          <w:tcPr>
            <w:tcW w:w="4051" w:type="dxa"/>
            <w:shd w:val="clear"/>
            <w:vAlign w:val="center"/>
          </w:tcPr>
          <w:p>
            <w:pPr>
              <w:jc w:val="both"/>
              <w:rPr>
                <w:rFonts w:hint="eastAsia" w:ascii="宋体" w:hAnsi="宋体" w:eastAsia="宋体" w:cs="宋体"/>
                <w:i w:val="0"/>
                <w:color w:val="000000"/>
                <w:sz w:val="24"/>
                <w:szCs w:val="24"/>
                <w:u w:val="none"/>
              </w:rPr>
            </w:pPr>
          </w:p>
        </w:tc>
        <w:tc>
          <w:tcPr>
            <w:tcW w:w="1454" w:type="dxa"/>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blHeader/>
        </w:trPr>
        <w:tc>
          <w:tcPr>
            <w:tcW w:w="7592"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w:t>
            </w:r>
          </w:p>
        </w:tc>
        <w:tc>
          <w:tcPr>
            <w:tcW w:w="89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决算数</w:t>
            </w:r>
          </w:p>
        </w:tc>
        <w:tc>
          <w:tcPr>
            <w:tcW w:w="405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w:t>
            </w:r>
          </w:p>
        </w:tc>
        <w:tc>
          <w:tcPr>
            <w:tcW w:w="1454"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决算数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政府性基金预算收入</w:t>
            </w:r>
          </w:p>
        </w:tc>
        <w:tc>
          <w:tcPr>
            <w:tcW w:w="890" w:type="dxa"/>
            <w:tcBorders>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30056 </w:t>
            </w:r>
          </w:p>
        </w:tc>
        <w:tc>
          <w:tcPr>
            <w:tcW w:w="4051" w:type="dxa"/>
            <w:tcBorders>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政府性基金预算支出</w:t>
            </w:r>
          </w:p>
        </w:tc>
        <w:tc>
          <w:tcPr>
            <w:tcW w:w="1454" w:type="dxa"/>
            <w:tcBorders>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51828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政府性基金预算上级补助收入</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8043 </w:t>
            </w: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政府性基金预算补助下级支出</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政府性基金转移支付收入</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8043 </w:t>
            </w: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政府性基金转移支付支出</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科学技术</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科学技术</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文化旅游体育与传媒</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33 </w:t>
            </w: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文化旅游体育与传媒</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社会保障和就业</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社会保障和就业</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节能环保</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节能环保</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城乡社区</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134 </w:t>
            </w: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城乡社区</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农林水</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138 </w:t>
            </w: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农林水</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交通运输</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交通运输</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资源勘探工业信息等</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资源勘探工业信息等</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自然资源海洋气象等</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自然资源海洋气象等</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超长期特别国债转移支付收入</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7241 </w:t>
            </w: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超长期特别国债转移支付支出</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其他收入</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497 </w:t>
            </w: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其他支出</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政府性基金预算下级上解收入</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政府性基金预算上解上级支出</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抗疫特别国债还本上解收入</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抗疫特别国债还本上解支出</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超长期特别国债还本上解收入</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超长期特别国债还本上解支出</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其他政府性基金上解收入</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其他政府性基金上解支出</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待偿债再融资专项债券上年结余</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color w:val="444444"/>
                <w:sz w:val="24"/>
                <w:szCs w:val="24"/>
                <w:u w:val="none"/>
              </w:rPr>
            </w:pP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政府性基金预算上年结余收入</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10949 </w:t>
            </w: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color w:val="444444"/>
                <w:sz w:val="24"/>
                <w:szCs w:val="24"/>
                <w:u w:val="none"/>
              </w:rPr>
            </w:pP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政府性基金预算调入资金</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3757 </w:t>
            </w: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政府性基金预算调出资金</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2050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中央单位特殊上缴利润专项收入</w:t>
            </w:r>
          </w:p>
        </w:tc>
        <w:tc>
          <w:tcPr>
            <w:tcW w:w="890" w:type="dxa"/>
            <w:tcBorders>
              <w:top w:val="single" w:color="000000" w:sz="4" w:space="0"/>
              <w:left w:val="single" w:color="000000" w:sz="4" w:space="0"/>
              <w:bottom w:val="single" w:color="000000" w:sz="4" w:space="0"/>
              <w:right w:val="single" w:color="000000" w:sz="4" w:space="0"/>
            </w:tcBorders>
            <w:shd w:val="clear"/>
            <w:vAlign w:val="bottom"/>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color w:val="444444"/>
                <w:sz w:val="24"/>
                <w:szCs w:val="24"/>
                <w:u w:val="none"/>
              </w:rPr>
            </w:pP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其他调入政府性基金预算资金</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3757 </w:t>
            </w: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color w:val="444444"/>
                <w:sz w:val="24"/>
                <w:szCs w:val="24"/>
                <w:u w:val="none"/>
              </w:rPr>
            </w:pP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从一般公共预算调入用于补充超长期特别国债偿债备付金的资金</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color w:val="444444"/>
                <w:sz w:val="24"/>
                <w:szCs w:val="24"/>
                <w:u w:val="none"/>
              </w:rPr>
            </w:pP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从一般公共预算调入用于偿还超长期特别国债本金的资金</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color w:val="444444"/>
                <w:sz w:val="24"/>
                <w:szCs w:val="24"/>
                <w:u w:val="none"/>
              </w:rPr>
            </w:pP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从一般公共预算调入的其他资金</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color w:val="444444"/>
                <w:sz w:val="24"/>
                <w:szCs w:val="24"/>
                <w:u w:val="none"/>
              </w:rPr>
            </w:pP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从国有资本经营预算调入用于补充超长期特别国债偿债备付金的资金</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color w:val="444444"/>
                <w:sz w:val="24"/>
                <w:szCs w:val="24"/>
                <w:u w:val="none"/>
              </w:rPr>
            </w:pP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从国有资本经营预算调入用于偿还超长期特别国债本金的资金</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color w:val="444444"/>
                <w:sz w:val="24"/>
                <w:szCs w:val="24"/>
                <w:u w:val="none"/>
              </w:rPr>
            </w:pP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其他调入资金</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3757 </w:t>
            </w: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color w:val="444444"/>
                <w:sz w:val="24"/>
                <w:szCs w:val="24"/>
                <w:u w:val="none"/>
              </w:rPr>
            </w:pPr>
          </w:p>
        </w:tc>
        <w:tc>
          <w:tcPr>
            <w:tcW w:w="1454" w:type="dxa"/>
            <w:tcBorders>
              <w:top w:val="single" w:color="000000" w:sz="4" w:space="0"/>
              <w:left w:val="single" w:color="000000" w:sz="4" w:space="0"/>
              <w:bottom w:val="single" w:color="000000" w:sz="4" w:space="0"/>
              <w:right w:val="single" w:color="000000" w:sz="4" w:space="0"/>
            </w:tcBorders>
            <w:shd w:val="clear"/>
            <w:vAlign w:val="bottom"/>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债务收入</w:t>
            </w:r>
          </w:p>
        </w:tc>
        <w:tc>
          <w:tcPr>
            <w:tcW w:w="890" w:type="dxa"/>
            <w:tcBorders>
              <w:top w:val="single" w:color="000000" w:sz="4" w:space="0"/>
              <w:left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 </w:t>
            </w: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债务还本支出</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16696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中央政府债务收入</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地方政府专项债务还本支出</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16696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超长期特别国债收入</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抗疫特别国债还本支出</w:t>
            </w:r>
          </w:p>
        </w:tc>
        <w:tc>
          <w:tcPr>
            <w:tcW w:w="1454" w:type="dxa"/>
            <w:tcBorders>
              <w:top w:val="single" w:color="000000" w:sz="4" w:space="0"/>
              <w:left w:val="single" w:color="000000" w:sz="4" w:space="0"/>
              <w:bottom w:val="single" w:color="000000" w:sz="4" w:space="0"/>
              <w:right w:val="single" w:color="000000" w:sz="4" w:space="0"/>
            </w:tcBorders>
            <w:shd w:val="clear"/>
            <w:vAlign w:val="bottom"/>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地方政府债务收入</w:t>
            </w:r>
          </w:p>
        </w:tc>
        <w:tc>
          <w:tcPr>
            <w:tcW w:w="890" w:type="dxa"/>
            <w:tcBorders>
              <w:top w:val="single" w:color="000000" w:sz="4" w:space="0"/>
              <w:left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 </w:t>
            </w: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超长期特别国债还本支出</w:t>
            </w:r>
          </w:p>
        </w:tc>
        <w:tc>
          <w:tcPr>
            <w:tcW w:w="1454" w:type="dxa"/>
            <w:tcBorders>
              <w:top w:val="single" w:color="000000" w:sz="4" w:space="0"/>
              <w:left w:val="single" w:color="000000" w:sz="4" w:space="0"/>
              <w:bottom w:val="single" w:color="000000" w:sz="4" w:space="0"/>
              <w:right w:val="single" w:color="000000" w:sz="4" w:space="0"/>
            </w:tcBorders>
            <w:shd w:val="clear"/>
            <w:vAlign w:val="bottom"/>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专项债务收入</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债务转贷支出</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债务转贷收入</w:t>
            </w:r>
          </w:p>
        </w:tc>
        <w:tc>
          <w:tcPr>
            <w:tcW w:w="890" w:type="dxa"/>
            <w:tcBorders>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32444 </w:t>
            </w: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color w:val="444444"/>
                <w:sz w:val="24"/>
                <w:szCs w:val="24"/>
                <w:u w:val="none"/>
              </w:rPr>
            </w:pP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地方政府专项债务转贷收入</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32444 </w:t>
            </w: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color w:val="444444"/>
                <w:sz w:val="24"/>
                <w:szCs w:val="24"/>
                <w:u w:val="none"/>
              </w:rPr>
            </w:pP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政府性基金预算省补助计划单列市收入</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政府性基金预算省补助计划单列市支出</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政府性基金预算计划单列市上解省收入</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政府性基金预算计划单列市上解省支出</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动用偿债备付金</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 </w:t>
            </w: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偿债备付金</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动用超长期特别国债偿债备付金</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  安排超长期特别国债偿债备付金</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color w:val="444444"/>
                <w:sz w:val="24"/>
                <w:szCs w:val="24"/>
                <w:u w:val="none"/>
              </w:rPr>
            </w:pP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待偿债再融资专项债券结余</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hAnsi="宋体" w:eastAsia="宋体" w:cs="宋体"/>
                <w:i w:val="0"/>
                <w:color w:val="444444"/>
                <w:sz w:val="24"/>
                <w:szCs w:val="24"/>
                <w:u w:val="none"/>
              </w:rPr>
            </w:pP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政府性基金预算年终结余</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14598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75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收　　入　　总　　计　</w:t>
            </w:r>
          </w:p>
        </w:tc>
        <w:tc>
          <w:tcPr>
            <w:tcW w:w="89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85249 </w:t>
            </w:r>
          </w:p>
        </w:tc>
        <w:tc>
          <w:tcPr>
            <w:tcW w:w="405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支　　出　　总　　计　</w:t>
            </w:r>
          </w:p>
        </w:tc>
        <w:tc>
          <w:tcPr>
            <w:tcW w:w="145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85249 </w:t>
            </w:r>
          </w:p>
        </w:tc>
      </w:tr>
    </w:tbl>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tbl>
      <w:tblPr>
        <w:tblW w:w="139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
      <w:tblGrid>
        <w:gridCol w:w="5155"/>
        <w:gridCol w:w="2268"/>
        <w:gridCol w:w="1728"/>
        <w:gridCol w:w="1523"/>
        <w:gridCol w:w="1931"/>
        <w:gridCol w:w="13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567" w:hRule="atLeast"/>
          <w:tblHeader/>
        </w:trPr>
        <w:tc>
          <w:tcPr>
            <w:tcW w:w="13988" w:type="dxa"/>
            <w:gridSpan w:val="6"/>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32"/>
                <w:szCs w:val="32"/>
                <w:u w:val="none"/>
              </w:rPr>
            </w:pPr>
            <w:r>
              <w:rPr>
                <w:rFonts w:hint="eastAsia" w:ascii="宋体" w:hAnsi="宋体" w:eastAsia="宋体" w:cs="宋体"/>
                <w:b/>
                <w:i w:val="0"/>
                <w:color w:val="000000"/>
                <w:kern w:val="0"/>
                <w:sz w:val="32"/>
                <w:szCs w:val="32"/>
                <w:u w:val="none"/>
                <w:lang w:val="en-US" w:eastAsia="zh-CN" w:bidi="ar"/>
              </w:rPr>
              <w:t>汾阳市二〇二五年国有资本经营预算收支执行情况表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blHeader/>
        </w:trPr>
        <w:tc>
          <w:tcPr>
            <w:tcW w:w="5155" w:type="dxa"/>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附表九</w:t>
            </w:r>
          </w:p>
        </w:tc>
        <w:tc>
          <w:tcPr>
            <w:tcW w:w="2268" w:type="dxa"/>
            <w:shd w:val="clear"/>
            <w:vAlign w:val="center"/>
          </w:tcPr>
          <w:p>
            <w:pPr>
              <w:jc w:val="center"/>
              <w:rPr>
                <w:rFonts w:hint="eastAsia" w:ascii="宋体" w:hAnsi="宋体" w:eastAsia="宋体" w:cs="宋体"/>
                <w:i w:val="0"/>
                <w:color w:val="000000"/>
                <w:sz w:val="24"/>
                <w:szCs w:val="24"/>
                <w:u w:val="none"/>
              </w:rPr>
            </w:pPr>
          </w:p>
        </w:tc>
        <w:tc>
          <w:tcPr>
            <w:tcW w:w="1728" w:type="dxa"/>
            <w:shd w:val="clear"/>
            <w:vAlign w:val="center"/>
          </w:tcPr>
          <w:p>
            <w:pPr>
              <w:jc w:val="center"/>
              <w:rPr>
                <w:rFonts w:hint="eastAsia" w:ascii="宋体" w:hAnsi="宋体" w:eastAsia="宋体" w:cs="宋体"/>
                <w:i w:val="0"/>
                <w:color w:val="000000"/>
                <w:sz w:val="24"/>
                <w:szCs w:val="24"/>
                <w:u w:val="none"/>
              </w:rPr>
            </w:pPr>
          </w:p>
        </w:tc>
        <w:tc>
          <w:tcPr>
            <w:tcW w:w="1523" w:type="dxa"/>
            <w:shd w:val="clear"/>
            <w:vAlign w:val="center"/>
          </w:tcPr>
          <w:p>
            <w:pPr>
              <w:jc w:val="center"/>
              <w:rPr>
                <w:rFonts w:hint="eastAsia" w:ascii="宋体" w:hAnsi="宋体" w:eastAsia="宋体" w:cs="宋体"/>
                <w:i w:val="0"/>
                <w:color w:val="000000"/>
                <w:sz w:val="24"/>
                <w:szCs w:val="24"/>
                <w:u w:val="none"/>
              </w:rPr>
            </w:pPr>
          </w:p>
        </w:tc>
        <w:tc>
          <w:tcPr>
            <w:tcW w:w="1931" w:type="dxa"/>
            <w:shd w:val="clear"/>
            <w:vAlign w:val="center"/>
          </w:tcPr>
          <w:p>
            <w:pPr>
              <w:jc w:val="center"/>
              <w:rPr>
                <w:rFonts w:hint="eastAsia" w:ascii="宋体" w:hAnsi="宋体" w:eastAsia="宋体" w:cs="宋体"/>
                <w:i w:val="0"/>
                <w:color w:val="000000"/>
                <w:sz w:val="24"/>
                <w:szCs w:val="24"/>
                <w:u w:val="none"/>
              </w:rPr>
            </w:pPr>
          </w:p>
        </w:tc>
        <w:tc>
          <w:tcPr>
            <w:tcW w:w="1383" w:type="dxa"/>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blHeader/>
        </w:trPr>
        <w:tc>
          <w:tcPr>
            <w:tcW w:w="515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w:t>
            </w:r>
          </w:p>
        </w:tc>
        <w:tc>
          <w:tcPr>
            <w:tcW w:w="226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2025年调整预算数</w:t>
            </w:r>
          </w:p>
        </w:tc>
        <w:tc>
          <w:tcPr>
            <w:tcW w:w="172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2025年执行数</w:t>
            </w:r>
          </w:p>
        </w:tc>
        <w:tc>
          <w:tcPr>
            <w:tcW w:w="152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为调整预算%</w:t>
            </w:r>
          </w:p>
        </w:tc>
        <w:tc>
          <w:tcPr>
            <w:tcW w:w="193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为2024年决算%</w:t>
            </w:r>
          </w:p>
        </w:tc>
        <w:tc>
          <w:tcPr>
            <w:tcW w:w="138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5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国有资本经营预算收入</w:t>
            </w:r>
          </w:p>
        </w:tc>
        <w:tc>
          <w:tcPr>
            <w:tcW w:w="2268"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728"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523"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931"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383"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5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非税收入</w:t>
            </w:r>
          </w:p>
        </w:tc>
        <w:tc>
          <w:tcPr>
            <w:tcW w:w="2268"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728"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523"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931"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383"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5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国有资本经营收入</w:t>
            </w:r>
          </w:p>
        </w:tc>
        <w:tc>
          <w:tcPr>
            <w:tcW w:w="2268"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728"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523"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931"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383"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5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利润收入</w:t>
            </w:r>
          </w:p>
        </w:tc>
        <w:tc>
          <w:tcPr>
            <w:tcW w:w="2268"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728"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523"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931"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383"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5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股利、股息收入</w:t>
            </w:r>
          </w:p>
        </w:tc>
        <w:tc>
          <w:tcPr>
            <w:tcW w:w="2268"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728"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523"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931"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383"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5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产权转让收入</w:t>
            </w:r>
          </w:p>
        </w:tc>
        <w:tc>
          <w:tcPr>
            <w:tcW w:w="2268"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728"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523"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931"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383"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5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清算收入</w:t>
            </w:r>
          </w:p>
        </w:tc>
        <w:tc>
          <w:tcPr>
            <w:tcW w:w="2268"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728"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523"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931"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383"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5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其他国有资本经营预算收入</w:t>
            </w:r>
          </w:p>
        </w:tc>
        <w:tc>
          <w:tcPr>
            <w:tcW w:w="2268"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728"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523"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931"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383"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5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国有资本经营预算支出</w:t>
            </w:r>
          </w:p>
        </w:tc>
        <w:tc>
          <w:tcPr>
            <w:tcW w:w="226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94</w:t>
            </w:r>
          </w:p>
        </w:tc>
        <w:tc>
          <w:tcPr>
            <w:tcW w:w="172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90</w:t>
            </w:r>
          </w:p>
        </w:tc>
        <w:tc>
          <w:tcPr>
            <w:tcW w:w="152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95.74</w:t>
            </w:r>
          </w:p>
        </w:tc>
        <w:tc>
          <w:tcPr>
            <w:tcW w:w="193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w:t>
            </w:r>
          </w:p>
        </w:tc>
        <w:tc>
          <w:tcPr>
            <w:tcW w:w="1383"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5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国有资本经营预算支出</w:t>
            </w:r>
          </w:p>
        </w:tc>
        <w:tc>
          <w:tcPr>
            <w:tcW w:w="226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94</w:t>
            </w:r>
          </w:p>
        </w:tc>
        <w:tc>
          <w:tcPr>
            <w:tcW w:w="172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90</w:t>
            </w:r>
          </w:p>
        </w:tc>
        <w:tc>
          <w:tcPr>
            <w:tcW w:w="152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95.74</w:t>
            </w:r>
          </w:p>
        </w:tc>
        <w:tc>
          <w:tcPr>
            <w:tcW w:w="193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w:t>
            </w:r>
          </w:p>
        </w:tc>
        <w:tc>
          <w:tcPr>
            <w:tcW w:w="1383"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5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解决历史遗留问题及改革成本支出</w:t>
            </w:r>
          </w:p>
        </w:tc>
        <w:tc>
          <w:tcPr>
            <w:tcW w:w="226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94</w:t>
            </w:r>
          </w:p>
        </w:tc>
        <w:tc>
          <w:tcPr>
            <w:tcW w:w="172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90</w:t>
            </w:r>
          </w:p>
        </w:tc>
        <w:tc>
          <w:tcPr>
            <w:tcW w:w="152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95.74</w:t>
            </w:r>
          </w:p>
        </w:tc>
        <w:tc>
          <w:tcPr>
            <w:tcW w:w="193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w:t>
            </w:r>
          </w:p>
        </w:tc>
        <w:tc>
          <w:tcPr>
            <w:tcW w:w="1383"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5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“三供一业”移交补助支出</w:t>
            </w:r>
          </w:p>
        </w:tc>
        <w:tc>
          <w:tcPr>
            <w:tcW w:w="226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172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w:t>
            </w:r>
          </w:p>
        </w:tc>
        <w:tc>
          <w:tcPr>
            <w:tcW w:w="152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w:t>
            </w:r>
          </w:p>
        </w:tc>
        <w:tc>
          <w:tcPr>
            <w:tcW w:w="1931"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383"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trPr>
        <w:tc>
          <w:tcPr>
            <w:tcW w:w="5155"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国有企业退休人员社会化管理补助支出</w:t>
            </w:r>
          </w:p>
        </w:tc>
        <w:tc>
          <w:tcPr>
            <w:tcW w:w="226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90</w:t>
            </w:r>
          </w:p>
        </w:tc>
        <w:tc>
          <w:tcPr>
            <w:tcW w:w="1728"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90</w:t>
            </w:r>
          </w:p>
        </w:tc>
        <w:tc>
          <w:tcPr>
            <w:tcW w:w="1523"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w:t>
            </w:r>
          </w:p>
        </w:tc>
        <w:tc>
          <w:tcPr>
            <w:tcW w:w="193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w:t>
            </w:r>
          </w:p>
        </w:tc>
        <w:tc>
          <w:tcPr>
            <w:tcW w:w="1383" w:type="dxa"/>
            <w:tcBorders>
              <w:top w:val="single" w:color="444444" w:sz="4" w:space="0"/>
              <w:left w:val="single" w:color="444444" w:sz="4" w:space="0"/>
              <w:bottom w:val="single" w:color="444444" w:sz="4" w:space="0"/>
              <w:right w:val="single" w:color="444444" w:sz="4" w:space="0"/>
            </w:tcBorders>
            <w:shd w:val="clear"/>
            <w:vAlign w:val="center"/>
          </w:tcPr>
          <w:p>
            <w:pPr>
              <w:rPr>
                <w:rFonts w:hint="eastAsia" w:ascii="宋体" w:hAnsi="宋体" w:eastAsia="宋体" w:cs="宋体"/>
                <w:i w:val="0"/>
                <w:color w:val="444444"/>
                <w:sz w:val="22"/>
                <w:szCs w:val="22"/>
                <w:u w:val="none"/>
              </w:rPr>
            </w:pPr>
          </w:p>
        </w:tc>
      </w:tr>
    </w:tbl>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tbl>
      <w:tblPr>
        <w:tblW w:w="139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
      <w:tblGrid>
        <w:gridCol w:w="2921"/>
        <w:gridCol w:w="1396"/>
        <w:gridCol w:w="1397"/>
        <w:gridCol w:w="1280"/>
        <w:gridCol w:w="2921"/>
        <w:gridCol w:w="1396"/>
        <w:gridCol w:w="1397"/>
        <w:gridCol w:w="12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510" w:hRule="atLeast"/>
          <w:tblHeader/>
        </w:trPr>
        <w:tc>
          <w:tcPr>
            <w:tcW w:w="13988" w:type="dxa"/>
            <w:gridSpan w:val="8"/>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32"/>
                <w:szCs w:val="32"/>
                <w:u w:val="none"/>
              </w:rPr>
            </w:pPr>
            <w:r>
              <w:rPr>
                <w:rFonts w:hint="eastAsia" w:ascii="宋体" w:hAnsi="宋体" w:eastAsia="宋体" w:cs="宋体"/>
                <w:b/>
                <w:i w:val="0"/>
                <w:color w:val="000000"/>
                <w:kern w:val="0"/>
                <w:sz w:val="32"/>
                <w:szCs w:val="32"/>
                <w:u w:val="none"/>
                <w:lang w:val="en-US" w:eastAsia="zh-CN" w:bidi="ar"/>
              </w:rPr>
              <w:t>汾阳市二〇二五年社会保险基金收支执行情况表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blHeader/>
        </w:trPr>
        <w:tc>
          <w:tcPr>
            <w:tcW w:w="2921" w:type="dxa"/>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附表十</w:t>
            </w:r>
          </w:p>
        </w:tc>
        <w:tc>
          <w:tcPr>
            <w:tcW w:w="1396" w:type="dxa"/>
            <w:shd w:val="clear"/>
            <w:vAlign w:val="center"/>
          </w:tcPr>
          <w:p>
            <w:pPr>
              <w:jc w:val="center"/>
              <w:rPr>
                <w:rFonts w:hint="eastAsia" w:ascii="宋体" w:hAnsi="宋体" w:eastAsia="宋体" w:cs="宋体"/>
                <w:i w:val="0"/>
                <w:color w:val="000000"/>
                <w:sz w:val="24"/>
                <w:szCs w:val="24"/>
                <w:u w:val="none"/>
              </w:rPr>
            </w:pPr>
          </w:p>
        </w:tc>
        <w:tc>
          <w:tcPr>
            <w:tcW w:w="1397" w:type="dxa"/>
            <w:shd w:val="clear"/>
            <w:vAlign w:val="center"/>
          </w:tcPr>
          <w:p>
            <w:pPr>
              <w:jc w:val="center"/>
              <w:rPr>
                <w:rFonts w:hint="eastAsia" w:ascii="宋体" w:hAnsi="宋体" w:eastAsia="宋体" w:cs="宋体"/>
                <w:i w:val="0"/>
                <w:color w:val="000000"/>
                <w:sz w:val="24"/>
                <w:szCs w:val="24"/>
                <w:u w:val="none"/>
              </w:rPr>
            </w:pPr>
          </w:p>
        </w:tc>
        <w:tc>
          <w:tcPr>
            <w:tcW w:w="1280" w:type="dxa"/>
            <w:shd w:val="clear"/>
            <w:vAlign w:val="center"/>
          </w:tcPr>
          <w:p>
            <w:pPr>
              <w:jc w:val="center"/>
              <w:rPr>
                <w:rFonts w:hint="eastAsia" w:ascii="宋体" w:hAnsi="宋体" w:eastAsia="宋体" w:cs="宋体"/>
                <w:i w:val="0"/>
                <w:color w:val="000000"/>
                <w:sz w:val="24"/>
                <w:szCs w:val="24"/>
                <w:u w:val="none"/>
              </w:rPr>
            </w:pPr>
          </w:p>
        </w:tc>
        <w:tc>
          <w:tcPr>
            <w:tcW w:w="2921" w:type="dxa"/>
            <w:shd w:val="clear"/>
            <w:vAlign w:val="center"/>
          </w:tcPr>
          <w:p>
            <w:pPr>
              <w:jc w:val="center"/>
              <w:rPr>
                <w:rFonts w:hint="eastAsia" w:ascii="宋体" w:hAnsi="宋体" w:eastAsia="宋体" w:cs="宋体"/>
                <w:i w:val="0"/>
                <w:color w:val="000000"/>
                <w:sz w:val="24"/>
                <w:szCs w:val="24"/>
                <w:u w:val="none"/>
              </w:rPr>
            </w:pPr>
          </w:p>
        </w:tc>
        <w:tc>
          <w:tcPr>
            <w:tcW w:w="1396" w:type="dxa"/>
            <w:shd w:val="clear"/>
            <w:vAlign w:val="center"/>
          </w:tcPr>
          <w:p>
            <w:pPr>
              <w:jc w:val="center"/>
              <w:rPr>
                <w:rFonts w:hint="eastAsia" w:ascii="宋体" w:hAnsi="宋体" w:eastAsia="宋体" w:cs="宋体"/>
                <w:i w:val="0"/>
                <w:color w:val="000000"/>
                <w:sz w:val="24"/>
                <w:szCs w:val="24"/>
                <w:u w:val="none"/>
              </w:rPr>
            </w:pPr>
          </w:p>
        </w:tc>
        <w:tc>
          <w:tcPr>
            <w:tcW w:w="1397" w:type="dxa"/>
            <w:shd w:val="clear"/>
            <w:vAlign w:val="center"/>
          </w:tcPr>
          <w:p>
            <w:pPr>
              <w:jc w:val="center"/>
              <w:rPr>
                <w:rFonts w:hint="eastAsia" w:ascii="宋体" w:hAnsi="宋体" w:eastAsia="宋体" w:cs="宋体"/>
                <w:i w:val="0"/>
                <w:color w:val="000000"/>
                <w:sz w:val="24"/>
                <w:szCs w:val="24"/>
                <w:u w:val="none"/>
              </w:rPr>
            </w:pPr>
          </w:p>
        </w:tc>
        <w:tc>
          <w:tcPr>
            <w:tcW w:w="1280" w:type="dxa"/>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blHeader/>
        </w:trPr>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收入项目</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2025年预算数</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2025年执行数</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执行为预算%</w:t>
            </w:r>
          </w:p>
        </w:tc>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支出项目</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2025年预算数</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2025年执行数</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执行为预算%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城乡居民基本养老保险基金</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25042</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37874</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151.24%</w:t>
            </w:r>
          </w:p>
        </w:tc>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城乡居民基本养老保险基金</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19220</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20034</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104.24%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其中:社会保险费收入</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8297</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18417</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221.97%</w:t>
            </w:r>
          </w:p>
        </w:tc>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其中:社会保险待遇支出</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19215</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20024</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104.21%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财政补贴收入</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14892</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16131</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108.32%</w:t>
            </w:r>
          </w:p>
        </w:tc>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转移支出</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利息收入</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843</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489</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58.01%</w:t>
            </w:r>
          </w:p>
        </w:tc>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其他支出</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委托投资收益</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955</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2453</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256.86%</w:t>
            </w:r>
          </w:p>
        </w:tc>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全国统筹调剂资金支出</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转移收入</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48</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86</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2921"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其他收入</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285.71%</w:t>
            </w:r>
          </w:p>
        </w:tc>
        <w:tc>
          <w:tcPr>
            <w:tcW w:w="2921"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全国统筹调剂资金收入</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2921"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机关事业单位基本养老保险基金</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49138</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48670</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99.05%</w:t>
            </w:r>
          </w:p>
        </w:tc>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机关事业单位基本养老保险基金</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42690</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43175</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101.14%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其中:社会保险费收入</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17454</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17190</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98.49%</w:t>
            </w:r>
          </w:p>
        </w:tc>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其中:社会保险待遇支出</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42650</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43146</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101.16%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财政补贴收入</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30403</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30273</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99.57%</w:t>
            </w:r>
          </w:p>
        </w:tc>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转移支出</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利息收入</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1000</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855</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85.50%</w:t>
            </w:r>
          </w:p>
        </w:tc>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其他支出</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24</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委托投资收益</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全国统筹调剂资金支出</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转移收入</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211</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332</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157.35%</w:t>
            </w:r>
          </w:p>
        </w:tc>
        <w:tc>
          <w:tcPr>
            <w:tcW w:w="2921"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其他收入</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70</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28.57%</w:t>
            </w:r>
          </w:p>
        </w:tc>
        <w:tc>
          <w:tcPr>
            <w:tcW w:w="2921"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全国统筹调剂资金收入</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2921" w:type="dxa"/>
            <w:tcBorders>
              <w:top w:val="single" w:color="444444" w:sz="4" w:space="0"/>
              <w:left w:val="single" w:color="444444" w:sz="4" w:space="0"/>
              <w:bottom w:val="single" w:color="444444" w:sz="4" w:space="0"/>
              <w:right w:val="single" w:color="444444" w:sz="4" w:space="0"/>
            </w:tcBorders>
            <w:shd w:val="clear"/>
            <w:vAlign w:val="center"/>
          </w:tcPr>
          <w:p>
            <w:pPr>
              <w:jc w:val="both"/>
              <w:rPr>
                <w:rFonts w:hint="eastAsia" w:ascii="宋体" w:hAnsi="宋体" w:eastAsia="宋体" w:cs="宋体"/>
                <w:i w:val="0"/>
                <w:color w:val="000000"/>
                <w:sz w:val="24"/>
                <w:szCs w:val="24"/>
                <w:u w:val="none"/>
              </w:rPr>
            </w:pP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社会保险基金预算收入合计</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74180</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86544</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116.67%</w:t>
            </w:r>
          </w:p>
        </w:tc>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社会保险基金预算支出合计</w:t>
            </w:r>
          </w:p>
        </w:tc>
        <w:tc>
          <w:tcPr>
            <w:tcW w:w="1396"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61910</w:t>
            </w:r>
          </w:p>
        </w:tc>
        <w:tc>
          <w:tcPr>
            <w:tcW w:w="1397"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63209</w:t>
            </w:r>
          </w:p>
        </w:tc>
        <w:tc>
          <w:tcPr>
            <w:tcW w:w="1280"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102.10%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本年收支结余</w:t>
            </w:r>
          </w:p>
        </w:tc>
        <w:tc>
          <w:tcPr>
            <w:tcW w:w="11067" w:type="dxa"/>
            <w:gridSpan w:val="7"/>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23335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2921" w:type="dxa"/>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年末滚存结余</w:t>
            </w:r>
          </w:p>
        </w:tc>
        <w:tc>
          <w:tcPr>
            <w:tcW w:w="11067" w:type="dxa"/>
            <w:gridSpan w:val="7"/>
            <w:tcBorders>
              <w:top w:val="single" w:color="444444" w:sz="4" w:space="0"/>
              <w:left w:val="single" w:color="444444" w:sz="4" w:space="0"/>
              <w:bottom w:val="single" w:color="444444" w:sz="4" w:space="0"/>
              <w:right w:val="single" w:color="444444"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147816</w:t>
            </w:r>
          </w:p>
        </w:tc>
      </w:tr>
    </w:tbl>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tbl>
      <w:tblPr>
        <w:tblW w:w="139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
      <w:tblGrid>
        <w:gridCol w:w="3692"/>
        <w:gridCol w:w="752"/>
        <w:gridCol w:w="752"/>
        <w:gridCol w:w="961"/>
        <w:gridCol w:w="1644"/>
        <w:gridCol w:w="1645"/>
        <w:gridCol w:w="1416"/>
        <w:gridCol w:w="752"/>
        <w:gridCol w:w="961"/>
        <w:gridCol w:w="14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680" w:hRule="atLeast"/>
        </w:trPr>
        <w:tc>
          <w:tcPr>
            <w:tcW w:w="13988" w:type="dxa"/>
            <w:gridSpan w:val="10"/>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32"/>
                <w:szCs w:val="32"/>
                <w:u w:val="none"/>
              </w:rPr>
            </w:pPr>
            <w:bookmarkStart w:id="0" w:name="_GoBack"/>
            <w:r>
              <w:rPr>
                <w:rFonts w:hint="eastAsia" w:ascii="宋体" w:hAnsi="宋体" w:eastAsia="宋体" w:cs="宋体"/>
                <w:b/>
                <w:i w:val="0"/>
                <w:color w:val="000000"/>
                <w:kern w:val="0"/>
                <w:sz w:val="32"/>
                <w:szCs w:val="32"/>
                <w:u w:val="none"/>
                <w:lang w:val="en-US" w:eastAsia="zh-CN" w:bidi="ar"/>
              </w:rPr>
              <w:t>汾阳市二〇二五年地方政府债务余额情况表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80" w:hRule="atLeast"/>
        </w:trPr>
        <w:tc>
          <w:tcPr>
            <w:tcW w:w="3692" w:type="dxa"/>
            <w:shd w:val="cle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附表十一</w:t>
            </w:r>
          </w:p>
        </w:tc>
        <w:tc>
          <w:tcPr>
            <w:tcW w:w="752" w:type="dxa"/>
            <w:shd w:val="clear"/>
            <w:vAlign w:val="center"/>
          </w:tcPr>
          <w:p>
            <w:pPr>
              <w:jc w:val="both"/>
              <w:rPr>
                <w:rFonts w:hint="eastAsia" w:ascii="宋体" w:hAnsi="宋体" w:eastAsia="宋体" w:cs="宋体"/>
                <w:i w:val="0"/>
                <w:color w:val="000000"/>
                <w:sz w:val="24"/>
                <w:szCs w:val="24"/>
                <w:u w:val="none"/>
              </w:rPr>
            </w:pPr>
          </w:p>
        </w:tc>
        <w:tc>
          <w:tcPr>
            <w:tcW w:w="752" w:type="dxa"/>
            <w:shd w:val="clear"/>
            <w:vAlign w:val="center"/>
          </w:tcPr>
          <w:p>
            <w:pPr>
              <w:jc w:val="both"/>
              <w:rPr>
                <w:rFonts w:hint="eastAsia" w:ascii="宋体" w:hAnsi="宋体" w:eastAsia="宋体" w:cs="宋体"/>
                <w:i w:val="0"/>
                <w:color w:val="000000"/>
                <w:sz w:val="24"/>
                <w:szCs w:val="24"/>
                <w:u w:val="none"/>
              </w:rPr>
            </w:pPr>
          </w:p>
        </w:tc>
        <w:tc>
          <w:tcPr>
            <w:tcW w:w="961" w:type="dxa"/>
            <w:shd w:val="clear"/>
            <w:vAlign w:val="center"/>
          </w:tcPr>
          <w:p>
            <w:pPr>
              <w:jc w:val="both"/>
              <w:rPr>
                <w:rFonts w:hint="eastAsia" w:ascii="宋体" w:hAnsi="宋体" w:eastAsia="宋体" w:cs="宋体"/>
                <w:i w:val="0"/>
                <w:color w:val="000000"/>
                <w:sz w:val="24"/>
                <w:szCs w:val="24"/>
                <w:u w:val="none"/>
              </w:rPr>
            </w:pPr>
          </w:p>
        </w:tc>
        <w:tc>
          <w:tcPr>
            <w:tcW w:w="1644" w:type="dxa"/>
            <w:shd w:val="clear"/>
            <w:vAlign w:val="center"/>
          </w:tcPr>
          <w:p>
            <w:pPr>
              <w:jc w:val="both"/>
              <w:rPr>
                <w:rFonts w:hint="eastAsia" w:ascii="宋体" w:hAnsi="宋体" w:eastAsia="宋体" w:cs="宋体"/>
                <w:i w:val="0"/>
                <w:color w:val="000000"/>
                <w:sz w:val="24"/>
                <w:szCs w:val="24"/>
                <w:u w:val="none"/>
              </w:rPr>
            </w:pPr>
          </w:p>
        </w:tc>
        <w:tc>
          <w:tcPr>
            <w:tcW w:w="1645" w:type="dxa"/>
            <w:shd w:val="clear"/>
            <w:vAlign w:val="center"/>
          </w:tcPr>
          <w:p>
            <w:pPr>
              <w:jc w:val="both"/>
              <w:rPr>
                <w:rFonts w:hint="eastAsia" w:ascii="宋体" w:hAnsi="宋体" w:eastAsia="宋体" w:cs="宋体"/>
                <w:i w:val="0"/>
                <w:color w:val="000000"/>
                <w:sz w:val="24"/>
                <w:szCs w:val="24"/>
                <w:u w:val="none"/>
              </w:rPr>
            </w:pPr>
          </w:p>
        </w:tc>
        <w:tc>
          <w:tcPr>
            <w:tcW w:w="1416" w:type="dxa"/>
            <w:shd w:val="clear"/>
            <w:vAlign w:val="center"/>
          </w:tcPr>
          <w:p>
            <w:pPr>
              <w:jc w:val="both"/>
              <w:rPr>
                <w:rFonts w:hint="eastAsia" w:ascii="宋体" w:hAnsi="宋体" w:eastAsia="宋体" w:cs="宋体"/>
                <w:i w:val="0"/>
                <w:color w:val="000000"/>
                <w:sz w:val="24"/>
                <w:szCs w:val="24"/>
                <w:u w:val="none"/>
              </w:rPr>
            </w:pPr>
          </w:p>
        </w:tc>
        <w:tc>
          <w:tcPr>
            <w:tcW w:w="752" w:type="dxa"/>
            <w:shd w:val="clear"/>
            <w:vAlign w:val="center"/>
          </w:tcPr>
          <w:p>
            <w:pPr>
              <w:jc w:val="both"/>
              <w:rPr>
                <w:rFonts w:hint="eastAsia" w:ascii="宋体" w:hAnsi="宋体" w:eastAsia="宋体" w:cs="宋体"/>
                <w:i w:val="0"/>
                <w:color w:val="000000"/>
                <w:sz w:val="24"/>
                <w:szCs w:val="24"/>
                <w:u w:val="none"/>
              </w:rPr>
            </w:pPr>
          </w:p>
        </w:tc>
        <w:tc>
          <w:tcPr>
            <w:tcW w:w="961" w:type="dxa"/>
            <w:shd w:val="clear"/>
            <w:vAlign w:val="center"/>
          </w:tcPr>
          <w:p>
            <w:pPr>
              <w:jc w:val="both"/>
              <w:rPr>
                <w:rFonts w:hint="eastAsia" w:ascii="宋体" w:hAnsi="宋体" w:eastAsia="宋体" w:cs="宋体"/>
                <w:i w:val="0"/>
                <w:color w:val="000000"/>
                <w:sz w:val="24"/>
                <w:szCs w:val="24"/>
                <w:u w:val="none"/>
              </w:rPr>
            </w:pPr>
          </w:p>
        </w:tc>
        <w:tc>
          <w:tcPr>
            <w:tcW w:w="1413" w:type="dxa"/>
            <w:shd w:val="cle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80" w:hRule="atLeast"/>
        </w:trPr>
        <w:tc>
          <w:tcPr>
            <w:tcW w:w="3692"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项目</w:t>
            </w:r>
          </w:p>
        </w:tc>
        <w:tc>
          <w:tcPr>
            <w:tcW w:w="752"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合计</w:t>
            </w:r>
          </w:p>
        </w:tc>
        <w:tc>
          <w:tcPr>
            <w:tcW w:w="6418" w:type="dxa"/>
            <w:gridSpan w:val="5"/>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一般债务</w:t>
            </w:r>
          </w:p>
        </w:tc>
        <w:tc>
          <w:tcPr>
            <w:tcW w:w="3126" w:type="dxa"/>
            <w:gridSpan w:val="3"/>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专项债务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80" w:hRule="atLeast"/>
        </w:trPr>
        <w:tc>
          <w:tcPr>
            <w:tcW w:w="3692"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i w:val="0"/>
                <w:color w:val="444444"/>
                <w:sz w:val="24"/>
                <w:szCs w:val="24"/>
                <w:u w:val="none"/>
              </w:rPr>
            </w:pPr>
          </w:p>
        </w:tc>
        <w:tc>
          <w:tcPr>
            <w:tcW w:w="752"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b/>
                <w:i w:val="0"/>
                <w:color w:val="444444"/>
                <w:sz w:val="24"/>
                <w:szCs w:val="24"/>
                <w:u w:val="none"/>
              </w:rPr>
            </w:pPr>
          </w:p>
        </w:tc>
        <w:tc>
          <w:tcPr>
            <w:tcW w:w="75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小计</w:t>
            </w:r>
          </w:p>
        </w:tc>
        <w:tc>
          <w:tcPr>
            <w:tcW w:w="96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一般债券</w:t>
            </w:r>
          </w:p>
        </w:tc>
        <w:tc>
          <w:tcPr>
            <w:tcW w:w="164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向外国政府借款</w:t>
            </w:r>
          </w:p>
        </w:tc>
        <w:tc>
          <w:tcPr>
            <w:tcW w:w="164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向国际组织借款</w:t>
            </w:r>
          </w:p>
        </w:tc>
        <w:tc>
          <w:tcPr>
            <w:tcW w:w="141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其他一般债务</w:t>
            </w:r>
          </w:p>
        </w:tc>
        <w:tc>
          <w:tcPr>
            <w:tcW w:w="75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小计</w:t>
            </w:r>
          </w:p>
        </w:tc>
        <w:tc>
          <w:tcPr>
            <w:tcW w:w="96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专项债券</w:t>
            </w:r>
          </w:p>
        </w:tc>
        <w:tc>
          <w:tcPr>
            <w:tcW w:w="141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444444"/>
                <w:sz w:val="24"/>
                <w:szCs w:val="24"/>
                <w:u w:val="none"/>
              </w:rPr>
            </w:pPr>
            <w:r>
              <w:rPr>
                <w:rFonts w:hint="eastAsia" w:ascii="宋体" w:hAnsi="宋体" w:eastAsia="宋体" w:cs="宋体"/>
                <w:b/>
                <w:i w:val="0"/>
                <w:color w:val="444444"/>
                <w:kern w:val="0"/>
                <w:sz w:val="24"/>
                <w:szCs w:val="24"/>
                <w:u w:val="none"/>
                <w:lang w:val="en-US" w:eastAsia="zh-CN" w:bidi="ar"/>
              </w:rPr>
              <w:t>其他专项债务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80" w:hRule="atLeast"/>
        </w:trPr>
        <w:tc>
          <w:tcPr>
            <w:tcW w:w="36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上年末地方政府债务余额</w:t>
            </w:r>
          </w:p>
        </w:tc>
        <w:tc>
          <w:tcPr>
            <w:tcW w:w="75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325763 </w:t>
            </w:r>
          </w:p>
        </w:tc>
        <w:tc>
          <w:tcPr>
            <w:tcW w:w="75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212065 </w:t>
            </w:r>
          </w:p>
        </w:tc>
        <w:tc>
          <w:tcPr>
            <w:tcW w:w="96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201516 </w:t>
            </w:r>
          </w:p>
        </w:tc>
        <w:tc>
          <w:tcPr>
            <w:tcW w:w="164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 </w:t>
            </w:r>
          </w:p>
        </w:tc>
        <w:tc>
          <w:tcPr>
            <w:tcW w:w="164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9001 </w:t>
            </w:r>
          </w:p>
        </w:tc>
        <w:tc>
          <w:tcPr>
            <w:tcW w:w="141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1548 </w:t>
            </w:r>
          </w:p>
        </w:tc>
        <w:tc>
          <w:tcPr>
            <w:tcW w:w="75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113698 </w:t>
            </w:r>
          </w:p>
        </w:tc>
        <w:tc>
          <w:tcPr>
            <w:tcW w:w="96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113698 </w:t>
            </w:r>
          </w:p>
        </w:tc>
        <w:tc>
          <w:tcPr>
            <w:tcW w:w="141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80" w:hRule="atLeast"/>
        </w:trPr>
        <w:tc>
          <w:tcPr>
            <w:tcW w:w="36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本年地方政府债务余额限额(预算数)</w:t>
            </w:r>
          </w:p>
        </w:tc>
        <w:tc>
          <w:tcPr>
            <w:tcW w:w="75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349224 </w:t>
            </w:r>
          </w:p>
        </w:tc>
        <w:tc>
          <w:tcPr>
            <w:tcW w:w="75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215026 </w:t>
            </w:r>
          </w:p>
        </w:tc>
        <w:tc>
          <w:tcPr>
            <w:tcW w:w="961"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164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164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1416" w:type="dxa"/>
            <w:tcBorders>
              <w:top w:val="single" w:color="000000" w:sz="4" w:space="0"/>
              <w:left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75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134198 </w:t>
            </w:r>
          </w:p>
        </w:tc>
        <w:tc>
          <w:tcPr>
            <w:tcW w:w="961"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141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80" w:hRule="atLeast"/>
        </w:trPr>
        <w:tc>
          <w:tcPr>
            <w:tcW w:w="36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本年地方政府债务(转贷)收入</w:t>
            </w:r>
          </w:p>
        </w:tc>
        <w:tc>
          <w:tcPr>
            <w:tcW w:w="75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41735 </w:t>
            </w:r>
          </w:p>
        </w:tc>
        <w:tc>
          <w:tcPr>
            <w:tcW w:w="75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9291 </w:t>
            </w:r>
          </w:p>
        </w:tc>
        <w:tc>
          <w:tcPr>
            <w:tcW w:w="96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8700 </w:t>
            </w:r>
          </w:p>
        </w:tc>
        <w:tc>
          <w:tcPr>
            <w:tcW w:w="1644"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1645" w:type="dxa"/>
            <w:tcBorders>
              <w:top w:val="single" w:color="000000" w:sz="4" w:space="0"/>
              <w:left w:val="single" w:color="000000" w:sz="4" w:space="0"/>
              <w:bottom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141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591 </w:t>
            </w:r>
          </w:p>
        </w:tc>
        <w:tc>
          <w:tcPr>
            <w:tcW w:w="75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32444 </w:t>
            </w:r>
          </w:p>
        </w:tc>
        <w:tc>
          <w:tcPr>
            <w:tcW w:w="96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32444 </w:t>
            </w:r>
          </w:p>
        </w:tc>
        <w:tc>
          <w:tcPr>
            <w:tcW w:w="1413"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80" w:hRule="atLeast"/>
        </w:trPr>
        <w:tc>
          <w:tcPr>
            <w:tcW w:w="36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本年地方政府债务还本支出</w:t>
            </w:r>
          </w:p>
        </w:tc>
        <w:tc>
          <w:tcPr>
            <w:tcW w:w="75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25632 </w:t>
            </w:r>
          </w:p>
        </w:tc>
        <w:tc>
          <w:tcPr>
            <w:tcW w:w="75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8936 </w:t>
            </w:r>
          </w:p>
        </w:tc>
        <w:tc>
          <w:tcPr>
            <w:tcW w:w="96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7711 </w:t>
            </w:r>
          </w:p>
        </w:tc>
        <w:tc>
          <w:tcPr>
            <w:tcW w:w="164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23 </w:t>
            </w:r>
          </w:p>
        </w:tc>
        <w:tc>
          <w:tcPr>
            <w:tcW w:w="164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402 </w:t>
            </w:r>
          </w:p>
        </w:tc>
        <w:tc>
          <w:tcPr>
            <w:tcW w:w="1416" w:type="dxa"/>
            <w:tcBorders>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800 </w:t>
            </w:r>
          </w:p>
        </w:tc>
        <w:tc>
          <w:tcPr>
            <w:tcW w:w="75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16696 </w:t>
            </w:r>
          </w:p>
        </w:tc>
        <w:tc>
          <w:tcPr>
            <w:tcW w:w="961"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141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16696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80" w:hRule="atLeast"/>
        </w:trPr>
        <w:tc>
          <w:tcPr>
            <w:tcW w:w="36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本年采用其他方式化解的债务本金</w:t>
            </w:r>
          </w:p>
        </w:tc>
        <w:tc>
          <w:tcPr>
            <w:tcW w:w="75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-17886 </w:t>
            </w:r>
          </w:p>
        </w:tc>
        <w:tc>
          <w:tcPr>
            <w:tcW w:w="75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-1190 </w:t>
            </w:r>
          </w:p>
        </w:tc>
        <w:tc>
          <w:tcPr>
            <w:tcW w:w="96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-591 </w:t>
            </w:r>
          </w:p>
        </w:tc>
        <w:tc>
          <w:tcPr>
            <w:tcW w:w="164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-23 </w:t>
            </w:r>
          </w:p>
        </w:tc>
        <w:tc>
          <w:tcPr>
            <w:tcW w:w="164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-417 </w:t>
            </w:r>
          </w:p>
        </w:tc>
        <w:tc>
          <w:tcPr>
            <w:tcW w:w="141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-159 </w:t>
            </w:r>
          </w:p>
        </w:tc>
        <w:tc>
          <w:tcPr>
            <w:tcW w:w="75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-16696 </w:t>
            </w:r>
          </w:p>
        </w:tc>
        <w:tc>
          <w:tcPr>
            <w:tcW w:w="961"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color w:val="444444"/>
                <w:sz w:val="24"/>
                <w:szCs w:val="24"/>
                <w:u w:val="none"/>
              </w:rPr>
            </w:pPr>
          </w:p>
        </w:tc>
        <w:tc>
          <w:tcPr>
            <w:tcW w:w="141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-16696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80" w:hRule="atLeast"/>
        </w:trPr>
        <w:tc>
          <w:tcPr>
            <w:tcW w:w="369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年末地方政府债务余额</w:t>
            </w:r>
          </w:p>
        </w:tc>
        <w:tc>
          <w:tcPr>
            <w:tcW w:w="75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359752 </w:t>
            </w:r>
          </w:p>
        </w:tc>
        <w:tc>
          <w:tcPr>
            <w:tcW w:w="75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213610 </w:t>
            </w:r>
          </w:p>
        </w:tc>
        <w:tc>
          <w:tcPr>
            <w:tcW w:w="96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203096 </w:t>
            </w:r>
          </w:p>
        </w:tc>
        <w:tc>
          <w:tcPr>
            <w:tcW w:w="164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 </w:t>
            </w:r>
          </w:p>
        </w:tc>
        <w:tc>
          <w:tcPr>
            <w:tcW w:w="164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9016 </w:t>
            </w:r>
          </w:p>
        </w:tc>
        <w:tc>
          <w:tcPr>
            <w:tcW w:w="141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1498 </w:t>
            </w:r>
          </w:p>
        </w:tc>
        <w:tc>
          <w:tcPr>
            <w:tcW w:w="75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146142 </w:t>
            </w:r>
          </w:p>
        </w:tc>
        <w:tc>
          <w:tcPr>
            <w:tcW w:w="961"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146142 </w:t>
            </w:r>
          </w:p>
        </w:tc>
        <w:tc>
          <w:tcPr>
            <w:tcW w:w="141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color w:val="444444"/>
                <w:sz w:val="24"/>
                <w:szCs w:val="24"/>
                <w:u w:val="none"/>
              </w:rPr>
            </w:pPr>
            <w:r>
              <w:rPr>
                <w:rFonts w:hint="eastAsia" w:ascii="宋体" w:hAnsi="宋体" w:eastAsia="宋体" w:cs="宋体"/>
                <w:i w:val="0"/>
                <w:color w:val="444444"/>
                <w:kern w:val="0"/>
                <w:sz w:val="24"/>
                <w:szCs w:val="24"/>
                <w:u w:val="none"/>
                <w:lang w:val="en-US" w:eastAsia="zh-CN" w:bidi="ar"/>
              </w:rPr>
              <w:t xml:space="preserve">0 </w:t>
            </w:r>
          </w:p>
        </w:tc>
      </w:tr>
      <w:bookmarkEnd w:id="0"/>
    </w:tbl>
    <w:p>
      <w:pPr>
        <w:rPr>
          <w:rFonts w:hint="eastAsia" w:ascii="宋体" w:hAnsi="宋体" w:eastAsia="宋体" w:cs="宋体"/>
          <w:sz w:val="24"/>
          <w:szCs w:val="24"/>
          <w:lang w:val="en-US" w:eastAsia="zh-CN"/>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Arial Unicode MS"/>
    <w:panose1 w:val="02000000000000000000"/>
    <w:charset w:val="86"/>
    <w:family w:val="roman"/>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E11401"/>
    <w:rsid w:val="049547E3"/>
    <w:rsid w:val="0643613D"/>
    <w:rsid w:val="0BD905A9"/>
    <w:rsid w:val="1240610F"/>
    <w:rsid w:val="1E4C0D62"/>
    <w:rsid w:val="21D45294"/>
    <w:rsid w:val="22942423"/>
    <w:rsid w:val="256951BB"/>
    <w:rsid w:val="28011D93"/>
    <w:rsid w:val="28D80639"/>
    <w:rsid w:val="2CF220FC"/>
    <w:rsid w:val="3F203DBE"/>
    <w:rsid w:val="47E11401"/>
    <w:rsid w:val="484D0292"/>
    <w:rsid w:val="485C709E"/>
    <w:rsid w:val="4919206F"/>
    <w:rsid w:val="4CA8220B"/>
    <w:rsid w:val="518A4096"/>
    <w:rsid w:val="582F0DD5"/>
    <w:rsid w:val="5887781E"/>
    <w:rsid w:val="5BAC6248"/>
    <w:rsid w:val="5C440EF5"/>
    <w:rsid w:val="5D3879BD"/>
    <w:rsid w:val="63872E1B"/>
    <w:rsid w:val="648E2101"/>
    <w:rsid w:val="69D81CEE"/>
    <w:rsid w:val="6B8D5AAF"/>
    <w:rsid w:val="6CA0488E"/>
    <w:rsid w:val="6E4A61DE"/>
    <w:rsid w:val="72D6632F"/>
    <w:rsid w:val="77351B96"/>
    <w:rsid w:val="7A3864EC"/>
    <w:rsid w:val="7FEA64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pPr>
    <w:rPr>
      <w:rFonts w:ascii="Times New Roman" w:hAnsi="Times New Roman" w:eastAsia="宋体" w:cs="Times New Roman"/>
      <w:kern w:val="2"/>
      <w:sz w:val="21"/>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Body Text First Indent 2"/>
    <w:basedOn w:val="3"/>
    <w:next w:val="1"/>
    <w:uiPriority w:val="0"/>
    <w:pPr>
      <w:ind w:firstLine="420" w:firstLineChars="200"/>
    </w:pPr>
  </w:style>
  <w:style w:type="paragraph" w:styleId="3">
    <w:name w:val="Body Text Indent"/>
    <w:basedOn w:val="1"/>
    <w:uiPriority w:val="0"/>
    <w:pPr>
      <w:ind w:firstLine="640" w:firstLineChars="200"/>
    </w:pPr>
    <w:rPr>
      <w:rFonts w:ascii="仿宋_GB2312" w:eastAsia="仿宋_GB2312"/>
      <w:sz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444444"/>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111</Company>
  <Pages>1</Pages>
  <Words>0</Words>
  <Characters>0</Characters>
  <Lines>0</Lines>
  <Paragraphs>0</Paragraphs>
  <TotalTime>1022</TotalTime>
  <ScaleCrop>false</ScaleCrop>
  <LinksUpToDate>false</LinksUpToDate>
  <CharactersWithSpaces>0</CharactersWithSpaces>
  <Application>WPS Office_10.8.0.6470_F1E327BC-269C-435d-A152-05C5408002CA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2026-09-09T09:02:00Z</dcterms:created>
  <dc:creator>Administrator</dc:creator>
  <cp:lastModifiedBy>Administrator</cp:lastModifiedBy>
  <dcterms:modified xsi:type="dcterms:W3CDTF">2026-09-10T02:27:33Z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2052-10.8.0.6470</vt:lpwstr>
  </property>
</Properties>
</file>