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center"/>
        <w:rPr>
          <w:rFonts w:hAnsi="黑体" w:eastAsia="黑体"/>
          <w:b/>
          <w:bCs/>
          <w:sz w:val="44"/>
          <w:szCs w:val="44"/>
        </w:rPr>
      </w:pPr>
    </w:p>
    <w:p>
      <w:pPr>
        <w:spacing w:line="720" w:lineRule="exact"/>
        <w:jc w:val="center"/>
        <w:rPr>
          <w:rFonts w:hAnsi="黑体" w:eastAsia="黑体"/>
          <w:b/>
          <w:bCs/>
          <w:sz w:val="44"/>
          <w:szCs w:val="44"/>
        </w:rPr>
      </w:pPr>
    </w:p>
    <w:p>
      <w:pPr>
        <w:spacing w:line="720" w:lineRule="auto"/>
        <w:jc w:val="center"/>
        <w:rPr>
          <w:rFonts w:hAnsi="黑体" w:eastAsia="黑体"/>
          <w:b/>
          <w:bCs/>
          <w:sz w:val="52"/>
          <w:szCs w:val="52"/>
        </w:rPr>
      </w:pPr>
      <w:r>
        <w:rPr>
          <w:rFonts w:hint="eastAsia" w:hAnsi="黑体" w:eastAsia="黑体"/>
          <w:b/>
          <w:bCs/>
          <w:sz w:val="52"/>
          <w:szCs w:val="52"/>
        </w:rPr>
        <w:t>汾阳市褚凤养殖场</w:t>
      </w:r>
    </w:p>
    <w:p>
      <w:pPr>
        <w:spacing w:line="720" w:lineRule="auto"/>
        <w:jc w:val="center"/>
        <w:rPr>
          <w:rFonts w:hAnsi="黑体" w:eastAsia="黑体"/>
          <w:b/>
          <w:bCs/>
          <w:sz w:val="52"/>
          <w:szCs w:val="52"/>
        </w:rPr>
      </w:pPr>
      <w:r>
        <w:rPr>
          <w:rFonts w:hint="eastAsia" w:hAnsi="黑体" w:eastAsia="黑体"/>
          <w:b/>
          <w:bCs/>
          <w:sz w:val="52"/>
          <w:szCs w:val="52"/>
        </w:rPr>
        <w:t>汾阳市褚凤肉鸡养殖项目</w:t>
      </w:r>
    </w:p>
    <w:p>
      <w:pPr>
        <w:spacing w:line="720" w:lineRule="auto"/>
        <w:jc w:val="center"/>
        <w:rPr>
          <w:rFonts w:hAnsi="黑体" w:eastAsia="黑体"/>
          <w:b/>
          <w:bCs/>
          <w:sz w:val="52"/>
          <w:szCs w:val="52"/>
        </w:rPr>
      </w:pPr>
      <w:bookmarkStart w:id="0" w:name="OLE_LINK5"/>
      <w:r>
        <w:rPr>
          <w:rFonts w:hAnsi="黑体" w:eastAsia="黑体"/>
          <w:b/>
          <w:bCs/>
          <w:sz w:val="52"/>
          <w:szCs w:val="52"/>
        </w:rPr>
        <w:t>环 境 影 响 报 告</w:t>
      </w:r>
      <w:bookmarkEnd w:id="0"/>
      <w:r>
        <w:rPr>
          <w:rFonts w:hint="eastAsia" w:hAnsi="黑体" w:eastAsia="黑体"/>
          <w:b/>
          <w:bCs/>
          <w:sz w:val="52"/>
          <w:szCs w:val="52"/>
        </w:rPr>
        <w:t xml:space="preserve"> 书</w:t>
      </w:r>
    </w:p>
    <w:p>
      <w:pPr>
        <w:spacing w:line="720" w:lineRule="auto"/>
        <w:jc w:val="center"/>
        <w:rPr>
          <w:rFonts w:hAnsi="黑体" w:eastAsia="黑体"/>
          <w:b/>
          <w:bCs/>
          <w:sz w:val="44"/>
          <w:szCs w:val="48"/>
        </w:rPr>
      </w:pPr>
      <w:r>
        <w:rPr>
          <w:rFonts w:hint="eastAsia" w:hAnsi="黑体" w:eastAsia="黑体"/>
          <w:b/>
          <w:bCs/>
          <w:sz w:val="44"/>
          <w:szCs w:val="48"/>
        </w:rPr>
        <w:t>（报 批 本）</w:t>
      </w:r>
    </w:p>
    <w:p>
      <w:pPr>
        <w:spacing w:line="720" w:lineRule="auto"/>
        <w:jc w:val="center"/>
        <w:rPr>
          <w:rFonts w:hAnsi="黑体" w:eastAsia="黑体"/>
          <w:b/>
          <w:bCs/>
          <w:sz w:val="44"/>
          <w:szCs w:val="44"/>
        </w:rPr>
      </w:pPr>
    </w:p>
    <w:p>
      <w:pPr>
        <w:spacing w:line="720" w:lineRule="auto"/>
        <w:jc w:val="center"/>
        <w:rPr>
          <w:rFonts w:hAnsi="黑体" w:eastAsia="黑体"/>
          <w:b/>
          <w:bCs/>
          <w:sz w:val="44"/>
          <w:szCs w:val="44"/>
        </w:rPr>
      </w:pPr>
    </w:p>
    <w:p>
      <w:pPr>
        <w:spacing w:line="720" w:lineRule="auto"/>
        <w:jc w:val="center"/>
        <w:rPr>
          <w:rFonts w:hAnsi="黑体" w:eastAsia="黑体"/>
          <w:b/>
          <w:bCs/>
          <w:sz w:val="44"/>
          <w:szCs w:val="44"/>
        </w:rPr>
      </w:pPr>
    </w:p>
    <w:p>
      <w:pPr>
        <w:spacing w:line="720" w:lineRule="auto"/>
        <w:jc w:val="center"/>
        <w:rPr>
          <w:rFonts w:hAnsi="黑体" w:eastAsia="黑体"/>
          <w:b/>
          <w:bCs/>
          <w:sz w:val="44"/>
          <w:szCs w:val="44"/>
        </w:rPr>
      </w:pPr>
    </w:p>
    <w:p>
      <w:pPr>
        <w:spacing w:line="720" w:lineRule="auto"/>
        <w:jc w:val="center"/>
        <w:rPr>
          <w:rFonts w:hAnsi="黑体" w:eastAsia="黑体"/>
          <w:b/>
          <w:bCs/>
          <w:sz w:val="44"/>
          <w:szCs w:val="44"/>
        </w:rPr>
      </w:pPr>
    </w:p>
    <w:p>
      <w:pPr>
        <w:spacing w:line="720" w:lineRule="auto"/>
        <w:jc w:val="center"/>
        <w:rPr>
          <w:rFonts w:hAnsi="黑体" w:eastAsia="黑体"/>
          <w:b/>
          <w:bCs/>
          <w:sz w:val="44"/>
          <w:szCs w:val="44"/>
        </w:rPr>
      </w:pPr>
    </w:p>
    <w:p>
      <w:pPr>
        <w:spacing w:line="720" w:lineRule="auto"/>
        <w:jc w:val="center"/>
        <w:rPr>
          <w:rFonts w:hAnsi="黑体" w:eastAsia="黑体"/>
          <w:b/>
          <w:bCs/>
          <w:sz w:val="44"/>
          <w:szCs w:val="44"/>
        </w:rPr>
      </w:pPr>
    </w:p>
    <w:p>
      <w:pPr>
        <w:spacing w:line="720" w:lineRule="exact"/>
        <w:jc w:val="center"/>
        <w:rPr>
          <w:rFonts w:eastAsia="黑体"/>
          <w:b/>
          <w:bCs/>
          <w:sz w:val="32"/>
          <w:szCs w:val="32"/>
        </w:rPr>
      </w:pPr>
      <w:bookmarkStart w:id="1" w:name="_Hlk8632063"/>
      <w:r>
        <w:rPr>
          <w:rFonts w:hint="eastAsia" w:hAnsi="黑体" w:eastAsia="黑体"/>
          <w:b/>
          <w:bCs/>
          <w:sz w:val="32"/>
          <w:szCs w:val="32"/>
        </w:rPr>
        <w:t>山西山大科技发展有限公司</w:t>
      </w:r>
      <w:bookmarkEnd w:id="1"/>
    </w:p>
    <w:p>
      <w:pPr>
        <w:spacing w:line="720" w:lineRule="auto"/>
        <w:jc w:val="center"/>
        <w:rPr>
          <w:rFonts w:hAnsi="黑体" w:eastAsia="黑体"/>
          <w:b/>
          <w:bCs/>
          <w:sz w:val="32"/>
          <w:szCs w:val="32"/>
        </w:rPr>
      </w:pPr>
      <w:r>
        <w:rPr>
          <w:rFonts w:hAnsi="黑体" w:eastAsia="黑体"/>
          <w:b/>
          <w:bCs/>
          <w:sz w:val="32"/>
          <w:szCs w:val="32"/>
        </w:rPr>
        <w:t>二</w:t>
      </w:r>
      <w:r>
        <w:rPr>
          <w:rFonts w:eastAsia="黑体"/>
          <w:b/>
          <w:bCs/>
          <w:sz w:val="32"/>
          <w:szCs w:val="32"/>
        </w:rPr>
        <w:t>0</w:t>
      </w:r>
      <w:r>
        <w:rPr>
          <w:rFonts w:hAnsi="黑体" w:eastAsia="黑体"/>
          <w:b/>
          <w:bCs/>
          <w:sz w:val="32"/>
          <w:szCs w:val="32"/>
        </w:rPr>
        <w:t>一</w:t>
      </w:r>
      <w:r>
        <w:rPr>
          <w:rFonts w:hint="eastAsia" w:hAnsi="黑体" w:eastAsia="黑体"/>
          <w:b/>
          <w:bCs/>
          <w:sz w:val="32"/>
          <w:szCs w:val="32"/>
        </w:rPr>
        <w:t>九</w:t>
      </w:r>
      <w:r>
        <w:rPr>
          <w:rFonts w:hAnsi="黑体" w:eastAsia="黑体"/>
          <w:b/>
          <w:bCs/>
          <w:sz w:val="32"/>
          <w:szCs w:val="32"/>
        </w:rPr>
        <w:t>年</w:t>
      </w:r>
      <w:r>
        <w:rPr>
          <w:rFonts w:hint="eastAsia" w:hAnsi="黑体" w:eastAsia="黑体"/>
          <w:b/>
          <w:bCs/>
          <w:sz w:val="32"/>
          <w:szCs w:val="32"/>
        </w:rPr>
        <w:t>十</w:t>
      </w:r>
      <w:r>
        <w:rPr>
          <w:rFonts w:hAnsi="黑体" w:eastAsia="黑体"/>
          <w:b/>
          <w:bCs/>
          <w:sz w:val="32"/>
          <w:szCs w:val="32"/>
        </w:rPr>
        <w:t>月</w:t>
      </w: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pPr>
    </w:p>
    <w:p>
      <w:pPr>
        <w:spacing w:line="720" w:lineRule="auto"/>
        <w:jc w:val="center"/>
        <w:rPr>
          <w:rFonts w:hAnsi="黑体" w:eastAsia="黑体"/>
          <w:b/>
          <w:bCs/>
          <w:sz w:val="32"/>
          <w:szCs w:val="32"/>
        </w:rPr>
        <w:sectPr>
          <w:pgSz w:w="11906" w:h="16838"/>
          <w:pgMar w:top="1440" w:right="1531" w:bottom="1440" w:left="1531" w:header="851" w:footer="992" w:gutter="0"/>
          <w:cols w:space="425" w:num="1"/>
          <w:docGrid w:type="linesAndChars" w:linePitch="312" w:charSpace="0"/>
        </w:sectPr>
      </w:pPr>
    </w:p>
    <w:p>
      <w:pPr>
        <w:spacing w:line="720" w:lineRule="auto"/>
        <w:jc w:val="center"/>
        <w:rPr>
          <w:rFonts w:hAnsi="黑体" w:eastAsia="黑体"/>
          <w:b/>
          <w:bCs/>
          <w:sz w:val="44"/>
          <w:szCs w:val="44"/>
        </w:rPr>
      </w:pPr>
      <w:r>
        <w:rPr>
          <w:rFonts w:hint="eastAsia" w:hAnsi="黑体" w:eastAsia="黑体"/>
          <w:b/>
          <w:bCs/>
          <w:sz w:val="44"/>
          <w:szCs w:val="44"/>
        </w:rPr>
        <w:t>目  录</w:t>
      </w:r>
    </w:p>
    <w:p>
      <w:pPr>
        <w:pStyle w:val="19"/>
        <w:tabs>
          <w:tab w:val="right" w:leader="dot" w:pos="8720"/>
        </w:tabs>
        <w:rPr>
          <w:rFonts w:eastAsiaTheme="minorEastAsia" w:cstheme="minorBidi"/>
          <w:bCs w:val="0"/>
          <w:iCs w:val="0"/>
          <w:sz w:val="21"/>
          <w:szCs w:val="22"/>
        </w:rPr>
      </w:pPr>
      <w:r>
        <w:rPr>
          <w:rFonts w:hAnsi="黑体" w:eastAsia="黑体"/>
          <w:i/>
        </w:rPr>
        <w:fldChar w:fldCharType="begin"/>
      </w:r>
      <w:r>
        <w:rPr>
          <w:rFonts w:hAnsi="黑体" w:eastAsia="黑体"/>
        </w:rPr>
        <w:instrText xml:space="preserve"> TOC \o "1-2" \h \z \u </w:instrText>
      </w:r>
      <w:r>
        <w:rPr>
          <w:rFonts w:hAnsi="黑体" w:eastAsia="黑体"/>
          <w:i/>
        </w:rPr>
        <w:fldChar w:fldCharType="separate"/>
      </w:r>
      <w:r>
        <w:fldChar w:fldCharType="begin"/>
      </w:r>
      <w:r>
        <w:instrText xml:space="preserve"> HYPERLINK \l "_Toc19105440" </w:instrText>
      </w:r>
      <w:r>
        <w:fldChar w:fldCharType="separate"/>
      </w:r>
      <w:r>
        <w:rPr>
          <w:rStyle w:val="35"/>
          <w:rFonts w:hAnsi="黑体" w:eastAsia="黑体"/>
          <w:b/>
        </w:rPr>
        <w:t>1 概述</w:t>
      </w:r>
      <w:r>
        <w:tab/>
      </w:r>
      <w:r>
        <w:fldChar w:fldCharType="begin"/>
      </w:r>
      <w:r>
        <w:instrText xml:space="preserve"> PAGEREF _Toc19105440 \h </w:instrText>
      </w:r>
      <w:r>
        <w:fldChar w:fldCharType="separate"/>
      </w:r>
      <w:r>
        <w:t>1</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"_Toc19105441" </w:instrText>
      </w:r>
      <w:r>
        <w:fldChar w:fldCharType="separate"/>
      </w:r>
      <w:r>
        <w:rPr>
          <w:rStyle w:val="35"/>
          <w:rFonts w:ascii="Times New Roman" w:hAnsi="Times New Roman"/>
        </w:rPr>
        <w:t>1.1</w:t>
      </w:r>
      <w:r>
        <w:rPr>
          <w:rStyle w:val="35"/>
          <w:rFonts w:ascii="Times New Roman" w:hAnsi="宋体"/>
        </w:rPr>
        <w:t>项目背景</w:t>
      </w:r>
      <w:r>
        <w:tab/>
      </w:r>
      <w:r>
        <w:fldChar w:fldCharType="begin"/>
      </w:r>
      <w:r>
        <w:instrText xml:space="preserve"> PAGEREF _Toc19105441 \h </w:instrText>
      </w:r>
      <w:r>
        <w:fldChar w:fldCharType="separate"/>
      </w:r>
      <w:r>
        <w:t>1</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"_Toc19105442" </w:instrText>
      </w:r>
      <w:r>
        <w:fldChar w:fldCharType="separate"/>
      </w:r>
      <w:r>
        <w:rPr>
          <w:rStyle w:val="35"/>
          <w:rFonts w:ascii="Times New Roman" w:hAnsi="Times New Roman"/>
        </w:rPr>
        <w:t>1.2</w:t>
      </w:r>
      <w:r>
        <w:rPr>
          <w:rStyle w:val="35"/>
          <w:rFonts w:ascii="Times New Roman" w:hAnsi="宋体"/>
        </w:rPr>
        <w:t>项目特点</w:t>
      </w:r>
      <w:r>
        <w:tab/>
      </w:r>
      <w:r>
        <w:fldChar w:fldCharType="begin"/>
      </w:r>
      <w:r>
        <w:instrText xml:space="preserve"> PAGEREF _Toc19105442 \h </w:instrText>
      </w:r>
      <w:r>
        <w:fldChar w:fldCharType="separate"/>
      </w:r>
      <w:r>
        <w:t>1</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"_Toc19105443" </w:instrText>
      </w:r>
      <w:r>
        <w:fldChar w:fldCharType="separate"/>
      </w:r>
      <w:r>
        <w:rPr>
          <w:rStyle w:val="35"/>
        </w:rPr>
        <w:t>1.3</w:t>
      </w:r>
      <w:r>
        <w:rPr>
          <w:rStyle w:val="35"/>
          <w:rFonts w:hAnsi="宋体"/>
        </w:rPr>
        <w:t>环境影响评价工作过程</w:t>
      </w:r>
      <w:r>
        <w:tab/>
      </w:r>
      <w:r>
        <w:fldChar w:fldCharType="begin"/>
      </w:r>
      <w:r>
        <w:instrText xml:space="preserve"> PAGEREF _Toc19105443 \h </w:instrText>
      </w:r>
      <w:r>
        <w:fldChar w:fldCharType="separate"/>
      </w:r>
      <w:r>
        <w:t>4</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"_Toc19105444" </w:instrText>
      </w:r>
      <w:r>
        <w:fldChar w:fldCharType="separate"/>
      </w:r>
      <w:r>
        <w:rPr>
          <w:rStyle w:val="35"/>
        </w:rPr>
        <w:t>1.4</w:t>
      </w:r>
      <w:r>
        <w:rPr>
          <w:rStyle w:val="35"/>
          <w:rFonts w:ascii="宋体" w:hAnsi="宋体"/>
        </w:rPr>
        <w:t>分析判定相关情况</w:t>
      </w:r>
      <w:r>
        <w:tab/>
      </w:r>
      <w:r>
        <w:fldChar w:fldCharType="begin"/>
      </w:r>
      <w:r>
        <w:instrText xml:space="preserve"> PAGEREF _Toc19105444 \h </w:instrText>
      </w:r>
      <w:r>
        <w:fldChar w:fldCharType="separate"/>
      </w:r>
      <w:r>
        <w:t>6</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"_Toc19105445" </w:instrText>
      </w:r>
      <w:r>
        <w:fldChar w:fldCharType="separate"/>
      </w:r>
      <w:r>
        <w:rPr>
          <w:rStyle w:val="35"/>
        </w:rPr>
        <w:t>1.5</w:t>
      </w:r>
      <w:r>
        <w:rPr>
          <w:rStyle w:val="35"/>
          <w:rFonts w:ascii="宋体" w:hAnsi="宋体"/>
        </w:rPr>
        <w:t>关注的主要环境问题及环境影响</w:t>
      </w:r>
      <w:r>
        <w:tab/>
      </w:r>
      <w:r>
        <w:fldChar w:fldCharType="begin"/>
      </w:r>
      <w:r>
        <w:instrText xml:space="preserve"> PAGEREF _Toc19105445 \h </w:instrText>
      </w:r>
      <w:r>
        <w:fldChar w:fldCharType="separate"/>
      </w:r>
      <w:r>
        <w:t>11</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"_Toc19105446" </w:instrText>
      </w:r>
      <w:r>
        <w:fldChar w:fldCharType="separate"/>
      </w:r>
      <w:r>
        <w:rPr>
          <w:rStyle w:val="35"/>
        </w:rPr>
        <w:t>1.6</w:t>
      </w:r>
      <w:r>
        <w:rPr>
          <w:rStyle w:val="35"/>
          <w:rFonts w:ascii="宋体" w:hAnsi="宋体"/>
        </w:rPr>
        <w:t>环境影响评价主要结论</w:t>
      </w:r>
      <w:r>
        <w:tab/>
      </w:r>
      <w:r>
        <w:fldChar w:fldCharType="begin"/>
      </w:r>
      <w:r>
        <w:instrText xml:space="preserve"> PAGEREF _Toc19105446 \h </w:instrText>
      </w:r>
      <w:r>
        <w:fldChar w:fldCharType="separate"/>
      </w:r>
      <w:r>
        <w:t>12</w:t>
      </w:r>
      <w:r>
        <w:fldChar w:fldCharType="end"/>
      </w:r>
      <w:r>
        <w:fldChar w:fldCharType="end"/>
      </w:r>
    </w:p>
    <w:p>
      <w:pPr>
        <w:pStyle w:val="19"/>
        <w:tabs>
          <w:tab w:val="right" w:leader="dot" w:pos="8720"/>
        </w:tabs>
        <w:rPr>
          <w:rFonts w:eastAsiaTheme="minorEastAsia" w:cstheme="minorBidi"/>
          <w:bCs w:val="0"/>
          <w:iCs w:val="0"/>
          <w:sz w:val="21"/>
          <w:szCs w:val="22"/>
        </w:rPr>
      </w:pPr>
      <w:r>
        <w:fldChar w:fldCharType="begin"/>
      </w:r>
      <w:r>
        <w:instrText xml:space="preserve"> HYPERLINK \l "_Toc19105447" </w:instrText>
      </w:r>
      <w:r>
        <w:fldChar w:fldCharType="separate"/>
      </w:r>
      <w:r>
        <w:rPr>
          <w:rStyle w:val="35"/>
          <w:rFonts w:hAnsi="黑体" w:eastAsia="黑体"/>
          <w:b/>
        </w:rPr>
        <w:t>2 总则</w:t>
      </w:r>
      <w:r>
        <w:tab/>
      </w:r>
      <w:r>
        <w:fldChar w:fldCharType="begin"/>
      </w:r>
      <w:r>
        <w:instrText xml:space="preserve"> PAGEREF _Toc19105447 \h </w:instrText>
      </w:r>
      <w:r>
        <w:fldChar w:fldCharType="separate"/>
      </w:r>
      <w:r>
        <w:t>13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"_Toc19105448" </w:instrText>
      </w:r>
      <w:r>
        <w:fldChar w:fldCharType="separate"/>
      </w:r>
      <w:r>
        <w:rPr>
          <w:rStyle w:val="35"/>
        </w:rPr>
        <w:t>2.1编制依据</w:t>
      </w:r>
      <w:r>
        <w:tab/>
      </w:r>
      <w:r>
        <w:fldChar w:fldCharType="begin"/>
      </w:r>
      <w:r>
        <w:instrText xml:space="preserve"> PAGEREF _Toc19105448 \h </w:instrText>
      </w:r>
      <w:r>
        <w:fldChar w:fldCharType="separate"/>
      </w:r>
      <w:r>
        <w:t>13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"_Toc19105449" </w:instrText>
      </w:r>
      <w:r>
        <w:fldChar w:fldCharType="separate"/>
      </w:r>
      <w:r>
        <w:rPr>
          <w:rStyle w:val="35"/>
        </w:rPr>
        <w:t>2.2环境影响因素识别及评价因子筛选</w:t>
      </w:r>
      <w:r>
        <w:tab/>
      </w:r>
      <w:r>
        <w:fldChar w:fldCharType="begin"/>
      </w:r>
      <w:r>
        <w:instrText xml:space="preserve"> PAGEREF _Toc19105449 \h </w:instrText>
      </w:r>
      <w:r>
        <w:fldChar w:fldCharType="separate"/>
      </w:r>
      <w:r>
        <w:t>16</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"_Toc19105450" </w:instrText>
      </w:r>
      <w:r>
        <w:fldChar w:fldCharType="separate"/>
      </w:r>
      <w:r>
        <w:rPr>
          <w:rStyle w:val="35"/>
        </w:rPr>
        <w:t>2.3相关规划及环境功能区划</w:t>
      </w:r>
      <w:r>
        <w:tab/>
      </w:r>
      <w:r>
        <w:fldChar w:fldCharType="begin"/>
      </w:r>
      <w:r>
        <w:instrText xml:space="preserve"> PAGEREF _Toc19105450 \h </w:instrText>
      </w:r>
      <w:r>
        <w:fldChar w:fldCharType="separate"/>
      </w:r>
      <w:r>
        <w:t>17</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"_Toc19105451" </w:instrText>
      </w:r>
      <w:r>
        <w:fldChar w:fldCharType="separate"/>
      </w:r>
      <w:r>
        <w:rPr>
          <w:rStyle w:val="35"/>
        </w:rPr>
        <w:t>2.4评价标准</w:t>
      </w:r>
      <w:r>
        <w:tab/>
      </w:r>
      <w:r>
        <w:fldChar w:fldCharType="begin"/>
      </w:r>
      <w:r>
        <w:instrText xml:space="preserve"> PAGEREF _Toc19105451 \h </w:instrText>
      </w:r>
      <w:r>
        <w:fldChar w:fldCharType="separate"/>
      </w:r>
      <w:r>
        <w:t>22</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"_Toc19105452" </w:instrText>
      </w:r>
      <w:r>
        <w:fldChar w:fldCharType="separate"/>
      </w:r>
      <w:r>
        <w:rPr>
          <w:rStyle w:val="35"/>
        </w:rPr>
        <w:t>2.5评价等级及评价范围</w:t>
      </w:r>
      <w:r>
        <w:tab/>
      </w:r>
      <w:r>
        <w:fldChar w:fldCharType="begin"/>
      </w:r>
      <w:r>
        <w:instrText xml:space="preserve"> PAGEREF _Toc19105452 \h </w:instrText>
      </w:r>
      <w:r>
        <w:fldChar w:fldCharType="separate"/>
      </w:r>
      <w:r>
        <w:t>25</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"_Toc19105453" </w:instrText>
      </w:r>
      <w:r>
        <w:fldChar w:fldCharType="separate"/>
      </w:r>
      <w:r>
        <w:rPr>
          <w:rStyle w:val="35"/>
        </w:rPr>
        <w:t>2.6主要环境保护目标</w:t>
      </w:r>
      <w:r>
        <w:tab/>
      </w:r>
      <w:r>
        <w:fldChar w:fldCharType="begin"/>
      </w:r>
      <w:r>
        <w:instrText xml:space="preserve"> PAGEREF _Toc19105453 \h </w:instrText>
      </w:r>
      <w:r>
        <w:fldChar w:fldCharType="separate"/>
      </w:r>
      <w:r>
        <w:t>30</w:t>
      </w:r>
      <w:r>
        <w:fldChar w:fldCharType="end"/>
      </w:r>
      <w:r>
        <w:fldChar w:fldCharType="end"/>
      </w:r>
    </w:p>
    <w:p>
      <w:pPr>
        <w:pStyle w:val="19"/>
        <w:tabs>
          <w:tab w:val="right" w:leader="dot" w:pos="8720"/>
        </w:tabs>
        <w:rPr>
          <w:rFonts w:eastAsiaTheme="minorEastAsia" w:cstheme="minorBidi"/>
          <w:bCs w:val="0"/>
          <w:iCs w:val="0"/>
          <w:sz w:val="21"/>
          <w:szCs w:val="22"/>
        </w:rPr>
      </w:pPr>
      <w:r>
        <w:fldChar w:fldCharType="begin"/>
      </w:r>
      <w:r>
        <w:instrText xml:space="preserve"> HYPERLINK \l "_Toc19105454" </w:instrText>
      </w:r>
      <w:r>
        <w:fldChar w:fldCharType="separate"/>
      </w:r>
      <w:r>
        <w:rPr>
          <w:rStyle w:val="35"/>
          <w:rFonts w:hAnsi="黑体" w:eastAsia="黑体"/>
          <w:b/>
        </w:rPr>
        <w:t>3工程分析</w:t>
      </w:r>
      <w:r>
        <w:tab/>
      </w:r>
      <w:r>
        <w:fldChar w:fldCharType="begin"/>
      </w:r>
      <w:r>
        <w:instrText xml:space="preserve"> PAGEREF _Toc19105454 \h </w:instrText>
      </w:r>
      <w:r>
        <w:fldChar w:fldCharType="separate"/>
      </w:r>
      <w:r>
        <w:t>33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"_Toc19105455" </w:instrText>
      </w:r>
      <w:r>
        <w:fldChar w:fldCharType="separate"/>
      </w:r>
      <w:r>
        <w:rPr>
          <w:rStyle w:val="35"/>
          <w:rFonts w:ascii="Times New Roman" w:hAnsi="Times New Roman" w:eastAsia="黑体"/>
          <w:spacing w:val="4"/>
        </w:rPr>
        <w:t>3.1</w:t>
      </w:r>
      <w:r>
        <w:rPr>
          <w:rStyle w:val="35"/>
          <w:rFonts w:ascii="宋体" w:hAnsi="宋体"/>
          <w:spacing w:val="4"/>
        </w:rPr>
        <w:t>项目概况</w:t>
      </w:r>
      <w:r>
        <w:tab/>
      </w:r>
      <w:r>
        <w:fldChar w:fldCharType="begin"/>
      </w:r>
      <w:r>
        <w:instrText xml:space="preserve"> PAGEREF _Toc19105455 \h </w:instrText>
      </w:r>
      <w:r>
        <w:fldChar w:fldCharType="separate"/>
      </w:r>
      <w:r>
        <w:t>33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"_Toc19105456" </w:instrText>
      </w:r>
      <w:r>
        <w:fldChar w:fldCharType="separate"/>
      </w:r>
      <w:r>
        <w:rPr>
          <w:rStyle w:val="35"/>
          <w:rFonts w:ascii="Times New Roman" w:hAnsi="Times New Roman" w:eastAsia="黑体"/>
          <w:spacing w:val="4"/>
        </w:rPr>
        <w:t>3.2工艺流程及产污环节分析</w:t>
      </w:r>
      <w:r>
        <w:tab/>
      </w:r>
      <w:r>
        <w:fldChar w:fldCharType="begin"/>
      </w:r>
      <w:r>
        <w:instrText xml:space="preserve"> PAGEREF _Toc19105456 \h </w:instrText>
      </w:r>
      <w:r>
        <w:fldChar w:fldCharType="separate"/>
      </w:r>
      <w:r>
        <w:t>37</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"_Toc19105457" </w:instrText>
      </w:r>
      <w:r>
        <w:fldChar w:fldCharType="separate"/>
      </w:r>
      <w:r>
        <w:rPr>
          <w:rStyle w:val="35"/>
          <w:rFonts w:ascii="Times New Roman" w:hAnsi="Times New Roman" w:eastAsia="黑体"/>
          <w:spacing w:val="4"/>
        </w:rPr>
        <w:t>3.3公用工程</w:t>
      </w:r>
      <w:r>
        <w:tab/>
      </w:r>
      <w:r>
        <w:fldChar w:fldCharType="begin"/>
      </w:r>
      <w:r>
        <w:instrText xml:space="preserve"> PAGEREF _Toc19105457 \h </w:instrText>
      </w:r>
      <w:r>
        <w:fldChar w:fldCharType="separate"/>
      </w:r>
      <w:r>
        <w:t>42</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"_Toc19105458" </w:instrText>
      </w:r>
      <w:r>
        <w:fldChar w:fldCharType="separate"/>
      </w:r>
      <w:r>
        <w:rPr>
          <w:rStyle w:val="35"/>
          <w:rFonts w:ascii="Times New Roman" w:hAnsi="Times New Roman"/>
          <w:lang w:val="en-GB"/>
        </w:rPr>
        <w:t>3.4</w:t>
      </w:r>
      <w:r>
        <w:rPr>
          <w:rStyle w:val="35"/>
          <w:rFonts w:ascii="宋体" w:hAnsi="宋体"/>
        </w:rPr>
        <w:t>施工期污染影响分析</w:t>
      </w:r>
      <w:r>
        <w:tab/>
      </w:r>
      <w:r>
        <w:fldChar w:fldCharType="begin"/>
      </w:r>
      <w:r>
        <w:instrText xml:space="preserve"> PAGEREF _Toc19105458 \h </w:instrText>
      </w:r>
      <w:r>
        <w:fldChar w:fldCharType="separate"/>
      </w:r>
      <w:r>
        <w:t>47</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"_Toc19105459" </w:instrText>
      </w:r>
      <w:r>
        <w:fldChar w:fldCharType="separate"/>
      </w:r>
      <w:r>
        <w:rPr>
          <w:rStyle w:val="35"/>
          <w:rFonts w:ascii="Times New Roman" w:hAnsi="Times New Roman"/>
          <w:lang w:val="en-GB"/>
        </w:rPr>
        <w:t>3.5</w:t>
      </w:r>
      <w:r>
        <w:rPr>
          <w:rStyle w:val="35"/>
          <w:rFonts w:ascii="宋体" w:hAnsi="宋体"/>
        </w:rPr>
        <w:t>运营期污染影响分析</w:t>
      </w:r>
      <w:r>
        <w:tab/>
      </w:r>
      <w:r>
        <w:fldChar w:fldCharType="begin"/>
      </w:r>
      <w:r>
        <w:instrText xml:space="preserve"> PAGEREF _Toc19105459 \h </w:instrText>
      </w:r>
      <w:r>
        <w:fldChar w:fldCharType="separate"/>
      </w:r>
      <w:r>
        <w:t>49</w:t>
      </w:r>
      <w:r>
        <w:fldChar w:fldCharType="end"/>
      </w:r>
      <w:r>
        <w:fldChar w:fldCharType="end"/>
      </w:r>
    </w:p>
    <w:p>
      <w:pPr>
        <w:pStyle w:val="19"/>
        <w:tabs>
          <w:tab w:val="right" w:leader="dot" w:pos="8720"/>
        </w:tabs>
        <w:rPr>
          <w:rFonts w:eastAsiaTheme="minorEastAsia" w:cstheme="minorBidi"/>
          <w:bCs w:val="0"/>
          <w:iCs w:val="0"/>
          <w:sz w:val="21"/>
          <w:szCs w:val="22"/>
        </w:rPr>
      </w:pPr>
      <w:r>
        <w:fldChar w:fldCharType="begin"/>
      </w:r>
      <w:r>
        <w:instrText xml:space="preserve"> HYPERLINK \l "_Toc19105460" </w:instrText>
      </w:r>
      <w:r>
        <w:fldChar w:fldCharType="separate"/>
      </w:r>
      <w:r>
        <w:rPr>
          <w:rStyle w:val="35"/>
          <w:rFonts w:hAnsi="黑体" w:eastAsia="黑体"/>
          <w:b/>
        </w:rPr>
        <w:t>4 环境现状调查与评价</w:t>
      </w:r>
      <w:r>
        <w:tab/>
      </w:r>
      <w:r>
        <w:fldChar w:fldCharType="begin"/>
      </w:r>
      <w:r>
        <w:instrText xml:space="preserve"> PAGEREF _Toc19105460 \h </w:instrText>
      </w:r>
      <w:r>
        <w:fldChar w:fldCharType="separate"/>
      </w:r>
      <w:r>
        <w:t>63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"_Toc19105461" </w:instrText>
      </w:r>
      <w:r>
        <w:fldChar w:fldCharType="separate"/>
      </w:r>
      <w:r>
        <w:rPr>
          <w:rStyle w:val="35"/>
          <w:rFonts w:eastAsia="黑体"/>
        </w:rPr>
        <w:t>4.1自然环境现状调查与评价</w:t>
      </w:r>
      <w:r>
        <w:tab/>
      </w:r>
      <w:r>
        <w:fldChar w:fldCharType="begin"/>
      </w:r>
      <w:r>
        <w:instrText xml:space="preserve"> PAGEREF _Toc19105461 \h </w:instrText>
      </w:r>
      <w:r>
        <w:fldChar w:fldCharType="separate"/>
      </w:r>
      <w:r>
        <w:t>63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"_Toc19105462" </w:instrText>
      </w:r>
      <w:r>
        <w:fldChar w:fldCharType="separate"/>
      </w:r>
      <w:r>
        <w:rPr>
          <w:rStyle w:val="35"/>
          <w:rFonts w:eastAsia="黑体"/>
        </w:rPr>
        <w:t>4.2环境保护目标调查</w:t>
      </w:r>
      <w:r>
        <w:tab/>
      </w:r>
      <w:r>
        <w:fldChar w:fldCharType="begin"/>
      </w:r>
      <w:r>
        <w:instrText xml:space="preserve"> PAGEREF _Toc19105462 \h </w:instrText>
      </w:r>
      <w:r>
        <w:fldChar w:fldCharType="separate"/>
      </w:r>
      <w:r>
        <w:t>70</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"_Toc19105463" </w:instrText>
      </w:r>
      <w:r>
        <w:fldChar w:fldCharType="separate"/>
      </w:r>
      <w:r>
        <w:rPr>
          <w:rStyle w:val="35"/>
          <w:rFonts w:eastAsia="黑体"/>
        </w:rPr>
        <w:t>4.3环境质量现状调查与评价</w:t>
      </w:r>
      <w:r>
        <w:tab/>
      </w:r>
      <w:r>
        <w:fldChar w:fldCharType="begin"/>
      </w:r>
      <w:r>
        <w:instrText xml:space="preserve"> PAGEREF _Toc19105463 \h </w:instrText>
      </w:r>
      <w:r>
        <w:fldChar w:fldCharType="separate"/>
      </w:r>
      <w:r>
        <w:t>72</w:t>
      </w:r>
      <w:r>
        <w:fldChar w:fldCharType="end"/>
      </w:r>
      <w:r>
        <w:fldChar w:fldCharType="end"/>
      </w:r>
    </w:p>
    <w:p>
      <w:pPr>
        <w:pStyle w:val="19"/>
        <w:tabs>
          <w:tab w:val="right" w:leader="dot" w:pos="8720"/>
        </w:tabs>
        <w:rPr>
          <w:rFonts w:eastAsiaTheme="minorEastAsia" w:cstheme="minorBidi"/>
          <w:bCs w:val="0"/>
          <w:iCs w:val="0"/>
          <w:sz w:val="21"/>
          <w:szCs w:val="22"/>
        </w:rPr>
      </w:pPr>
      <w:r>
        <w:fldChar w:fldCharType="begin"/>
      </w:r>
      <w:r>
        <w:instrText xml:space="preserve"> HYPERLINK \l "_Toc19105464" </w:instrText>
      </w:r>
      <w:r>
        <w:fldChar w:fldCharType="separate"/>
      </w:r>
      <w:r>
        <w:rPr>
          <w:rStyle w:val="35"/>
          <w:rFonts w:hAnsi="黑体" w:eastAsia="黑体"/>
          <w:b/>
        </w:rPr>
        <w:t>5 环境影响预测与评价</w:t>
      </w:r>
      <w:r>
        <w:tab/>
      </w:r>
      <w:r>
        <w:fldChar w:fldCharType="begin"/>
      </w:r>
      <w:r>
        <w:instrText xml:space="preserve"> PAGEREF _Toc19105464 \h </w:instrText>
      </w:r>
      <w:r>
        <w:fldChar w:fldCharType="separate"/>
      </w:r>
      <w:r>
        <w:t>85</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"_Toc19105465" </w:instrText>
      </w:r>
      <w:r>
        <w:fldChar w:fldCharType="separate"/>
      </w:r>
      <w:r>
        <w:rPr>
          <w:rStyle w:val="35"/>
          <w:rFonts w:ascii="Times New Roman" w:hAnsi="Times New Roman"/>
          <w:spacing w:val="4"/>
        </w:rPr>
        <w:t>5.1</w:t>
      </w:r>
      <w:r>
        <w:rPr>
          <w:rStyle w:val="35"/>
        </w:rPr>
        <w:t>施工期环境影响分析与评价</w:t>
      </w:r>
      <w:r>
        <w:tab/>
      </w:r>
      <w:r>
        <w:fldChar w:fldCharType="begin"/>
      </w:r>
      <w:r>
        <w:instrText xml:space="preserve"> PAGEREF _Toc19105465 \h </w:instrText>
      </w:r>
      <w:r>
        <w:fldChar w:fldCharType="separate"/>
      </w:r>
      <w:r>
        <w:t>85</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"_Toc19105466" </w:instrText>
      </w:r>
      <w:r>
        <w:fldChar w:fldCharType="separate"/>
      </w:r>
      <w:r>
        <w:rPr>
          <w:rStyle w:val="35"/>
          <w:rFonts w:ascii="Times New Roman" w:hAnsi="Times New Roman"/>
          <w:spacing w:val="4"/>
        </w:rPr>
        <w:t>5.2</w:t>
      </w:r>
      <w:r>
        <w:rPr>
          <w:rStyle w:val="35"/>
        </w:rPr>
        <w:t>运营期环境影响预测与评价</w:t>
      </w:r>
      <w:r>
        <w:tab/>
      </w:r>
      <w:r>
        <w:fldChar w:fldCharType="begin"/>
      </w:r>
      <w:r>
        <w:instrText xml:space="preserve"> PAGEREF _Toc19105466 \h </w:instrText>
      </w:r>
      <w:r>
        <w:fldChar w:fldCharType="separate"/>
      </w:r>
      <w:r>
        <w:t>89</w:t>
      </w:r>
      <w:r>
        <w:fldChar w:fldCharType="end"/>
      </w:r>
      <w:r>
        <w:fldChar w:fldCharType="end"/>
      </w:r>
    </w:p>
    <w:p>
      <w:pPr>
        <w:pStyle w:val="19"/>
        <w:tabs>
          <w:tab w:val="right" w:leader="dot" w:pos="8720"/>
        </w:tabs>
        <w:rPr>
          <w:rFonts w:eastAsiaTheme="minorEastAsia" w:cstheme="minorBidi"/>
          <w:bCs w:val="0"/>
          <w:iCs w:val="0"/>
          <w:sz w:val="21"/>
          <w:szCs w:val="22"/>
        </w:rPr>
      </w:pPr>
      <w:r>
        <w:fldChar w:fldCharType="begin"/>
      </w:r>
      <w:r>
        <w:instrText xml:space="preserve"> HYPERLINK \l "_Toc19105467" </w:instrText>
      </w:r>
      <w:r>
        <w:fldChar w:fldCharType="separate"/>
      </w:r>
      <w:r>
        <w:rPr>
          <w:rStyle w:val="35"/>
          <w:rFonts w:hAnsi="黑体" w:eastAsia="黑体"/>
          <w:b/>
        </w:rPr>
        <w:t>6 环境风险评价</w:t>
      </w:r>
      <w:r>
        <w:tab/>
      </w:r>
      <w:r>
        <w:fldChar w:fldCharType="begin"/>
      </w:r>
      <w:r>
        <w:instrText xml:space="preserve"> PAGEREF _Toc19105467 \h </w:instrText>
      </w:r>
      <w:r>
        <w:fldChar w:fldCharType="separate"/>
      </w:r>
      <w:r>
        <w:t>125</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"_Toc19105468" </w:instrText>
      </w:r>
      <w:r>
        <w:fldChar w:fldCharType="separate"/>
      </w:r>
      <w:r>
        <w:rPr>
          <w:rStyle w:val="35"/>
          <w:rFonts w:ascii="Times New Roman" w:hAnsi="Times New Roman"/>
          <w:spacing w:val="4"/>
        </w:rPr>
        <w:t>6.1风险调查</w:t>
      </w:r>
      <w:r>
        <w:tab/>
      </w:r>
      <w:r>
        <w:fldChar w:fldCharType="begin"/>
      </w:r>
      <w:r>
        <w:instrText xml:space="preserve"> PAGEREF _Toc19105468 \h </w:instrText>
      </w:r>
      <w:r>
        <w:fldChar w:fldCharType="separate"/>
      </w:r>
      <w:r>
        <w:t>125</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"_Toc19105469" </w:instrText>
      </w:r>
      <w:r>
        <w:fldChar w:fldCharType="separate"/>
      </w:r>
      <w:r>
        <w:rPr>
          <w:rStyle w:val="35"/>
          <w:rFonts w:ascii="Times New Roman" w:hAnsi="Times New Roman"/>
          <w:spacing w:val="4"/>
        </w:rPr>
        <w:t>6.2环境风险潜势初判</w:t>
      </w:r>
      <w:r>
        <w:tab/>
      </w:r>
      <w:r>
        <w:fldChar w:fldCharType="begin"/>
      </w:r>
      <w:r>
        <w:instrText xml:space="preserve"> PAGEREF _Toc19105469 \h </w:instrText>
      </w:r>
      <w:r>
        <w:fldChar w:fldCharType="separate"/>
      </w:r>
      <w:r>
        <w:t>126</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"_Toc19105470" </w:instrText>
      </w:r>
      <w:r>
        <w:fldChar w:fldCharType="separate"/>
      </w:r>
      <w:r>
        <w:rPr>
          <w:rStyle w:val="35"/>
          <w:rFonts w:ascii="Times New Roman" w:hAnsi="Times New Roman"/>
          <w:spacing w:val="4"/>
        </w:rPr>
        <w:t>6.3环境风险评价等级</w:t>
      </w:r>
      <w:r>
        <w:tab/>
      </w:r>
      <w:r>
        <w:fldChar w:fldCharType="begin"/>
      </w:r>
      <w:r>
        <w:instrText xml:space="preserve"> PAGEREF _Toc19105470 \h </w:instrText>
      </w:r>
      <w:r>
        <w:fldChar w:fldCharType="separate"/>
      </w:r>
      <w:r>
        <w:t>127</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"_Toc19105471" </w:instrText>
      </w:r>
      <w:r>
        <w:fldChar w:fldCharType="separate"/>
      </w:r>
      <w:r>
        <w:rPr>
          <w:rStyle w:val="35"/>
          <w:rFonts w:ascii="Times New Roman" w:hAnsi="Times New Roman"/>
          <w:spacing w:val="4"/>
        </w:rPr>
        <w:t>6.4环境风险识别</w:t>
      </w:r>
      <w:r>
        <w:tab/>
      </w:r>
      <w:r>
        <w:fldChar w:fldCharType="begin"/>
      </w:r>
      <w:r>
        <w:instrText xml:space="preserve"> PAGEREF _Toc19105471 \h </w:instrText>
      </w:r>
      <w:r>
        <w:fldChar w:fldCharType="separate"/>
      </w:r>
      <w:r>
        <w:t>127</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"_Toc19105472" </w:instrText>
      </w:r>
      <w:r>
        <w:fldChar w:fldCharType="separate"/>
      </w:r>
      <w:r>
        <w:rPr>
          <w:rStyle w:val="35"/>
          <w:rFonts w:ascii="Times New Roman" w:hAnsi="Times New Roman"/>
          <w:spacing w:val="4"/>
        </w:rPr>
        <w:t>6.5</w:t>
      </w:r>
      <w:r>
        <w:rPr>
          <w:rStyle w:val="35"/>
        </w:rPr>
        <w:t>环境风险分析</w:t>
      </w:r>
      <w:r>
        <w:tab/>
      </w:r>
      <w:r>
        <w:fldChar w:fldCharType="begin"/>
      </w:r>
      <w:r>
        <w:instrText xml:space="preserve"> PAGEREF _Toc19105472 \h </w:instrText>
      </w:r>
      <w:r>
        <w:fldChar w:fldCharType="separate"/>
      </w:r>
      <w:r>
        <w:t>128</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"_Toc19105473" </w:instrText>
      </w:r>
      <w:r>
        <w:fldChar w:fldCharType="separate"/>
      </w:r>
      <w:r>
        <w:rPr>
          <w:rStyle w:val="35"/>
          <w:rFonts w:ascii="Times New Roman" w:hAnsi="Times New Roman"/>
          <w:spacing w:val="4"/>
        </w:rPr>
        <w:t>6.6</w:t>
      </w:r>
      <w:r>
        <w:rPr>
          <w:rStyle w:val="35"/>
          <w:rFonts w:ascii="Times New Roman" w:hAnsi="Times New Roman"/>
        </w:rPr>
        <w:t>风险管理</w:t>
      </w:r>
      <w:r>
        <w:tab/>
      </w:r>
      <w:r>
        <w:fldChar w:fldCharType="begin"/>
      </w:r>
      <w:r>
        <w:instrText xml:space="preserve"> PAGEREF _Toc19105473 \h </w:instrText>
      </w:r>
      <w:r>
        <w:fldChar w:fldCharType="separate"/>
      </w:r>
      <w:r>
        <w:t>129</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"_Toc19105474" </w:instrText>
      </w:r>
      <w:r>
        <w:fldChar w:fldCharType="separate"/>
      </w:r>
      <w:r>
        <w:rPr>
          <w:rStyle w:val="35"/>
          <w:rFonts w:ascii="Times New Roman" w:hAnsi="Times New Roman"/>
          <w:spacing w:val="4"/>
        </w:rPr>
        <w:t>6.7</w:t>
      </w:r>
      <w:r>
        <w:rPr>
          <w:rStyle w:val="35"/>
          <w:rFonts w:ascii="Times New Roman" w:hAnsi="Times New Roman"/>
        </w:rPr>
        <w:t>环境风险评价结论</w:t>
      </w:r>
      <w:r>
        <w:tab/>
      </w:r>
      <w:r>
        <w:fldChar w:fldCharType="begin"/>
      </w:r>
      <w:r>
        <w:instrText xml:space="preserve"> PAGEREF _Toc19105474 \h </w:instrText>
      </w:r>
      <w:r>
        <w:fldChar w:fldCharType="separate"/>
      </w:r>
      <w:r>
        <w:t>132</w:t>
      </w:r>
      <w:r>
        <w:fldChar w:fldCharType="end"/>
      </w:r>
      <w:r>
        <w:fldChar w:fldCharType="end"/>
      </w:r>
    </w:p>
    <w:p>
      <w:pPr>
        <w:pStyle w:val="19"/>
        <w:tabs>
          <w:tab w:val="right" w:leader="dot" w:pos="8720"/>
        </w:tabs>
        <w:rPr>
          <w:rFonts w:eastAsiaTheme="minorEastAsia" w:cstheme="minorBidi"/>
          <w:bCs w:val="0"/>
          <w:iCs w:val="0"/>
          <w:sz w:val="21"/>
          <w:szCs w:val="22"/>
        </w:rPr>
      </w:pPr>
      <w:r>
        <w:fldChar w:fldCharType="begin"/>
      </w:r>
      <w:r>
        <w:instrText xml:space="preserve"> HYPERLINK \l "_Toc19105475" </w:instrText>
      </w:r>
      <w:r>
        <w:fldChar w:fldCharType="separate"/>
      </w:r>
      <w:r>
        <w:rPr>
          <w:rStyle w:val="35"/>
          <w:rFonts w:hAnsi="黑体" w:eastAsia="黑体"/>
          <w:b/>
        </w:rPr>
        <w:t>7 环境保护措施</w:t>
      </w:r>
      <w:r>
        <w:tab/>
      </w:r>
      <w:r>
        <w:fldChar w:fldCharType="begin"/>
      </w:r>
      <w:r>
        <w:instrText xml:space="preserve"> PAGEREF _Toc19105475 \h </w:instrText>
      </w:r>
      <w:r>
        <w:fldChar w:fldCharType="separate"/>
      </w:r>
      <w:r>
        <w:t>135</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"_Toc19105476" </w:instrText>
      </w:r>
      <w:r>
        <w:fldChar w:fldCharType="separate"/>
      </w:r>
      <w:r>
        <w:rPr>
          <w:rStyle w:val="35"/>
          <w:rFonts w:ascii="Times New Roman" w:hAnsi="Times New Roman"/>
          <w:spacing w:val="4"/>
        </w:rPr>
        <w:t>7.1</w:t>
      </w:r>
      <w:r>
        <w:rPr>
          <w:rStyle w:val="35"/>
        </w:rPr>
        <w:t>概述</w:t>
      </w:r>
      <w:r>
        <w:tab/>
      </w:r>
      <w:r>
        <w:fldChar w:fldCharType="begin"/>
      </w:r>
      <w:r>
        <w:instrText xml:space="preserve"> PAGEREF _Toc19105476 \h </w:instrText>
      </w:r>
      <w:r>
        <w:fldChar w:fldCharType="separate"/>
      </w:r>
      <w:r>
        <w:t>135</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"_Toc19105477" </w:instrText>
      </w:r>
      <w:r>
        <w:fldChar w:fldCharType="separate"/>
      </w:r>
      <w:r>
        <w:rPr>
          <w:rStyle w:val="35"/>
          <w:rFonts w:ascii="Times New Roman" w:hAnsi="Times New Roman"/>
          <w:spacing w:val="4"/>
        </w:rPr>
        <w:t>7.2</w:t>
      </w:r>
      <w:r>
        <w:rPr>
          <w:rStyle w:val="35"/>
        </w:rPr>
        <w:t>施工期污染及防治措施</w:t>
      </w:r>
      <w:r>
        <w:tab/>
      </w:r>
      <w:r>
        <w:fldChar w:fldCharType="begin"/>
      </w:r>
      <w:r>
        <w:instrText xml:space="preserve"> PAGEREF _Toc19105477 \h </w:instrText>
      </w:r>
      <w:r>
        <w:fldChar w:fldCharType="separate"/>
      </w:r>
      <w:r>
        <w:t>135</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"_Toc19105478" </w:instrText>
      </w:r>
      <w:r>
        <w:fldChar w:fldCharType="separate"/>
      </w:r>
      <w:r>
        <w:rPr>
          <w:rStyle w:val="35"/>
          <w:rFonts w:ascii="Times New Roman" w:hAnsi="Times New Roman"/>
          <w:spacing w:val="4"/>
        </w:rPr>
        <w:t>7.3</w:t>
      </w:r>
      <w:r>
        <w:rPr>
          <w:rStyle w:val="35"/>
        </w:rPr>
        <w:t>运营期污染及防治措施</w:t>
      </w:r>
      <w:r>
        <w:tab/>
      </w:r>
      <w:r>
        <w:fldChar w:fldCharType="begin"/>
      </w:r>
      <w:r>
        <w:instrText xml:space="preserve"> PAGEREF _Toc19105478 \h </w:instrText>
      </w:r>
      <w:r>
        <w:fldChar w:fldCharType="separate"/>
      </w:r>
      <w:r>
        <w:t>136</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"_Toc19105479" </w:instrText>
      </w:r>
      <w:r>
        <w:fldChar w:fldCharType="separate"/>
      </w:r>
      <w:r>
        <w:rPr>
          <w:rStyle w:val="35"/>
          <w:rFonts w:ascii="Times New Roman" w:hAnsi="Times New Roman"/>
          <w:spacing w:val="4"/>
        </w:rPr>
        <w:t>7.4</w:t>
      </w:r>
      <w:r>
        <w:rPr>
          <w:rStyle w:val="35"/>
        </w:rPr>
        <w:t>环境保护设施（措施）汇总</w:t>
      </w:r>
      <w:r>
        <w:tab/>
      </w:r>
      <w:r>
        <w:fldChar w:fldCharType="begin"/>
      </w:r>
      <w:r>
        <w:instrText xml:space="preserve"> PAGEREF _Toc19105479 \h </w:instrText>
      </w:r>
      <w:r>
        <w:fldChar w:fldCharType="separate"/>
      </w:r>
      <w:r>
        <w:t>144</w:t>
      </w:r>
      <w:r>
        <w:fldChar w:fldCharType="end"/>
      </w:r>
      <w:r>
        <w:fldChar w:fldCharType="end"/>
      </w:r>
    </w:p>
    <w:p>
      <w:pPr>
        <w:pStyle w:val="19"/>
        <w:tabs>
          <w:tab w:val="right" w:leader="dot" w:pos="8720"/>
        </w:tabs>
        <w:rPr>
          <w:rFonts w:eastAsiaTheme="minorEastAsia" w:cstheme="minorBidi"/>
          <w:bCs w:val="0"/>
          <w:iCs w:val="0"/>
          <w:sz w:val="21"/>
          <w:szCs w:val="22"/>
        </w:rPr>
      </w:pPr>
      <w:r>
        <w:fldChar w:fldCharType="begin"/>
      </w:r>
      <w:r>
        <w:instrText xml:space="preserve"> HYPERLINK \l "_Toc19105480" </w:instrText>
      </w:r>
      <w:r>
        <w:fldChar w:fldCharType="separate"/>
      </w:r>
      <w:r>
        <w:rPr>
          <w:rStyle w:val="35"/>
          <w:rFonts w:hAnsi="黑体" w:eastAsia="黑体"/>
          <w:b/>
        </w:rPr>
        <w:t>8 环境影响经济损益分析</w:t>
      </w:r>
      <w:r>
        <w:tab/>
      </w:r>
      <w:r>
        <w:fldChar w:fldCharType="begin"/>
      </w:r>
      <w:r>
        <w:instrText xml:space="preserve"> PAGEREF _Toc19105480 \h </w:instrText>
      </w:r>
      <w:r>
        <w:fldChar w:fldCharType="separate"/>
      </w:r>
      <w:r>
        <w:t>147</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"_Toc19105481" </w:instrText>
      </w:r>
      <w:r>
        <w:fldChar w:fldCharType="separate"/>
      </w:r>
      <w:r>
        <w:rPr>
          <w:rStyle w:val="35"/>
          <w:rFonts w:ascii="Times New Roman" w:hAnsi="Times New Roman"/>
          <w:spacing w:val="4"/>
        </w:rPr>
        <w:t>8.1</w:t>
      </w:r>
      <w:r>
        <w:rPr>
          <w:rStyle w:val="35"/>
        </w:rPr>
        <w:t>环境效益分析</w:t>
      </w:r>
      <w:r>
        <w:tab/>
      </w:r>
      <w:r>
        <w:fldChar w:fldCharType="begin"/>
      </w:r>
      <w:r>
        <w:instrText xml:space="preserve"> PAGEREF _Toc19105481 \h </w:instrText>
      </w:r>
      <w:r>
        <w:fldChar w:fldCharType="separate"/>
      </w:r>
      <w:r>
        <w:t>147</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"_Toc19105482" </w:instrText>
      </w:r>
      <w:r>
        <w:fldChar w:fldCharType="separate"/>
      </w:r>
      <w:r>
        <w:rPr>
          <w:rStyle w:val="35"/>
          <w:rFonts w:ascii="Times New Roman" w:hAnsi="Times New Roman"/>
          <w:spacing w:val="4"/>
        </w:rPr>
        <w:t>8.2社会</w:t>
      </w:r>
      <w:r>
        <w:rPr>
          <w:rStyle w:val="35"/>
        </w:rPr>
        <w:t>效益分析</w:t>
      </w:r>
      <w:r>
        <w:tab/>
      </w:r>
      <w:r>
        <w:fldChar w:fldCharType="begin"/>
      </w:r>
      <w:r>
        <w:instrText xml:space="preserve"> PAGEREF _Toc19105482 \h </w:instrText>
      </w:r>
      <w:r>
        <w:fldChar w:fldCharType="separate"/>
      </w:r>
      <w:r>
        <w:t>149</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"_Toc19105483" </w:instrText>
      </w:r>
      <w:r>
        <w:fldChar w:fldCharType="separate"/>
      </w:r>
      <w:r>
        <w:rPr>
          <w:rStyle w:val="35"/>
          <w:rFonts w:ascii="Times New Roman" w:hAnsi="Times New Roman"/>
          <w:spacing w:val="4"/>
        </w:rPr>
        <w:t>8.3小结</w:t>
      </w:r>
      <w:r>
        <w:tab/>
      </w:r>
      <w:r>
        <w:fldChar w:fldCharType="begin"/>
      </w:r>
      <w:r>
        <w:instrText xml:space="preserve"> PAGEREF _Toc19105483 \h </w:instrText>
      </w:r>
      <w:r>
        <w:fldChar w:fldCharType="separate"/>
      </w:r>
      <w:r>
        <w:t>149</w:t>
      </w:r>
      <w:r>
        <w:fldChar w:fldCharType="end"/>
      </w:r>
      <w:r>
        <w:fldChar w:fldCharType="end"/>
      </w:r>
    </w:p>
    <w:p>
      <w:pPr>
        <w:pStyle w:val="19"/>
        <w:tabs>
          <w:tab w:val="right" w:leader="dot" w:pos="8720"/>
        </w:tabs>
        <w:rPr>
          <w:rFonts w:eastAsiaTheme="minorEastAsia" w:cstheme="minorBidi"/>
          <w:bCs w:val="0"/>
          <w:iCs w:val="0"/>
          <w:sz w:val="21"/>
          <w:szCs w:val="22"/>
        </w:rPr>
      </w:pPr>
      <w:r>
        <w:fldChar w:fldCharType="begin"/>
      </w:r>
      <w:r>
        <w:instrText xml:space="preserve"> HYPERLINK \l "_Toc19105484" </w:instrText>
      </w:r>
      <w:r>
        <w:fldChar w:fldCharType="separate"/>
      </w:r>
      <w:r>
        <w:rPr>
          <w:rStyle w:val="35"/>
          <w:rFonts w:hAnsi="黑体" w:eastAsia="黑体"/>
          <w:b/>
        </w:rPr>
        <w:t>9 环境管理和监测计划</w:t>
      </w:r>
      <w:r>
        <w:tab/>
      </w:r>
      <w:r>
        <w:fldChar w:fldCharType="begin"/>
      </w:r>
      <w:r>
        <w:instrText xml:space="preserve"> PAGEREF _Toc19105484 \h </w:instrText>
      </w:r>
      <w:r>
        <w:fldChar w:fldCharType="separate"/>
      </w:r>
      <w:r>
        <w:t>151</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"_Toc19105485" </w:instrText>
      </w:r>
      <w:r>
        <w:fldChar w:fldCharType="separate"/>
      </w:r>
      <w:r>
        <w:rPr>
          <w:rStyle w:val="35"/>
          <w:rFonts w:ascii="Times New Roman" w:hAnsi="Times New Roman"/>
          <w:spacing w:val="4"/>
        </w:rPr>
        <w:t>9.1</w:t>
      </w:r>
      <w:r>
        <w:rPr>
          <w:rStyle w:val="35"/>
        </w:rPr>
        <w:t>环境管理</w:t>
      </w:r>
      <w:r>
        <w:tab/>
      </w:r>
      <w:r>
        <w:fldChar w:fldCharType="begin"/>
      </w:r>
      <w:r>
        <w:instrText xml:space="preserve"> PAGEREF _Toc19105485 \h </w:instrText>
      </w:r>
      <w:r>
        <w:fldChar w:fldCharType="separate"/>
      </w:r>
      <w:r>
        <w:t>151</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"_Toc19105486" </w:instrText>
      </w:r>
      <w:r>
        <w:fldChar w:fldCharType="separate"/>
      </w:r>
      <w:r>
        <w:rPr>
          <w:rStyle w:val="35"/>
          <w:rFonts w:ascii="Times New Roman" w:hAnsi="Times New Roman"/>
          <w:spacing w:val="4"/>
        </w:rPr>
        <w:t>9.2</w:t>
      </w:r>
      <w:r>
        <w:rPr>
          <w:rStyle w:val="35"/>
        </w:rPr>
        <w:t>环境监测计划</w:t>
      </w:r>
      <w:r>
        <w:tab/>
      </w:r>
      <w:r>
        <w:fldChar w:fldCharType="begin"/>
      </w:r>
      <w:r>
        <w:instrText xml:space="preserve"> PAGEREF _Toc19105486 \h </w:instrText>
      </w:r>
      <w:r>
        <w:fldChar w:fldCharType="separate"/>
      </w:r>
      <w:r>
        <w:t>155</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"_Toc19105487" </w:instrText>
      </w:r>
      <w:r>
        <w:fldChar w:fldCharType="separate"/>
      </w:r>
      <w:r>
        <w:rPr>
          <w:rStyle w:val="35"/>
          <w:rFonts w:ascii="Times New Roman" w:hAnsi="Times New Roman"/>
          <w:spacing w:val="4"/>
        </w:rPr>
        <w:t>9.3</w:t>
      </w:r>
      <w:r>
        <w:rPr>
          <w:rStyle w:val="35"/>
        </w:rPr>
        <w:t>全厂污染物排放清单及管理要求</w:t>
      </w:r>
      <w:r>
        <w:tab/>
      </w:r>
      <w:r>
        <w:fldChar w:fldCharType="begin"/>
      </w:r>
      <w:r>
        <w:instrText xml:space="preserve"> PAGEREF _Toc19105487 \h </w:instrText>
      </w:r>
      <w:r>
        <w:fldChar w:fldCharType="separate"/>
      </w:r>
      <w:r>
        <w:t>156</w:t>
      </w:r>
      <w:r>
        <w:fldChar w:fldCharType="end"/>
      </w:r>
      <w:r>
        <w:fldChar w:fldCharType="end"/>
      </w:r>
    </w:p>
    <w:p>
      <w:pPr>
        <w:pStyle w:val="19"/>
        <w:tabs>
          <w:tab w:val="right" w:leader="dot" w:pos="8720"/>
        </w:tabs>
        <w:rPr>
          <w:rFonts w:eastAsiaTheme="minorEastAsia" w:cstheme="minorBidi"/>
          <w:bCs w:val="0"/>
          <w:iCs w:val="0"/>
          <w:sz w:val="21"/>
          <w:szCs w:val="22"/>
        </w:rPr>
      </w:pPr>
      <w:r>
        <w:fldChar w:fldCharType="begin"/>
      </w:r>
      <w:r>
        <w:instrText xml:space="preserve"> HYPERLINK \l "_Toc19105488" </w:instrText>
      </w:r>
      <w:r>
        <w:fldChar w:fldCharType="separate"/>
      </w:r>
      <w:r>
        <w:rPr>
          <w:rStyle w:val="35"/>
          <w:rFonts w:hAnsi="黑体" w:eastAsia="黑体"/>
          <w:b/>
        </w:rPr>
        <w:t>10 结论</w:t>
      </w:r>
      <w:r>
        <w:tab/>
      </w:r>
      <w:r>
        <w:fldChar w:fldCharType="begin"/>
      </w:r>
      <w:r>
        <w:instrText xml:space="preserve"> PAGEREF _Toc19105488 \h </w:instrText>
      </w:r>
      <w:r>
        <w:fldChar w:fldCharType="separate"/>
      </w:r>
      <w:r>
        <w:t>159</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"_Toc19105489" </w:instrText>
      </w:r>
      <w:r>
        <w:fldChar w:fldCharType="separate"/>
      </w:r>
      <w:r>
        <w:rPr>
          <w:rStyle w:val="35"/>
          <w:rFonts w:ascii="Times New Roman" w:hAnsi="Times New Roman"/>
          <w:spacing w:val="4"/>
        </w:rPr>
        <w:t>10.1</w:t>
      </w:r>
      <w:r>
        <w:rPr>
          <w:rStyle w:val="35"/>
        </w:rPr>
        <w:t>项目概况</w:t>
      </w:r>
      <w:r>
        <w:tab/>
      </w:r>
      <w:r>
        <w:fldChar w:fldCharType="begin"/>
      </w:r>
      <w:r>
        <w:instrText xml:space="preserve"> PAGEREF _Toc19105489 \h </w:instrText>
      </w:r>
      <w:r>
        <w:fldChar w:fldCharType="separate"/>
      </w:r>
      <w:r>
        <w:t>159</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"_Toc19105490" </w:instrText>
      </w:r>
      <w:r>
        <w:fldChar w:fldCharType="separate"/>
      </w:r>
      <w:r>
        <w:rPr>
          <w:rStyle w:val="35"/>
          <w:rFonts w:ascii="Times New Roman" w:hAnsi="Times New Roman"/>
          <w:spacing w:val="4"/>
        </w:rPr>
        <w:t>10.2</w:t>
      </w:r>
      <w:r>
        <w:rPr>
          <w:rStyle w:val="35"/>
        </w:rPr>
        <w:t>主要建设内容</w:t>
      </w:r>
      <w:r>
        <w:tab/>
      </w:r>
      <w:r>
        <w:fldChar w:fldCharType="begin"/>
      </w:r>
      <w:r>
        <w:instrText xml:space="preserve"> PAGEREF _Toc19105490 \h </w:instrText>
      </w:r>
      <w:r>
        <w:fldChar w:fldCharType="separate"/>
      </w:r>
      <w:r>
        <w:t>159</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"_Toc19105491" </w:instrText>
      </w:r>
      <w:r>
        <w:fldChar w:fldCharType="separate"/>
      </w:r>
      <w:r>
        <w:rPr>
          <w:rStyle w:val="35"/>
          <w:rFonts w:ascii="Times New Roman" w:hAnsi="Times New Roman"/>
          <w:spacing w:val="4"/>
        </w:rPr>
        <w:t>10.3</w:t>
      </w:r>
      <w:r>
        <w:rPr>
          <w:rStyle w:val="35"/>
          <w:rFonts w:ascii="Cambria" w:hAnsi="Cambria"/>
        </w:rPr>
        <w:t>评价区环境质量现状及评价</w:t>
      </w:r>
      <w:r>
        <w:tab/>
      </w:r>
      <w:r>
        <w:fldChar w:fldCharType="begin"/>
      </w:r>
      <w:r>
        <w:instrText xml:space="preserve"> PAGEREF _Toc19105491 \h </w:instrText>
      </w:r>
      <w:r>
        <w:fldChar w:fldCharType="separate"/>
      </w:r>
      <w:r>
        <w:t>161</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"_Toc19105492" </w:instrText>
      </w:r>
      <w:r>
        <w:fldChar w:fldCharType="separate"/>
      </w:r>
      <w:r>
        <w:rPr>
          <w:rStyle w:val="35"/>
          <w:rFonts w:ascii="Times New Roman" w:hAnsi="Times New Roman"/>
          <w:spacing w:val="4"/>
        </w:rPr>
        <w:t>10.4</w:t>
      </w:r>
      <w:r>
        <w:rPr>
          <w:rStyle w:val="35"/>
          <w:rFonts w:ascii="Cambria" w:hAnsi="Cambria"/>
        </w:rPr>
        <w:t>环境影响预测与评价</w:t>
      </w:r>
      <w:r>
        <w:tab/>
      </w:r>
      <w:r>
        <w:fldChar w:fldCharType="begin"/>
      </w:r>
      <w:r>
        <w:instrText xml:space="preserve"> PAGEREF _Toc19105492 \h </w:instrText>
      </w:r>
      <w:r>
        <w:fldChar w:fldCharType="separate"/>
      </w:r>
      <w:r>
        <w:t>162</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"_Toc19105493" </w:instrText>
      </w:r>
      <w:r>
        <w:fldChar w:fldCharType="separate"/>
      </w:r>
      <w:r>
        <w:rPr>
          <w:rStyle w:val="35"/>
          <w:rFonts w:ascii="Times New Roman" w:hAnsi="Times New Roman"/>
          <w:spacing w:val="4"/>
        </w:rPr>
        <w:t>10.5</w:t>
      </w:r>
      <w:r>
        <w:rPr>
          <w:rStyle w:val="35"/>
          <w:rFonts w:ascii="Cambria" w:hAnsi="Cambria"/>
        </w:rPr>
        <w:t>环境</w:t>
      </w:r>
      <w:r>
        <w:rPr>
          <w:rStyle w:val="35"/>
        </w:rPr>
        <w:t>风险评价</w:t>
      </w:r>
      <w:r>
        <w:tab/>
      </w:r>
      <w:r>
        <w:fldChar w:fldCharType="begin"/>
      </w:r>
      <w:r>
        <w:instrText xml:space="preserve"> PAGEREF _Toc19105493 \h </w:instrText>
      </w:r>
      <w:r>
        <w:fldChar w:fldCharType="separate"/>
      </w:r>
      <w:r>
        <w:t>163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"_Toc19105494" </w:instrText>
      </w:r>
      <w:r>
        <w:fldChar w:fldCharType="separate"/>
      </w:r>
      <w:r>
        <w:rPr>
          <w:rStyle w:val="35"/>
          <w:rFonts w:ascii="Times New Roman" w:hAnsi="Times New Roman"/>
          <w:spacing w:val="4"/>
        </w:rPr>
        <w:t>10.6</w:t>
      </w:r>
      <w:r>
        <w:rPr>
          <w:rStyle w:val="35"/>
          <w:rFonts w:ascii="Cambria" w:hAnsi="Cambria"/>
        </w:rPr>
        <w:t>环境</w:t>
      </w:r>
      <w:r>
        <w:rPr>
          <w:rStyle w:val="35"/>
        </w:rPr>
        <w:t>经济损益分析</w:t>
      </w:r>
      <w:r>
        <w:tab/>
      </w:r>
      <w:r>
        <w:fldChar w:fldCharType="begin"/>
      </w:r>
      <w:r>
        <w:instrText xml:space="preserve"> PAGEREF _Toc19105494 \h </w:instrText>
      </w:r>
      <w:r>
        <w:fldChar w:fldCharType="separate"/>
      </w:r>
      <w:r>
        <w:t>163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"_Toc19105495" </w:instrText>
      </w:r>
      <w:r>
        <w:fldChar w:fldCharType="separate"/>
      </w:r>
      <w:r>
        <w:rPr>
          <w:rStyle w:val="35"/>
          <w:rFonts w:ascii="Times New Roman" w:hAnsi="Times New Roman"/>
          <w:spacing w:val="4"/>
        </w:rPr>
        <w:t>10.7</w:t>
      </w:r>
      <w:r>
        <w:rPr>
          <w:rStyle w:val="35"/>
          <w:rFonts w:ascii="Cambria" w:hAnsi="Cambria"/>
        </w:rPr>
        <w:t>环境管理与监测计划</w:t>
      </w:r>
      <w:r>
        <w:tab/>
      </w:r>
      <w:r>
        <w:fldChar w:fldCharType="begin"/>
      </w:r>
      <w:r>
        <w:instrText xml:space="preserve"> PAGEREF _Toc19105495 \h </w:instrText>
      </w:r>
      <w:r>
        <w:fldChar w:fldCharType="separate"/>
      </w:r>
      <w:r>
        <w:t>163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"_Toc19105496" </w:instrText>
      </w:r>
      <w:r>
        <w:fldChar w:fldCharType="separate"/>
      </w:r>
      <w:r>
        <w:rPr>
          <w:rStyle w:val="35"/>
          <w:rFonts w:ascii="Times New Roman" w:hAnsi="Times New Roman"/>
          <w:spacing w:val="4"/>
        </w:rPr>
        <w:t>10.8公众参与</w:t>
      </w:r>
      <w:r>
        <w:tab/>
      </w:r>
      <w:r>
        <w:fldChar w:fldCharType="begin"/>
      </w:r>
      <w:r>
        <w:instrText xml:space="preserve"> PAGEREF _Toc19105496 \h </w:instrText>
      </w:r>
      <w:r>
        <w:fldChar w:fldCharType="separate"/>
      </w:r>
      <w:r>
        <w:t>163</w:t>
      </w:r>
      <w:r>
        <w:fldChar w:fldCharType="end"/>
      </w:r>
      <w:r>
        <w:fldChar w:fldCharType="end"/>
      </w:r>
    </w:p>
    <w:p>
      <w:pPr>
        <w:pStyle w:val="24"/>
        <w:tabs>
          <w:tab w:val="right" w:leader="dot" w:pos="8720"/>
        </w:tabs>
        <w:rPr>
          <w:rFonts w:eastAsiaTheme="minorEastAsia" w:cstheme="minorBidi"/>
          <w:b w:val="0"/>
          <w:bCs w:val="0"/>
          <w:sz w:val="21"/>
        </w:rPr>
      </w:pPr>
      <w:r>
        <w:fldChar w:fldCharType="begin"/>
      </w:r>
      <w:r>
        <w:instrText xml:space="preserve"> HYPERLINK \l "_Toc19105497" </w:instrText>
      </w:r>
      <w:r>
        <w:fldChar w:fldCharType="separate"/>
      </w:r>
      <w:r>
        <w:rPr>
          <w:rStyle w:val="35"/>
          <w:rFonts w:ascii="Times New Roman" w:hAnsi="Times New Roman"/>
          <w:spacing w:val="4"/>
        </w:rPr>
        <w:t>10.9</w:t>
      </w:r>
      <w:r>
        <w:rPr>
          <w:rStyle w:val="35"/>
        </w:rPr>
        <w:t>项目环境影响评价结论</w:t>
      </w:r>
      <w:r>
        <w:tab/>
      </w:r>
      <w:r>
        <w:fldChar w:fldCharType="begin"/>
      </w:r>
      <w:r>
        <w:instrText xml:space="preserve"> PAGEREF _Toc19105497 \h </w:instrText>
      </w:r>
      <w:r>
        <w:fldChar w:fldCharType="separate"/>
      </w:r>
      <w:r>
        <w:t>163</w:t>
      </w:r>
      <w:r>
        <w:fldChar w:fldCharType="end"/>
      </w:r>
      <w:r>
        <w:fldChar w:fldCharType="end"/>
      </w:r>
    </w:p>
    <w:p>
      <w:pPr>
        <w:spacing w:line="480" w:lineRule="exact"/>
        <w:jc w:val="left"/>
        <w:rPr>
          <w:rFonts w:hAnsi="黑体" w:eastAsia="黑体"/>
          <w:b/>
          <w:bCs/>
          <w:sz w:val="24"/>
          <w:szCs w:val="24"/>
        </w:rPr>
      </w:pPr>
      <w:r>
        <w:rPr>
          <w:rFonts w:hAnsi="黑体" w:eastAsia="黑体"/>
          <w:b/>
          <w:bCs/>
          <w:sz w:val="24"/>
          <w:szCs w:val="24"/>
        </w:rPr>
        <w:fldChar w:fldCharType="end"/>
      </w: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r>
        <w:rPr>
          <w:rFonts w:hint="eastAsia" w:hAnsi="黑体" w:eastAsia="黑体"/>
          <w:b/>
          <w:bCs/>
          <w:sz w:val="24"/>
          <w:szCs w:val="24"/>
        </w:rPr>
        <w:t>附件：</w:t>
      </w:r>
    </w:p>
    <w:p>
      <w:pPr>
        <w:pStyle w:val="67"/>
        <w:numPr>
          <w:ilvl w:val="0"/>
          <w:numId w:val="1"/>
        </w:numPr>
        <w:spacing w:line="480" w:lineRule="exact"/>
        <w:ind w:firstLineChars="0"/>
        <w:jc w:val="left"/>
        <w:rPr>
          <w:rFonts w:hAnsi="黑体" w:eastAsia="黑体"/>
          <w:b/>
          <w:bCs/>
          <w:sz w:val="24"/>
          <w:szCs w:val="24"/>
        </w:rPr>
      </w:pPr>
      <w:r>
        <w:rPr>
          <w:rFonts w:hint="eastAsia" w:hAnsi="黑体" w:eastAsia="黑体"/>
          <w:b/>
          <w:bCs/>
          <w:sz w:val="24"/>
          <w:szCs w:val="24"/>
        </w:rPr>
        <w:t>建设项目环境影响评价委托书；</w:t>
      </w:r>
    </w:p>
    <w:p>
      <w:pPr>
        <w:pStyle w:val="67"/>
        <w:numPr>
          <w:ilvl w:val="0"/>
          <w:numId w:val="1"/>
        </w:numPr>
        <w:spacing w:line="480" w:lineRule="exact"/>
        <w:ind w:firstLineChars="0"/>
        <w:jc w:val="left"/>
        <w:rPr>
          <w:rFonts w:hAnsi="黑体" w:eastAsia="黑体"/>
          <w:b/>
          <w:bCs/>
          <w:sz w:val="24"/>
          <w:szCs w:val="24"/>
        </w:rPr>
      </w:pPr>
      <w:r>
        <w:rPr>
          <w:rFonts w:hint="eastAsia" w:hAnsi="黑体" w:eastAsia="黑体"/>
          <w:b/>
          <w:bCs/>
          <w:sz w:val="24"/>
          <w:szCs w:val="24"/>
        </w:rPr>
        <w:t>项目备案文件；</w:t>
      </w:r>
    </w:p>
    <w:p>
      <w:pPr>
        <w:pStyle w:val="67"/>
        <w:numPr>
          <w:ilvl w:val="0"/>
          <w:numId w:val="1"/>
        </w:numPr>
        <w:spacing w:line="480" w:lineRule="exact"/>
        <w:ind w:firstLineChars="0"/>
        <w:jc w:val="left"/>
        <w:rPr>
          <w:rFonts w:hAnsi="黑体" w:eastAsia="黑体"/>
          <w:b/>
          <w:bCs/>
          <w:sz w:val="24"/>
          <w:szCs w:val="24"/>
        </w:rPr>
      </w:pPr>
      <w:r>
        <w:rPr>
          <w:rFonts w:hint="eastAsia" w:hAnsi="黑体" w:eastAsia="黑体"/>
          <w:b/>
          <w:bCs/>
          <w:sz w:val="24"/>
          <w:szCs w:val="24"/>
        </w:rPr>
        <w:t>总量批复文件；</w:t>
      </w:r>
    </w:p>
    <w:p>
      <w:pPr>
        <w:pStyle w:val="67"/>
        <w:numPr>
          <w:ilvl w:val="0"/>
          <w:numId w:val="1"/>
        </w:numPr>
        <w:spacing w:line="480" w:lineRule="exact"/>
        <w:ind w:firstLineChars="0"/>
        <w:jc w:val="left"/>
        <w:rPr>
          <w:rFonts w:hAnsi="黑体" w:eastAsia="黑体"/>
          <w:b/>
          <w:bCs/>
          <w:sz w:val="24"/>
          <w:szCs w:val="24"/>
        </w:rPr>
      </w:pPr>
      <w:r>
        <w:rPr>
          <w:rFonts w:hint="eastAsia" w:hAnsi="黑体" w:eastAsia="黑体"/>
          <w:b/>
          <w:bCs/>
          <w:sz w:val="24"/>
          <w:szCs w:val="24"/>
        </w:rPr>
        <w:t>有机肥买卖合同，附有机肥购买方环评批复；</w:t>
      </w:r>
    </w:p>
    <w:p>
      <w:pPr>
        <w:pStyle w:val="67"/>
        <w:numPr>
          <w:ilvl w:val="0"/>
          <w:numId w:val="1"/>
        </w:numPr>
        <w:spacing w:line="480" w:lineRule="exact"/>
        <w:ind w:firstLineChars="0"/>
        <w:jc w:val="left"/>
        <w:rPr>
          <w:rFonts w:hAnsi="黑体" w:eastAsia="黑体"/>
          <w:b/>
          <w:bCs/>
          <w:sz w:val="24"/>
          <w:szCs w:val="24"/>
        </w:rPr>
      </w:pPr>
      <w:r>
        <w:rPr>
          <w:rFonts w:hint="eastAsia" w:hAnsi="黑体" w:eastAsia="黑体"/>
          <w:b/>
          <w:bCs/>
          <w:sz w:val="24"/>
          <w:szCs w:val="24"/>
        </w:rPr>
        <w:t>环境质量现状监测报告；</w:t>
      </w:r>
    </w:p>
    <w:p>
      <w:pPr>
        <w:pStyle w:val="67"/>
        <w:numPr>
          <w:ilvl w:val="0"/>
          <w:numId w:val="1"/>
        </w:numPr>
        <w:spacing w:line="480" w:lineRule="exact"/>
        <w:ind w:firstLineChars="0"/>
        <w:jc w:val="left"/>
        <w:rPr>
          <w:rFonts w:hAnsi="黑体" w:eastAsia="黑体"/>
          <w:b/>
          <w:bCs/>
          <w:sz w:val="24"/>
          <w:szCs w:val="24"/>
        </w:rPr>
      </w:pPr>
      <w:r>
        <w:rPr>
          <w:rFonts w:hint="eastAsia" w:hAnsi="黑体" w:eastAsia="黑体"/>
          <w:b/>
          <w:bCs/>
          <w:sz w:val="24"/>
          <w:szCs w:val="24"/>
        </w:rPr>
        <w:t>专家审查意见。</w:t>
      </w: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r>
        <w:rPr>
          <w:rFonts w:hint="eastAsia" w:hAnsi="黑体" w:eastAsia="黑体"/>
          <w:b/>
          <w:bCs/>
          <w:sz w:val="24"/>
          <w:szCs w:val="24"/>
        </w:rPr>
        <w:t>附表：</w:t>
      </w:r>
    </w:p>
    <w:p>
      <w:pPr>
        <w:spacing w:line="480" w:lineRule="exact"/>
        <w:jc w:val="left"/>
        <w:rPr>
          <w:rFonts w:hAnsi="黑体" w:eastAsia="黑体"/>
          <w:b/>
          <w:bCs/>
          <w:sz w:val="24"/>
          <w:szCs w:val="24"/>
        </w:rPr>
      </w:pPr>
      <w:r>
        <w:rPr>
          <w:rFonts w:hint="eastAsia" w:hAnsi="黑体" w:eastAsia="黑体"/>
          <w:b/>
          <w:bCs/>
          <w:sz w:val="24"/>
          <w:szCs w:val="24"/>
        </w:rPr>
        <w:t>1、建设项目审批基础信息表。</w:t>
      </w: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480" w:lineRule="exact"/>
        <w:jc w:val="left"/>
        <w:rPr>
          <w:rFonts w:hAnsi="黑体" w:eastAsia="黑体"/>
          <w:b/>
          <w:bCs/>
          <w:sz w:val="24"/>
          <w:szCs w:val="24"/>
        </w:rPr>
      </w:pPr>
    </w:p>
    <w:p>
      <w:pPr>
        <w:spacing w:line="720" w:lineRule="auto"/>
        <w:jc w:val="center"/>
        <w:rPr>
          <w:rFonts w:hAnsi="黑体" w:eastAsia="黑体"/>
          <w:b/>
          <w:bCs/>
          <w:sz w:val="44"/>
          <w:szCs w:val="44"/>
        </w:rPr>
      </w:pPr>
    </w:p>
    <w:p>
      <w:pPr>
        <w:spacing w:line="720" w:lineRule="auto"/>
        <w:jc w:val="center"/>
        <w:rPr>
          <w:rFonts w:hAnsi="黑体" w:eastAsia="黑体"/>
          <w:b/>
          <w:bCs/>
          <w:sz w:val="44"/>
          <w:szCs w:val="44"/>
        </w:rPr>
        <w:sectPr>
          <w:headerReference r:id="rId3" w:type="default"/>
          <w:footerReference r:id="rId4" w:type="default"/>
          <w:pgSz w:w="11906" w:h="16838"/>
          <w:pgMar w:top="1440" w:right="1531" w:bottom="1440" w:left="1531" w:header="851" w:footer="992" w:gutter="0"/>
          <w:pgNumType w:fmt="upperRoman" w:start="1"/>
          <w:cols w:space="425" w:num="1"/>
          <w:docGrid w:type="linesAndChars" w:linePitch="312" w:charSpace="0"/>
        </w:sectPr>
      </w:pPr>
    </w:p>
    <w:p>
      <w:pPr>
        <w:spacing w:line="720" w:lineRule="auto"/>
        <w:jc w:val="center"/>
        <w:outlineLvl w:val="0"/>
        <w:rPr>
          <w:rFonts w:hAnsi="黑体" w:eastAsia="黑体"/>
          <w:b/>
          <w:bCs/>
          <w:sz w:val="44"/>
          <w:szCs w:val="44"/>
        </w:rPr>
      </w:pPr>
      <w:bookmarkStart w:id="2" w:name="_Toc19105440"/>
      <w:r>
        <w:rPr>
          <w:rFonts w:hint="eastAsia" w:hAnsi="黑体" w:eastAsia="黑体"/>
          <w:b/>
          <w:bCs/>
          <w:sz w:val="44"/>
          <w:szCs w:val="44"/>
        </w:rPr>
        <w:t>1 概述</w:t>
      </w:r>
      <w:bookmarkEnd w:id="2"/>
    </w:p>
    <w:p>
      <w:pPr>
        <w:pStyle w:val="40"/>
        <w:keepNext/>
        <w:keepLines/>
        <w:widowControl w:val="0"/>
        <w:spacing w:before="156" w:beforeLines="50" w:after="0" w:line="480" w:lineRule="exact"/>
        <w:ind w:firstLine="0" w:firstLineChars="0"/>
        <w:outlineLvl w:val="1"/>
        <w:rPr>
          <w:rFonts w:ascii="Times New Roman" w:hAnsi="Times New Roman" w:eastAsia="宋体"/>
          <w:b/>
          <w:bCs/>
          <w:sz w:val="28"/>
          <w:szCs w:val="28"/>
        </w:rPr>
      </w:pPr>
      <w:bookmarkStart w:id="3" w:name="_Toc19105441"/>
      <w:r>
        <w:rPr>
          <w:rFonts w:ascii="Times New Roman" w:hAnsi="Times New Roman" w:eastAsia="宋体"/>
          <w:b/>
          <w:bCs/>
          <w:sz w:val="28"/>
          <w:szCs w:val="28"/>
        </w:rPr>
        <w:t>1.1</w:t>
      </w:r>
      <w:r>
        <w:rPr>
          <w:rFonts w:hint="eastAsia" w:ascii="Times New Roman" w:hAnsi="宋体" w:eastAsia="宋体"/>
          <w:b/>
          <w:bCs/>
          <w:sz w:val="28"/>
          <w:szCs w:val="28"/>
        </w:rPr>
        <w:t>项目背景</w:t>
      </w:r>
      <w:bookmarkEnd w:id="3"/>
    </w:p>
    <w:p>
      <w:pPr>
        <w:spacing w:line="480" w:lineRule="exact"/>
        <w:ind w:firstLine="480" w:firstLineChars="200"/>
        <w:rPr>
          <w:rFonts w:hAnsi="宋体"/>
          <w:bCs/>
          <w:sz w:val="24"/>
          <w:szCs w:val="24"/>
        </w:rPr>
      </w:pPr>
      <w:r>
        <w:rPr>
          <w:rFonts w:hint="eastAsia" w:hAnsi="宋体"/>
          <w:bCs/>
          <w:sz w:val="24"/>
          <w:szCs w:val="24"/>
        </w:rPr>
        <w:t>随着人民生活水平的提高，肉食在人民餐桌的比例逐渐增大，在所有肉类当中，肉鸡的价格相对比较稳定，能够被消费者接受，并且肉鸡有自己独特的营养价值和功能；</w:t>
      </w:r>
      <w:r>
        <w:rPr>
          <w:rFonts w:hAnsi="宋体"/>
          <w:bCs/>
          <w:sz w:val="24"/>
          <w:szCs w:val="24"/>
        </w:rPr>
        <w:t>鸡肉中含有丰富的营养物质，深受人们喜爱，有着广阔的市场空间。</w:t>
      </w:r>
    </w:p>
    <w:p>
      <w:pPr>
        <w:spacing w:line="480" w:lineRule="exact"/>
        <w:ind w:firstLine="480" w:firstLineChars="200"/>
        <w:rPr>
          <w:rFonts w:hAnsi="宋体"/>
          <w:bCs/>
          <w:sz w:val="24"/>
          <w:szCs w:val="24"/>
        </w:rPr>
      </w:pPr>
      <w:r>
        <w:rPr>
          <w:rFonts w:hint="eastAsia" w:hAnsi="宋体"/>
          <w:bCs/>
          <w:sz w:val="24"/>
          <w:szCs w:val="24"/>
        </w:rPr>
        <w:t>在此背景下，汾阳市褚凤养殖场拟在汾阳市峪道河镇田褚村西侧1km处新建“汾阳市褚凤肉鸡养殖项目”，该项目主要建设内容为办公用房、肉鸡饲养车间、原料库、成品库及道路硬化、绿化；购置设备及环保、安全、消防等附属设施。项目建成后，年出栏肉鸡约</w:t>
      </w:r>
      <w:r>
        <w:rPr>
          <w:rFonts w:hAnsi="宋体"/>
          <w:bCs/>
          <w:sz w:val="24"/>
          <w:szCs w:val="24"/>
        </w:rPr>
        <w:t>140</w:t>
      </w:r>
      <w:r>
        <w:rPr>
          <w:rFonts w:hint="eastAsia" w:hAnsi="宋体"/>
          <w:bCs/>
          <w:sz w:val="24"/>
          <w:szCs w:val="24"/>
        </w:rPr>
        <w:t>万羽。本项目的实施，是提高企业效益和社会效益的需要，对增加地方财政收入，发展区域经济，提高人民生活水平具有重要的促进作用。</w:t>
      </w:r>
    </w:p>
    <w:p>
      <w:pPr>
        <w:spacing w:line="480" w:lineRule="exact"/>
        <w:ind w:firstLine="480" w:firstLineChars="200"/>
        <w:rPr>
          <w:color w:val="000000"/>
          <w:sz w:val="24"/>
          <w:szCs w:val="22"/>
        </w:rPr>
      </w:pPr>
      <w:r>
        <w:rPr>
          <w:rFonts w:hint="eastAsia"/>
          <w:color w:val="000000"/>
          <w:sz w:val="24"/>
          <w:szCs w:val="22"/>
        </w:rPr>
        <w:t>2019年6月</w:t>
      </w:r>
      <w:r>
        <w:rPr>
          <w:color w:val="000000"/>
          <w:sz w:val="24"/>
          <w:szCs w:val="22"/>
        </w:rPr>
        <w:t>3</w:t>
      </w:r>
      <w:r>
        <w:rPr>
          <w:rFonts w:hint="eastAsia"/>
          <w:color w:val="000000"/>
          <w:sz w:val="24"/>
          <w:szCs w:val="22"/>
        </w:rPr>
        <w:t>日，汾阳市发展和改革局以2019-111号文对本项目进行了备案，项目编码为：2019-141182-03-03-010469。按照《中华人民共和国环境保护法》、《中华人民共和国环境影响评价法》、《建设项目环境保护管理条例》等法律法律的有关规定，本项目需进行环境影响评价。受</w:t>
      </w:r>
      <w:r>
        <w:rPr>
          <w:rFonts w:hint="eastAsia" w:hAnsi="宋体"/>
          <w:bCs/>
          <w:sz w:val="24"/>
          <w:szCs w:val="24"/>
        </w:rPr>
        <w:t>汾阳市褚凤养殖场</w:t>
      </w:r>
      <w:r>
        <w:rPr>
          <w:rFonts w:hint="eastAsia"/>
          <w:color w:val="000000"/>
          <w:sz w:val="24"/>
          <w:szCs w:val="22"/>
        </w:rPr>
        <w:t>委托，</w:t>
      </w:r>
      <w:r>
        <w:rPr>
          <w:rFonts w:hint="eastAsia"/>
          <w:spacing w:val="4"/>
          <w:sz w:val="24"/>
          <w:szCs w:val="24"/>
        </w:rPr>
        <w:t>山西山大科技发展有限公司</w:t>
      </w:r>
      <w:r>
        <w:rPr>
          <w:rFonts w:hint="eastAsia"/>
          <w:color w:val="000000"/>
          <w:sz w:val="24"/>
          <w:szCs w:val="22"/>
        </w:rPr>
        <w:t>承担了本项目的环境影响评价工作，对</w:t>
      </w:r>
      <w:r>
        <w:rPr>
          <w:rFonts w:hint="eastAsia" w:hAnsi="宋体"/>
          <w:bCs/>
          <w:sz w:val="24"/>
          <w:szCs w:val="24"/>
        </w:rPr>
        <w:t>“汾阳市褚凤肉鸡养殖项目”的建设与运营可能产生的环境影响进行分析、预测与评估，提出减缓不利环境影响的对策与措施，从环境保护角度论证项目建设的可行性，给出明确的环境影响评价结论。</w:t>
      </w:r>
    </w:p>
    <w:p>
      <w:pPr>
        <w:pStyle w:val="40"/>
        <w:keepNext/>
        <w:keepLines/>
        <w:widowControl w:val="0"/>
        <w:spacing w:before="156" w:beforeLines="50" w:after="0" w:line="480" w:lineRule="exact"/>
        <w:ind w:firstLine="0" w:firstLineChars="0"/>
        <w:outlineLvl w:val="1"/>
        <w:rPr>
          <w:rFonts w:ascii="Times New Roman" w:hAnsi="Times New Roman" w:eastAsia="宋体"/>
          <w:b/>
          <w:bCs/>
          <w:sz w:val="28"/>
          <w:szCs w:val="28"/>
        </w:rPr>
      </w:pPr>
      <w:bookmarkStart w:id="4" w:name="_Toc19105442"/>
      <w:r>
        <w:rPr>
          <w:rFonts w:ascii="Times New Roman" w:hAnsi="Times New Roman" w:eastAsia="宋体"/>
          <w:b/>
          <w:bCs/>
          <w:sz w:val="28"/>
          <w:szCs w:val="28"/>
        </w:rPr>
        <w:t>1.</w:t>
      </w:r>
      <w:r>
        <w:rPr>
          <w:rFonts w:hint="eastAsia" w:ascii="Times New Roman" w:hAnsi="Times New Roman" w:eastAsia="宋体"/>
          <w:b/>
          <w:bCs/>
          <w:sz w:val="28"/>
          <w:szCs w:val="28"/>
        </w:rPr>
        <w:t>2</w:t>
      </w:r>
      <w:r>
        <w:rPr>
          <w:rFonts w:hint="eastAsia" w:ascii="Times New Roman" w:hAnsi="宋体" w:eastAsia="宋体"/>
          <w:b/>
          <w:bCs/>
          <w:sz w:val="28"/>
          <w:szCs w:val="28"/>
        </w:rPr>
        <w:t>项目特点</w:t>
      </w:r>
      <w:bookmarkEnd w:id="4"/>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2</w:t>
      </w:r>
      <w:r>
        <w:rPr>
          <w:rFonts w:cs="Times New Roman"/>
          <w:b/>
        </w:rPr>
        <w:t>.1</w:t>
      </w:r>
      <w:r>
        <w:rPr>
          <w:rFonts w:hint="eastAsia" w:ascii="宋体" w:hAnsi="宋体" w:eastAsia="宋体" w:cs="Times New Roman"/>
          <w:b/>
        </w:rPr>
        <w:t>项目概况</w:t>
      </w:r>
    </w:p>
    <w:p>
      <w:pPr>
        <w:spacing w:line="480" w:lineRule="exact"/>
        <w:ind w:firstLine="480" w:firstLineChars="200"/>
        <w:rPr>
          <w:rFonts w:hAnsi="宋体"/>
          <w:bCs/>
          <w:sz w:val="24"/>
          <w:szCs w:val="24"/>
        </w:rPr>
      </w:pPr>
      <w:r>
        <w:rPr>
          <w:rFonts w:hint="eastAsia" w:hAnsi="宋体"/>
          <w:bCs/>
          <w:sz w:val="24"/>
          <w:szCs w:val="24"/>
        </w:rPr>
        <w:t>“汾阳市褚凤肉鸡养殖项目”位于汾阳市峪道河镇田褚村，占地面积约42000m</w:t>
      </w:r>
      <w:r>
        <w:rPr>
          <w:rFonts w:hint="eastAsia" w:hAnsi="宋体"/>
          <w:bCs/>
          <w:sz w:val="24"/>
          <w:szCs w:val="24"/>
          <w:vertAlign w:val="superscript"/>
        </w:rPr>
        <w:t>2</w:t>
      </w:r>
      <w:r>
        <w:rPr>
          <w:rFonts w:hint="eastAsia" w:hAnsi="宋体"/>
          <w:bCs/>
          <w:sz w:val="24"/>
          <w:szCs w:val="24"/>
        </w:rPr>
        <w:t>，本项目主要建设内容为新建鸡舍</w:t>
      </w:r>
      <w:r>
        <w:rPr>
          <w:rFonts w:hAnsi="宋体"/>
          <w:bCs/>
          <w:sz w:val="24"/>
          <w:szCs w:val="24"/>
        </w:rPr>
        <w:t>7</w:t>
      </w:r>
      <w:r>
        <w:rPr>
          <w:rFonts w:hint="eastAsia" w:hAnsi="宋体"/>
          <w:bCs/>
          <w:sz w:val="24"/>
          <w:szCs w:val="24"/>
        </w:rPr>
        <w:t>栋，并配套锅炉房、污水处理站等构建筑物；本项目为采购鸡苗养殖，不含孵化过程。本项目</w:t>
      </w:r>
      <w:r>
        <w:rPr>
          <w:rFonts w:hAnsi="宋体"/>
          <w:bCs/>
          <w:sz w:val="24"/>
          <w:szCs w:val="24"/>
        </w:rPr>
        <w:t>每栋鸡舍每批次可养殖肉鸡</w:t>
      </w:r>
      <w:r>
        <w:rPr>
          <w:rFonts w:hint="eastAsia" w:hAnsi="宋体"/>
          <w:bCs/>
          <w:sz w:val="24"/>
          <w:szCs w:val="24"/>
        </w:rPr>
        <w:t>约</w:t>
      </w:r>
      <w:r>
        <w:rPr>
          <w:rFonts w:hAnsi="宋体"/>
          <w:bCs/>
          <w:sz w:val="24"/>
          <w:szCs w:val="24"/>
        </w:rPr>
        <w:t>3.4万只，</w:t>
      </w:r>
      <w:r>
        <w:rPr>
          <w:rFonts w:hint="eastAsia" w:hAnsi="宋体"/>
          <w:bCs/>
          <w:sz w:val="24"/>
          <w:szCs w:val="24"/>
        </w:rPr>
        <w:t>项目达产后可年出栏</w:t>
      </w:r>
      <w:r>
        <w:rPr>
          <w:rFonts w:hAnsi="宋体"/>
          <w:bCs/>
          <w:sz w:val="24"/>
          <w:szCs w:val="24"/>
        </w:rPr>
        <w:t>6</w:t>
      </w:r>
      <w:r>
        <w:rPr>
          <w:rFonts w:hint="eastAsia" w:hAnsi="宋体"/>
          <w:bCs/>
          <w:sz w:val="24"/>
          <w:szCs w:val="24"/>
        </w:rPr>
        <w:t>个批次，年出栏肉鸡约</w:t>
      </w:r>
      <w:r>
        <w:rPr>
          <w:rFonts w:hAnsi="宋体"/>
          <w:bCs/>
          <w:sz w:val="24"/>
          <w:szCs w:val="24"/>
        </w:rPr>
        <w:t>140</w:t>
      </w:r>
      <w:r>
        <w:rPr>
          <w:rFonts w:hint="eastAsia" w:hAnsi="宋体"/>
          <w:bCs/>
          <w:sz w:val="24"/>
          <w:szCs w:val="24"/>
        </w:rPr>
        <w:t>万羽。</w:t>
      </w:r>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2</w:t>
      </w:r>
      <w:r>
        <w:rPr>
          <w:rFonts w:cs="Times New Roman"/>
          <w:b/>
        </w:rPr>
        <w:t>.</w:t>
      </w:r>
      <w:r>
        <w:rPr>
          <w:rFonts w:hint="eastAsia" w:cs="Times New Roman"/>
          <w:b/>
        </w:rPr>
        <w:t>2</w:t>
      </w:r>
      <w:r>
        <w:rPr>
          <w:rFonts w:hint="eastAsia" w:ascii="宋体" w:hAnsi="宋体" w:eastAsia="宋体" w:cs="Times New Roman"/>
          <w:b/>
        </w:rPr>
        <w:t>污染物产生情况</w:t>
      </w:r>
    </w:p>
    <w:p>
      <w:pPr>
        <w:spacing w:line="480" w:lineRule="exact"/>
        <w:ind w:firstLine="480" w:firstLineChars="200"/>
        <w:rPr>
          <w:rFonts w:hAnsi="宋体"/>
          <w:bCs/>
          <w:sz w:val="24"/>
          <w:szCs w:val="24"/>
        </w:rPr>
      </w:pPr>
      <w:r>
        <w:rPr>
          <w:rFonts w:hint="eastAsia" w:hAnsi="宋体"/>
          <w:bCs/>
          <w:sz w:val="24"/>
          <w:szCs w:val="24"/>
        </w:rPr>
        <w:t>（</w:t>
      </w:r>
      <w:r>
        <w:rPr>
          <w:rFonts w:hAnsi="宋体"/>
          <w:bCs/>
          <w:sz w:val="24"/>
          <w:szCs w:val="24"/>
        </w:rPr>
        <w:t>1</w:t>
      </w:r>
      <w:r>
        <w:rPr>
          <w:rFonts w:hint="eastAsia" w:hAnsi="宋体"/>
          <w:bCs/>
          <w:sz w:val="24"/>
          <w:szCs w:val="24"/>
        </w:rPr>
        <w:t>）废气</w:t>
      </w:r>
      <w:r>
        <w:rPr>
          <w:rFonts w:hAnsi="宋体"/>
          <w:bCs/>
          <w:sz w:val="24"/>
          <w:szCs w:val="24"/>
        </w:rPr>
        <w:t xml:space="preserve"> </w:t>
      </w:r>
    </w:p>
    <w:p>
      <w:pPr>
        <w:spacing w:line="480" w:lineRule="exact"/>
        <w:ind w:firstLine="480" w:firstLineChars="200"/>
        <w:rPr>
          <w:rFonts w:hAnsi="宋体"/>
          <w:bCs/>
          <w:sz w:val="24"/>
          <w:szCs w:val="24"/>
        </w:rPr>
      </w:pPr>
      <w:r>
        <w:rPr>
          <w:rFonts w:hint="eastAsia" w:hAnsi="宋体"/>
          <w:bCs/>
          <w:sz w:val="24"/>
          <w:szCs w:val="24"/>
        </w:rPr>
        <w:t>本项目营运期产生的废气为鸡舍及污水处理站恶臭、燃液化天然气锅炉烟气。</w:t>
      </w:r>
    </w:p>
    <w:p>
      <w:pPr>
        <w:spacing w:line="480" w:lineRule="exact"/>
        <w:ind w:firstLine="480" w:firstLineChars="200"/>
        <w:rPr>
          <w:rFonts w:hAnsi="宋体"/>
          <w:bCs/>
          <w:sz w:val="24"/>
          <w:szCs w:val="24"/>
        </w:rPr>
      </w:pPr>
      <w:r>
        <w:rPr>
          <w:rFonts w:hint="eastAsia" w:hAnsi="宋体"/>
          <w:bCs/>
          <w:sz w:val="24"/>
          <w:szCs w:val="24"/>
        </w:rPr>
        <w:t>①恶臭</w:t>
      </w:r>
    </w:p>
    <w:p>
      <w:pPr>
        <w:spacing w:line="480" w:lineRule="exact"/>
        <w:ind w:firstLine="480" w:firstLineChars="200"/>
        <w:rPr>
          <w:rFonts w:hAnsi="宋体"/>
          <w:bCs/>
          <w:sz w:val="24"/>
          <w:szCs w:val="24"/>
        </w:rPr>
      </w:pPr>
      <w:r>
        <w:rPr>
          <w:rFonts w:hint="eastAsia" w:hAnsi="宋体"/>
          <w:bCs/>
          <w:sz w:val="24"/>
          <w:szCs w:val="24"/>
        </w:rPr>
        <w:t>养殖场恶臭气体主要来源于鸡舍、污水处理站及临时储粪房，主要成分为</w:t>
      </w:r>
      <w:r>
        <w:rPr>
          <w:rFonts w:hAnsi="宋体"/>
          <w:bCs/>
          <w:sz w:val="24"/>
          <w:szCs w:val="24"/>
        </w:rPr>
        <w:t>NH</w:t>
      </w:r>
      <w:r>
        <w:rPr>
          <w:rFonts w:hAnsi="宋体"/>
          <w:bCs/>
          <w:sz w:val="24"/>
          <w:szCs w:val="24"/>
          <w:vertAlign w:val="subscript"/>
        </w:rPr>
        <w:t>3</w:t>
      </w:r>
      <w:r>
        <w:rPr>
          <w:rFonts w:hint="eastAsia" w:hAnsi="宋体"/>
          <w:bCs/>
          <w:sz w:val="24"/>
          <w:szCs w:val="24"/>
        </w:rPr>
        <w:t>、</w:t>
      </w:r>
      <w:r>
        <w:rPr>
          <w:rFonts w:hAnsi="宋体"/>
          <w:bCs/>
          <w:sz w:val="24"/>
          <w:szCs w:val="24"/>
        </w:rPr>
        <w:t>H</w:t>
      </w:r>
      <w:r>
        <w:rPr>
          <w:rFonts w:hAnsi="宋体"/>
          <w:bCs/>
          <w:sz w:val="24"/>
          <w:szCs w:val="24"/>
          <w:vertAlign w:val="subscript"/>
        </w:rPr>
        <w:t>2</w:t>
      </w:r>
      <w:r>
        <w:rPr>
          <w:rFonts w:hAnsi="宋体"/>
          <w:bCs/>
          <w:sz w:val="24"/>
          <w:szCs w:val="24"/>
        </w:rPr>
        <w:t>S</w:t>
      </w:r>
      <w:r>
        <w:rPr>
          <w:rFonts w:hint="eastAsia" w:hAnsi="宋体"/>
          <w:bCs/>
          <w:sz w:val="24"/>
          <w:szCs w:val="24"/>
        </w:rPr>
        <w:t>以及臭气浓度。</w:t>
      </w:r>
    </w:p>
    <w:p>
      <w:pPr>
        <w:spacing w:line="480" w:lineRule="exact"/>
        <w:ind w:firstLine="480" w:firstLineChars="200"/>
        <w:rPr>
          <w:rFonts w:hAnsi="宋体"/>
          <w:bCs/>
          <w:sz w:val="24"/>
          <w:szCs w:val="24"/>
        </w:rPr>
      </w:pPr>
      <w:r>
        <w:rPr>
          <w:rFonts w:hint="eastAsia" w:hAnsi="宋体"/>
          <w:bCs/>
          <w:sz w:val="24"/>
          <w:szCs w:val="24"/>
        </w:rPr>
        <w:t>②锅炉烟气</w:t>
      </w:r>
    </w:p>
    <w:p>
      <w:pPr>
        <w:spacing w:line="480" w:lineRule="exact"/>
        <w:ind w:firstLine="480" w:firstLineChars="200"/>
        <w:rPr>
          <w:rFonts w:hAnsi="宋体"/>
          <w:bCs/>
          <w:sz w:val="24"/>
          <w:szCs w:val="24"/>
        </w:rPr>
      </w:pPr>
      <w:r>
        <w:rPr>
          <w:rFonts w:hint="eastAsia" w:hAnsi="宋体"/>
          <w:bCs/>
          <w:sz w:val="24"/>
          <w:szCs w:val="24"/>
        </w:rPr>
        <w:t>场区取暖由1台</w:t>
      </w:r>
      <w:r>
        <w:rPr>
          <w:rFonts w:hAnsi="宋体"/>
          <w:bCs/>
          <w:sz w:val="24"/>
          <w:szCs w:val="24"/>
        </w:rPr>
        <w:t>2.1WM</w:t>
      </w:r>
      <w:r>
        <w:rPr>
          <w:rFonts w:hint="eastAsia" w:hAnsi="宋体"/>
          <w:bCs/>
          <w:sz w:val="24"/>
          <w:szCs w:val="24"/>
        </w:rPr>
        <w:t>燃液化天然气热水锅炉提供，锅炉烟气经20</w:t>
      </w:r>
      <w:r>
        <w:rPr>
          <w:rFonts w:hAnsi="宋体"/>
          <w:bCs/>
          <w:sz w:val="24"/>
          <w:szCs w:val="24"/>
        </w:rPr>
        <w:t>m</w:t>
      </w:r>
      <w:r>
        <w:rPr>
          <w:rFonts w:hint="eastAsia" w:hAnsi="宋体"/>
          <w:bCs/>
          <w:sz w:val="24"/>
          <w:szCs w:val="24"/>
        </w:rPr>
        <w:t>高烟囱排放，排放污染物主要为颗粒物、</w:t>
      </w:r>
      <w:r>
        <w:rPr>
          <w:rFonts w:hAnsi="宋体"/>
          <w:bCs/>
          <w:sz w:val="24"/>
          <w:szCs w:val="24"/>
        </w:rPr>
        <w:t>NO</w:t>
      </w:r>
      <w:r>
        <w:rPr>
          <w:rFonts w:hAnsi="宋体"/>
          <w:bCs/>
          <w:sz w:val="24"/>
          <w:szCs w:val="24"/>
          <w:vertAlign w:val="subscript"/>
        </w:rPr>
        <w:t>x</w:t>
      </w:r>
      <w:r>
        <w:rPr>
          <w:rFonts w:hint="eastAsia" w:hAnsi="宋体"/>
          <w:bCs/>
          <w:sz w:val="24"/>
          <w:szCs w:val="24"/>
        </w:rPr>
        <w:t>。</w:t>
      </w:r>
    </w:p>
    <w:p>
      <w:pPr>
        <w:spacing w:line="480" w:lineRule="exact"/>
        <w:ind w:firstLine="480" w:firstLineChars="200"/>
        <w:rPr>
          <w:rFonts w:hAnsi="宋体"/>
          <w:bCs/>
          <w:sz w:val="24"/>
          <w:szCs w:val="24"/>
        </w:rPr>
      </w:pPr>
      <w:r>
        <w:rPr>
          <w:rFonts w:hint="eastAsia" w:hAnsi="宋体"/>
          <w:bCs/>
          <w:sz w:val="24"/>
          <w:szCs w:val="24"/>
        </w:rPr>
        <w:t>（</w:t>
      </w:r>
      <w:r>
        <w:rPr>
          <w:rFonts w:hAnsi="宋体"/>
          <w:bCs/>
          <w:sz w:val="24"/>
          <w:szCs w:val="24"/>
        </w:rPr>
        <w:t>2</w:t>
      </w:r>
      <w:r>
        <w:rPr>
          <w:rFonts w:hint="eastAsia" w:hAnsi="宋体"/>
          <w:bCs/>
          <w:sz w:val="24"/>
          <w:szCs w:val="24"/>
        </w:rPr>
        <w:t>）废水</w:t>
      </w:r>
    </w:p>
    <w:p>
      <w:pPr>
        <w:spacing w:line="480" w:lineRule="exact"/>
        <w:ind w:firstLine="480" w:firstLineChars="200"/>
        <w:rPr>
          <w:rFonts w:hAnsi="宋体"/>
          <w:bCs/>
          <w:sz w:val="24"/>
          <w:szCs w:val="24"/>
        </w:rPr>
      </w:pPr>
      <w:r>
        <w:rPr>
          <w:rFonts w:hint="eastAsia" w:hAnsi="宋体"/>
          <w:bCs/>
          <w:sz w:val="24"/>
          <w:szCs w:val="24"/>
        </w:rPr>
        <w:t>本项废水主要包括</w:t>
      </w:r>
      <w:r>
        <w:rPr>
          <w:rFonts w:hint="eastAsia"/>
          <w:sz w:val="24"/>
        </w:rPr>
        <w:t>鸡舍冲洗废水、职工生活污水、锅炉定排水和软水系统排水。</w:t>
      </w:r>
    </w:p>
    <w:p>
      <w:pPr>
        <w:spacing w:line="480" w:lineRule="exact"/>
        <w:ind w:firstLine="480" w:firstLineChars="200"/>
        <w:rPr>
          <w:rFonts w:hAnsi="宋体"/>
          <w:bCs/>
          <w:color w:val="FF0000"/>
          <w:sz w:val="24"/>
          <w:szCs w:val="24"/>
        </w:rPr>
      </w:pPr>
      <w:r>
        <w:rPr>
          <w:rFonts w:hint="eastAsia"/>
          <w:sz w:val="24"/>
        </w:rPr>
        <w:t>锅炉定排水、软水制备系统排水、生活污水、鸡舍冲洗废水集中收集，经污水处理站处理后，用于农田灌溉，不外排。</w:t>
      </w:r>
    </w:p>
    <w:p>
      <w:pPr>
        <w:spacing w:line="480" w:lineRule="exact"/>
        <w:ind w:firstLine="480" w:firstLineChars="200"/>
        <w:rPr>
          <w:rFonts w:hAnsi="宋体"/>
          <w:bCs/>
          <w:sz w:val="24"/>
          <w:szCs w:val="24"/>
        </w:rPr>
      </w:pPr>
      <w:r>
        <w:rPr>
          <w:rFonts w:hint="eastAsia" w:hAnsi="宋体"/>
          <w:bCs/>
          <w:sz w:val="24"/>
          <w:szCs w:val="24"/>
        </w:rPr>
        <w:t>（</w:t>
      </w:r>
      <w:r>
        <w:rPr>
          <w:rFonts w:hAnsi="宋体"/>
          <w:bCs/>
          <w:sz w:val="24"/>
          <w:szCs w:val="24"/>
        </w:rPr>
        <w:t>3</w:t>
      </w:r>
      <w:r>
        <w:rPr>
          <w:rFonts w:hint="eastAsia" w:hAnsi="宋体"/>
          <w:bCs/>
          <w:sz w:val="24"/>
          <w:szCs w:val="24"/>
        </w:rPr>
        <w:t>）噪声</w:t>
      </w:r>
      <w:r>
        <w:rPr>
          <w:rFonts w:hAnsi="宋体"/>
          <w:bCs/>
          <w:sz w:val="24"/>
          <w:szCs w:val="24"/>
        </w:rPr>
        <w:t xml:space="preserve"> </w:t>
      </w:r>
    </w:p>
    <w:p>
      <w:pPr>
        <w:spacing w:line="480" w:lineRule="exact"/>
        <w:ind w:firstLine="480" w:firstLineChars="200"/>
        <w:rPr>
          <w:rFonts w:hAnsi="宋体"/>
          <w:bCs/>
          <w:sz w:val="24"/>
          <w:szCs w:val="24"/>
        </w:rPr>
      </w:pPr>
      <w:r>
        <w:rPr>
          <w:rFonts w:hint="eastAsia" w:hAnsi="宋体"/>
          <w:bCs/>
          <w:sz w:val="24"/>
          <w:szCs w:val="24"/>
        </w:rPr>
        <w:t>噪声源主要为水泵、风机、鸡叫等，噪声源强为</w:t>
      </w:r>
      <w:r>
        <w:rPr>
          <w:rFonts w:hAnsi="宋体"/>
          <w:bCs/>
          <w:sz w:val="24"/>
          <w:szCs w:val="24"/>
        </w:rPr>
        <w:t>60~85dB</w:t>
      </w:r>
      <w:r>
        <w:rPr>
          <w:rFonts w:hint="eastAsia" w:hAnsi="宋体"/>
          <w:bCs/>
          <w:sz w:val="24"/>
          <w:szCs w:val="24"/>
        </w:rPr>
        <w:t>（</w:t>
      </w:r>
      <w:r>
        <w:rPr>
          <w:rFonts w:hAnsi="宋体"/>
          <w:bCs/>
          <w:sz w:val="24"/>
          <w:szCs w:val="24"/>
        </w:rPr>
        <w:t>A</w:t>
      </w:r>
      <w:r>
        <w:rPr>
          <w:rFonts w:hint="eastAsia" w:hAnsi="宋体"/>
          <w:bCs/>
          <w:sz w:val="24"/>
          <w:szCs w:val="24"/>
        </w:rPr>
        <w:t>）。</w:t>
      </w:r>
      <w:r>
        <w:rPr>
          <w:rFonts w:hAnsi="宋体"/>
          <w:bCs/>
          <w:sz w:val="24"/>
          <w:szCs w:val="24"/>
        </w:rPr>
        <w:t xml:space="preserve"> </w:t>
      </w:r>
    </w:p>
    <w:p>
      <w:pPr>
        <w:spacing w:line="480" w:lineRule="exact"/>
        <w:ind w:firstLine="480" w:firstLineChars="200"/>
        <w:rPr>
          <w:rFonts w:hAnsi="宋体"/>
          <w:bCs/>
          <w:sz w:val="24"/>
          <w:szCs w:val="24"/>
        </w:rPr>
      </w:pPr>
      <w:r>
        <w:rPr>
          <w:rFonts w:hint="eastAsia" w:hAnsi="宋体"/>
          <w:bCs/>
          <w:sz w:val="24"/>
          <w:szCs w:val="24"/>
        </w:rPr>
        <w:t>（</w:t>
      </w:r>
      <w:r>
        <w:rPr>
          <w:rFonts w:hAnsi="宋体"/>
          <w:bCs/>
          <w:sz w:val="24"/>
          <w:szCs w:val="24"/>
        </w:rPr>
        <w:t>4</w:t>
      </w:r>
      <w:r>
        <w:rPr>
          <w:rFonts w:hint="eastAsia" w:hAnsi="宋体"/>
          <w:bCs/>
          <w:sz w:val="24"/>
          <w:szCs w:val="24"/>
        </w:rPr>
        <w:t>）固体废物</w:t>
      </w:r>
      <w:r>
        <w:rPr>
          <w:rFonts w:hAnsi="宋体"/>
          <w:bCs/>
          <w:sz w:val="24"/>
          <w:szCs w:val="24"/>
        </w:rPr>
        <w:t xml:space="preserve"> </w:t>
      </w:r>
    </w:p>
    <w:p>
      <w:pPr>
        <w:spacing w:line="480" w:lineRule="exact"/>
        <w:ind w:firstLine="480" w:firstLineChars="200"/>
        <w:rPr>
          <w:rFonts w:hAnsi="宋体"/>
          <w:b/>
          <w:bCs/>
          <w:sz w:val="24"/>
          <w:szCs w:val="24"/>
        </w:rPr>
      </w:pPr>
      <w:r>
        <w:rPr>
          <w:rFonts w:hint="eastAsia"/>
          <w:bCs/>
          <w:sz w:val="24"/>
          <w:szCs w:val="24"/>
        </w:rPr>
        <w:t>本项目生产过程中产生的固体废物主要为鸡粪，饲料残渣，病死鸡尸体，废弃包装袋，疾病防疫、消毒产生的医疗废物、消毒废物，污水处理站污泥，</w:t>
      </w:r>
      <w:r>
        <w:rPr>
          <w:rFonts w:hint="eastAsia"/>
          <w:sz w:val="24"/>
          <w:szCs w:val="24"/>
        </w:rPr>
        <w:t>以及生活办公产生的</w:t>
      </w:r>
      <w:r>
        <w:rPr>
          <w:rFonts w:hint="eastAsia"/>
          <w:bCs/>
          <w:sz w:val="24"/>
          <w:szCs w:val="24"/>
        </w:rPr>
        <w:t>生活垃圾等</w:t>
      </w:r>
      <w:r>
        <w:rPr>
          <w:bCs/>
          <w:sz w:val="24"/>
          <w:szCs w:val="24"/>
        </w:rPr>
        <w:t>。</w:t>
      </w:r>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2</w:t>
      </w:r>
      <w:r>
        <w:rPr>
          <w:rFonts w:cs="Times New Roman"/>
          <w:b/>
        </w:rPr>
        <w:t>.</w:t>
      </w:r>
      <w:r>
        <w:rPr>
          <w:rFonts w:hint="eastAsia" w:cs="Times New Roman"/>
          <w:b/>
        </w:rPr>
        <w:t>3</w:t>
      </w:r>
      <w:r>
        <w:rPr>
          <w:rFonts w:hint="eastAsia" w:ascii="宋体" w:hAnsi="宋体" w:eastAsia="宋体" w:cs="Times New Roman"/>
          <w:b/>
        </w:rPr>
        <w:t>主要环保设施</w:t>
      </w:r>
    </w:p>
    <w:p>
      <w:pPr>
        <w:spacing w:line="480" w:lineRule="exact"/>
        <w:ind w:firstLine="480" w:firstLineChars="200"/>
        <w:rPr>
          <w:rFonts w:hAnsi="宋体"/>
          <w:bCs/>
          <w:sz w:val="24"/>
          <w:szCs w:val="24"/>
        </w:rPr>
      </w:pPr>
      <w:r>
        <w:rPr>
          <w:rFonts w:hint="eastAsia" w:hAnsi="宋体"/>
          <w:bCs/>
          <w:sz w:val="24"/>
          <w:szCs w:val="24"/>
        </w:rPr>
        <w:t>（1）废气</w:t>
      </w:r>
    </w:p>
    <w:p>
      <w:pPr>
        <w:spacing w:line="480" w:lineRule="exact"/>
        <w:ind w:firstLine="480" w:firstLineChars="200"/>
        <w:rPr>
          <w:rFonts w:hAnsi="宋体"/>
          <w:bCs/>
          <w:sz w:val="24"/>
          <w:szCs w:val="24"/>
        </w:rPr>
      </w:pPr>
      <w:r>
        <w:rPr>
          <w:rFonts w:hint="eastAsia" w:hAnsi="宋体"/>
          <w:bCs/>
          <w:sz w:val="24"/>
          <w:szCs w:val="24"/>
        </w:rPr>
        <w:t>①鸡舍恶臭</w:t>
      </w:r>
    </w:p>
    <w:p>
      <w:pPr>
        <w:spacing w:line="480" w:lineRule="exact"/>
        <w:ind w:firstLine="480" w:firstLineChars="200"/>
        <w:rPr>
          <w:rFonts w:hAnsi="宋体"/>
          <w:bCs/>
          <w:sz w:val="24"/>
          <w:szCs w:val="24"/>
        </w:rPr>
      </w:pPr>
      <w:r>
        <w:rPr>
          <w:rFonts w:hint="eastAsia" w:hAnsi="宋体"/>
          <w:bCs/>
          <w:sz w:val="24"/>
          <w:szCs w:val="24"/>
        </w:rPr>
        <w:t>鸡舍恶臭采用干清粪技术，及时清粪；加强鸡舍通风；定期喷洒除臭剂；合理调配饲料，饲料中添加</w:t>
      </w:r>
      <w:r>
        <w:rPr>
          <w:rFonts w:hAnsi="宋体"/>
          <w:bCs/>
          <w:sz w:val="24"/>
          <w:szCs w:val="24"/>
        </w:rPr>
        <w:t>EM</w:t>
      </w:r>
      <w:r>
        <w:rPr>
          <w:rFonts w:hint="eastAsia" w:hAnsi="宋体"/>
          <w:bCs/>
          <w:sz w:val="24"/>
          <w:szCs w:val="24"/>
        </w:rPr>
        <w:t>菌，同时加强场区内绿化管理。通过以上措施可有效降低恶臭污染的影响。</w:t>
      </w:r>
    </w:p>
    <w:p>
      <w:pPr>
        <w:spacing w:line="480" w:lineRule="exact"/>
        <w:ind w:firstLine="480" w:firstLineChars="200"/>
        <w:rPr>
          <w:rFonts w:hAnsi="宋体"/>
          <w:bCs/>
          <w:sz w:val="24"/>
          <w:szCs w:val="24"/>
        </w:rPr>
      </w:pPr>
      <w:r>
        <w:rPr>
          <w:rFonts w:hint="eastAsia" w:hAnsi="宋体"/>
          <w:bCs/>
          <w:sz w:val="24"/>
          <w:szCs w:val="24"/>
        </w:rPr>
        <w:t>②污水处理站恶臭</w:t>
      </w:r>
      <w:r>
        <w:rPr>
          <w:rFonts w:hAnsi="宋体"/>
          <w:bCs/>
          <w:sz w:val="24"/>
          <w:szCs w:val="24"/>
        </w:rPr>
        <w:t xml:space="preserve"> </w:t>
      </w:r>
    </w:p>
    <w:p>
      <w:pPr>
        <w:spacing w:line="480" w:lineRule="exact"/>
        <w:ind w:firstLine="480" w:firstLineChars="200"/>
        <w:rPr>
          <w:rFonts w:hAnsi="宋体"/>
          <w:bCs/>
          <w:sz w:val="24"/>
          <w:szCs w:val="24"/>
        </w:rPr>
      </w:pPr>
      <w:r>
        <w:rPr>
          <w:rFonts w:hint="eastAsia" w:hAnsi="宋体"/>
          <w:bCs/>
          <w:sz w:val="24"/>
          <w:szCs w:val="24"/>
        </w:rPr>
        <w:t>污水处理站采取地埋式污水处理站，各处理池加盖处理，站房内定期喷洒除臭剂，同时加强场区内绿化管理。通过以上措施可有效降低恶臭污染的影响。</w:t>
      </w:r>
    </w:p>
    <w:p>
      <w:pPr>
        <w:spacing w:line="480" w:lineRule="exact"/>
        <w:ind w:firstLine="480" w:firstLineChars="200"/>
        <w:rPr>
          <w:rFonts w:hAnsi="宋体"/>
          <w:bCs/>
          <w:sz w:val="24"/>
          <w:szCs w:val="24"/>
        </w:rPr>
      </w:pPr>
      <w:r>
        <w:rPr>
          <w:rFonts w:hint="eastAsia" w:hAnsi="宋体"/>
          <w:bCs/>
          <w:sz w:val="24"/>
          <w:szCs w:val="24"/>
        </w:rPr>
        <w:t>③临时储粪房恶臭</w:t>
      </w:r>
      <w:r>
        <w:rPr>
          <w:rFonts w:hAnsi="宋体"/>
          <w:bCs/>
          <w:sz w:val="24"/>
          <w:szCs w:val="24"/>
        </w:rPr>
        <w:t xml:space="preserve"> </w:t>
      </w:r>
    </w:p>
    <w:p>
      <w:pPr>
        <w:spacing w:line="480" w:lineRule="exact"/>
        <w:ind w:firstLine="480" w:firstLineChars="200"/>
        <w:rPr>
          <w:rFonts w:hAnsi="宋体"/>
          <w:bCs/>
          <w:sz w:val="24"/>
          <w:szCs w:val="24"/>
        </w:rPr>
      </w:pPr>
      <w:r>
        <w:rPr>
          <w:rFonts w:hint="eastAsia" w:hAnsi="宋体"/>
          <w:bCs/>
          <w:sz w:val="24"/>
          <w:szCs w:val="24"/>
        </w:rPr>
        <w:t>鸡粪日产日清，外运有机肥厂综合利用；临时储粪房用于暂时储存因天气等原因无法外运的鸡粪；储粪时喷洒除臭剂，同时加强场区内绿化管理。通过以上措施可有效降低恶臭污染的影响。</w:t>
      </w:r>
    </w:p>
    <w:p>
      <w:pPr>
        <w:spacing w:line="480" w:lineRule="exact"/>
        <w:ind w:firstLine="480" w:firstLineChars="200"/>
        <w:rPr>
          <w:rFonts w:hAnsi="宋体"/>
          <w:bCs/>
          <w:sz w:val="24"/>
          <w:szCs w:val="24"/>
        </w:rPr>
      </w:pPr>
      <w:r>
        <w:rPr>
          <w:rFonts w:hint="eastAsia" w:hAnsi="宋体"/>
          <w:bCs/>
          <w:sz w:val="24"/>
          <w:szCs w:val="24"/>
        </w:rPr>
        <w:t>通过以上废气处理措施，场界臭气浓度可满足《畜禽养殖业污染物排放标准》（</w:t>
      </w:r>
      <w:r>
        <w:rPr>
          <w:rFonts w:hAnsi="宋体"/>
          <w:bCs/>
          <w:sz w:val="24"/>
          <w:szCs w:val="24"/>
        </w:rPr>
        <w:t>GB18596-2001</w:t>
      </w:r>
      <w:r>
        <w:rPr>
          <w:rFonts w:hint="eastAsia" w:hAnsi="宋体"/>
          <w:bCs/>
          <w:sz w:val="24"/>
          <w:szCs w:val="24"/>
        </w:rPr>
        <w:t>）表</w:t>
      </w:r>
      <w:r>
        <w:rPr>
          <w:rFonts w:hAnsi="宋体"/>
          <w:bCs/>
          <w:sz w:val="24"/>
          <w:szCs w:val="24"/>
        </w:rPr>
        <w:t>7</w:t>
      </w:r>
      <w:r>
        <w:rPr>
          <w:rFonts w:hint="eastAsia" w:hAnsi="宋体"/>
          <w:bCs/>
          <w:sz w:val="24"/>
          <w:szCs w:val="24"/>
        </w:rPr>
        <w:t>要求，硫化氢、氨在场界浓度满足《恶臭污染物排放标准》（</w:t>
      </w:r>
      <w:r>
        <w:rPr>
          <w:rFonts w:hAnsi="宋体"/>
          <w:bCs/>
          <w:sz w:val="24"/>
          <w:szCs w:val="24"/>
        </w:rPr>
        <w:t>GB14554-93</w:t>
      </w:r>
      <w:r>
        <w:rPr>
          <w:rFonts w:hint="eastAsia" w:hAnsi="宋体"/>
          <w:bCs/>
          <w:sz w:val="24"/>
          <w:szCs w:val="24"/>
        </w:rPr>
        <w:t>）表</w:t>
      </w:r>
      <w:r>
        <w:rPr>
          <w:rFonts w:hAnsi="宋体"/>
          <w:bCs/>
          <w:sz w:val="24"/>
          <w:szCs w:val="24"/>
        </w:rPr>
        <w:t>1</w:t>
      </w:r>
      <w:r>
        <w:rPr>
          <w:rFonts w:hint="eastAsia" w:hAnsi="宋体"/>
          <w:bCs/>
          <w:sz w:val="24"/>
          <w:szCs w:val="24"/>
        </w:rPr>
        <w:t>中二级新改扩建标准。</w:t>
      </w:r>
    </w:p>
    <w:p>
      <w:pPr>
        <w:spacing w:line="480" w:lineRule="exact"/>
        <w:ind w:firstLine="480" w:firstLineChars="200"/>
        <w:rPr>
          <w:rFonts w:hAnsi="宋体"/>
          <w:bCs/>
          <w:sz w:val="24"/>
          <w:szCs w:val="24"/>
        </w:rPr>
      </w:pPr>
      <w:r>
        <w:rPr>
          <w:rFonts w:hint="eastAsia" w:hAnsi="宋体"/>
          <w:bCs/>
          <w:sz w:val="24"/>
          <w:szCs w:val="24"/>
        </w:rPr>
        <w:t>（</w:t>
      </w:r>
      <w:r>
        <w:rPr>
          <w:rFonts w:hAnsi="宋体"/>
          <w:bCs/>
          <w:sz w:val="24"/>
          <w:szCs w:val="24"/>
        </w:rPr>
        <w:t>2</w:t>
      </w:r>
      <w:r>
        <w:rPr>
          <w:rFonts w:hint="eastAsia" w:hAnsi="宋体"/>
          <w:bCs/>
          <w:sz w:val="24"/>
          <w:szCs w:val="24"/>
        </w:rPr>
        <w:t>）废水</w:t>
      </w:r>
      <w:r>
        <w:rPr>
          <w:rFonts w:hAnsi="宋体"/>
          <w:bCs/>
          <w:sz w:val="24"/>
          <w:szCs w:val="24"/>
        </w:rPr>
        <w:t xml:space="preserve"> </w:t>
      </w:r>
    </w:p>
    <w:p>
      <w:pPr>
        <w:spacing w:line="480" w:lineRule="exact"/>
        <w:ind w:firstLine="480" w:firstLineChars="200"/>
        <w:rPr>
          <w:bCs/>
          <w:kern w:val="0"/>
          <w:sz w:val="24"/>
        </w:rPr>
      </w:pPr>
      <w:r>
        <w:rPr>
          <w:rFonts w:hint="eastAsia"/>
          <w:sz w:val="24"/>
        </w:rPr>
        <w:t>本项目产生的</w:t>
      </w:r>
      <w:r>
        <w:rPr>
          <w:rFonts w:hint="eastAsia"/>
          <w:kern w:val="0"/>
          <w:sz w:val="24"/>
        </w:rPr>
        <w:t>鸡舍冲洗废水、职工生活污水、锅炉定排水和软水系统排水经污水收集池收集后由污水处理站处理达《农田灌溉水质标准》（GB5084-2005）中旱作标准后回用于农田灌溉；污水处理站采取</w:t>
      </w:r>
      <w:r>
        <w:rPr>
          <w:rFonts w:hint="eastAsia"/>
          <w:bCs/>
          <w:kern w:val="0"/>
          <w:sz w:val="24"/>
        </w:rPr>
        <w:t>地埋式污水处理设备，处理工艺为“生物接触氧化</w:t>
      </w:r>
      <w:r>
        <w:rPr>
          <w:bCs/>
          <w:kern w:val="0"/>
          <w:sz w:val="24"/>
        </w:rPr>
        <w:t>+</w:t>
      </w:r>
      <w:r>
        <w:rPr>
          <w:rFonts w:hint="eastAsia"/>
          <w:bCs/>
          <w:kern w:val="0"/>
          <w:sz w:val="24"/>
        </w:rPr>
        <w:t>沉淀</w:t>
      </w:r>
      <w:r>
        <w:rPr>
          <w:bCs/>
          <w:kern w:val="0"/>
          <w:sz w:val="24"/>
        </w:rPr>
        <w:t>+</w:t>
      </w:r>
      <w:r>
        <w:rPr>
          <w:rFonts w:hint="eastAsia"/>
          <w:bCs/>
          <w:kern w:val="0"/>
          <w:sz w:val="24"/>
        </w:rPr>
        <w:t>消毒”，消毒方式为紫外线消毒，处理能力为</w:t>
      </w:r>
      <w:r>
        <w:rPr>
          <w:bCs/>
          <w:kern w:val="0"/>
          <w:sz w:val="24"/>
        </w:rPr>
        <w:t>2m</w:t>
      </w:r>
      <w:r>
        <w:rPr>
          <w:bCs/>
          <w:kern w:val="0"/>
          <w:sz w:val="24"/>
          <w:vertAlign w:val="superscript"/>
        </w:rPr>
        <w:t>3</w:t>
      </w:r>
      <w:r>
        <w:rPr>
          <w:bCs/>
          <w:kern w:val="0"/>
          <w:sz w:val="24"/>
        </w:rPr>
        <w:t>/d</w:t>
      </w:r>
      <w:r>
        <w:rPr>
          <w:rFonts w:hint="eastAsia"/>
          <w:bCs/>
          <w:kern w:val="0"/>
          <w:sz w:val="24"/>
        </w:rPr>
        <w:t>，可以满足污水处理及回用要求。</w:t>
      </w:r>
    </w:p>
    <w:p>
      <w:pPr>
        <w:spacing w:line="480" w:lineRule="exact"/>
        <w:ind w:firstLine="480" w:firstLineChars="200"/>
        <w:rPr>
          <w:rFonts w:hAnsi="宋体"/>
          <w:bCs/>
          <w:sz w:val="24"/>
          <w:szCs w:val="24"/>
        </w:rPr>
      </w:pPr>
      <w:r>
        <w:rPr>
          <w:rFonts w:hint="eastAsia"/>
          <w:sz w:val="24"/>
        </w:rPr>
        <w:t>本项目采暖期废水产生量=27.54×3（鸡舍冲洗废水）+</w:t>
      </w:r>
      <w:r>
        <w:rPr>
          <w:sz w:val="24"/>
        </w:rPr>
        <w:t>54</w:t>
      </w:r>
      <w:r>
        <w:rPr>
          <w:rFonts w:hint="eastAsia"/>
          <w:sz w:val="24"/>
        </w:rPr>
        <w:t>（锅炉定排水）+</w:t>
      </w:r>
      <w:r>
        <w:rPr>
          <w:sz w:val="24"/>
        </w:rPr>
        <w:t>27</w:t>
      </w:r>
      <w:r>
        <w:rPr>
          <w:rFonts w:hint="eastAsia"/>
          <w:sz w:val="24"/>
        </w:rPr>
        <w:t>（软水制备系统）+</w:t>
      </w:r>
      <w:r>
        <w:rPr>
          <w:sz w:val="24"/>
        </w:rPr>
        <w:t>65.7</w:t>
      </w:r>
      <w:r>
        <w:rPr>
          <w:rFonts w:hint="eastAsia"/>
          <w:sz w:val="24"/>
        </w:rPr>
        <w:t>（生活废水）=</w:t>
      </w:r>
      <w:r>
        <w:rPr>
          <w:sz w:val="24"/>
        </w:rPr>
        <w:t>229.3</w:t>
      </w:r>
      <w:r>
        <w:rPr>
          <w:rFonts w:hint="eastAsia"/>
          <w:sz w:val="24"/>
        </w:rPr>
        <w:t>m</w:t>
      </w:r>
      <w:r>
        <w:rPr>
          <w:rFonts w:hint="eastAsia"/>
          <w:sz w:val="24"/>
          <w:vertAlign w:val="superscript"/>
        </w:rPr>
        <w:t>3</w:t>
      </w:r>
      <w:r>
        <w:rPr>
          <w:rFonts w:hint="eastAsia"/>
          <w:sz w:val="24"/>
        </w:rPr>
        <w:t>；采暖期产生的废水</w:t>
      </w:r>
      <w:r>
        <w:rPr>
          <w:rFonts w:hint="eastAsia"/>
          <w:kern w:val="0"/>
          <w:sz w:val="24"/>
        </w:rPr>
        <w:t>由污水处理站处理达《农田灌溉水质标准》（GB5084-2005）中旱作标准后储存于出水收集池（</w:t>
      </w:r>
      <w:r>
        <w:rPr>
          <w:kern w:val="0"/>
          <w:sz w:val="24"/>
        </w:rPr>
        <w:t>250</w:t>
      </w:r>
      <w:r>
        <w:rPr>
          <w:rFonts w:hint="eastAsia"/>
          <w:kern w:val="0"/>
          <w:sz w:val="24"/>
        </w:rPr>
        <w:t>m</w:t>
      </w:r>
      <w:r>
        <w:rPr>
          <w:rFonts w:hint="eastAsia"/>
          <w:kern w:val="0"/>
          <w:sz w:val="24"/>
          <w:vertAlign w:val="superscript"/>
        </w:rPr>
        <w:t>3</w:t>
      </w:r>
      <w:r>
        <w:rPr>
          <w:rFonts w:hint="eastAsia"/>
          <w:kern w:val="0"/>
          <w:sz w:val="24"/>
        </w:rPr>
        <w:t>），待非采暖期用于农田灌溉。</w:t>
      </w:r>
    </w:p>
    <w:p>
      <w:pPr>
        <w:spacing w:line="480" w:lineRule="exact"/>
        <w:ind w:firstLine="480" w:firstLineChars="200"/>
        <w:rPr>
          <w:rFonts w:hAnsi="宋体"/>
          <w:bCs/>
          <w:sz w:val="24"/>
          <w:szCs w:val="24"/>
        </w:rPr>
      </w:pPr>
      <w:r>
        <w:rPr>
          <w:rFonts w:hint="eastAsia" w:hAnsi="宋体"/>
          <w:bCs/>
          <w:sz w:val="24"/>
          <w:szCs w:val="24"/>
        </w:rPr>
        <w:t>（</w:t>
      </w:r>
      <w:r>
        <w:rPr>
          <w:rFonts w:hAnsi="宋体"/>
          <w:bCs/>
          <w:sz w:val="24"/>
          <w:szCs w:val="24"/>
        </w:rPr>
        <w:t>3</w:t>
      </w:r>
      <w:r>
        <w:rPr>
          <w:rFonts w:hint="eastAsia" w:hAnsi="宋体"/>
          <w:bCs/>
          <w:sz w:val="24"/>
          <w:szCs w:val="24"/>
        </w:rPr>
        <w:t>）地下水污染防治</w:t>
      </w:r>
      <w:r>
        <w:rPr>
          <w:rFonts w:hAnsi="宋体"/>
          <w:bCs/>
          <w:sz w:val="24"/>
          <w:szCs w:val="24"/>
        </w:rPr>
        <w:t xml:space="preserve"> </w:t>
      </w:r>
    </w:p>
    <w:p>
      <w:pPr>
        <w:spacing w:line="480" w:lineRule="exact"/>
        <w:ind w:firstLine="480" w:firstLineChars="200"/>
        <w:rPr>
          <w:rFonts w:hAnsi="宋体"/>
          <w:bCs/>
          <w:sz w:val="24"/>
          <w:szCs w:val="24"/>
        </w:rPr>
      </w:pPr>
      <w:r>
        <w:rPr>
          <w:rFonts w:hint="eastAsia" w:hAnsi="宋体"/>
          <w:bCs/>
          <w:sz w:val="24"/>
          <w:szCs w:val="24"/>
        </w:rPr>
        <w:t>①污水处理站、医疗废物暂存间、集水池、废水储池按重点防渗区采取防渗措施。</w:t>
      </w:r>
    </w:p>
    <w:p>
      <w:pPr>
        <w:spacing w:line="480" w:lineRule="exact"/>
        <w:ind w:firstLine="480" w:firstLineChars="200"/>
        <w:rPr>
          <w:rFonts w:hAnsi="宋体"/>
          <w:bCs/>
          <w:sz w:val="24"/>
          <w:szCs w:val="24"/>
        </w:rPr>
      </w:pPr>
      <w:r>
        <w:rPr>
          <w:rFonts w:hint="eastAsia" w:hAnsi="宋体"/>
          <w:bCs/>
          <w:sz w:val="24"/>
          <w:szCs w:val="24"/>
        </w:rPr>
        <w:t>②鸡舍、储粪房、安全填埋井按一般防渗区采取防渗措施。</w:t>
      </w:r>
      <w:r>
        <w:rPr>
          <w:rFonts w:hAnsi="宋体"/>
          <w:bCs/>
          <w:sz w:val="24"/>
          <w:szCs w:val="24"/>
        </w:rPr>
        <w:t xml:space="preserve"> </w:t>
      </w:r>
    </w:p>
    <w:p>
      <w:pPr>
        <w:spacing w:line="480" w:lineRule="exact"/>
        <w:ind w:firstLine="480" w:firstLineChars="200"/>
        <w:rPr>
          <w:rFonts w:hAnsi="宋体"/>
          <w:bCs/>
          <w:sz w:val="24"/>
          <w:szCs w:val="24"/>
        </w:rPr>
      </w:pPr>
      <w:r>
        <w:rPr>
          <w:rFonts w:hint="eastAsia" w:hAnsi="宋体"/>
          <w:bCs/>
          <w:sz w:val="24"/>
          <w:szCs w:val="24"/>
        </w:rPr>
        <w:t>③其他建筑物及道路采取简单防渗，对其地面采用混凝土进行一般地面硬化。</w:t>
      </w:r>
      <w:r>
        <w:rPr>
          <w:rFonts w:hAnsi="宋体"/>
          <w:bCs/>
          <w:sz w:val="24"/>
          <w:szCs w:val="24"/>
        </w:rPr>
        <w:t xml:space="preserve"> </w:t>
      </w:r>
    </w:p>
    <w:p>
      <w:pPr>
        <w:spacing w:line="480" w:lineRule="exact"/>
        <w:ind w:firstLine="480" w:firstLineChars="200"/>
        <w:rPr>
          <w:rFonts w:hAnsi="宋体"/>
          <w:bCs/>
          <w:sz w:val="24"/>
          <w:szCs w:val="24"/>
        </w:rPr>
      </w:pPr>
      <w:r>
        <w:rPr>
          <w:rFonts w:hint="eastAsia" w:hAnsi="宋体"/>
          <w:bCs/>
          <w:sz w:val="24"/>
          <w:szCs w:val="24"/>
        </w:rPr>
        <w:t>（</w:t>
      </w:r>
      <w:r>
        <w:rPr>
          <w:rFonts w:hAnsi="宋体"/>
          <w:bCs/>
          <w:sz w:val="24"/>
          <w:szCs w:val="24"/>
        </w:rPr>
        <w:t>4</w:t>
      </w:r>
      <w:r>
        <w:rPr>
          <w:rFonts w:hint="eastAsia" w:hAnsi="宋体"/>
          <w:bCs/>
          <w:sz w:val="24"/>
          <w:szCs w:val="24"/>
        </w:rPr>
        <w:t>）噪声防治措施</w:t>
      </w:r>
      <w:r>
        <w:rPr>
          <w:rFonts w:hAnsi="宋体"/>
          <w:bCs/>
          <w:sz w:val="24"/>
          <w:szCs w:val="24"/>
        </w:rPr>
        <w:t xml:space="preserve"> </w:t>
      </w:r>
    </w:p>
    <w:p>
      <w:pPr>
        <w:spacing w:line="480" w:lineRule="exact"/>
        <w:ind w:firstLine="480" w:firstLineChars="200"/>
        <w:rPr>
          <w:rFonts w:hAnsi="宋体"/>
          <w:bCs/>
          <w:sz w:val="24"/>
          <w:szCs w:val="24"/>
        </w:rPr>
      </w:pPr>
      <w:r>
        <w:rPr>
          <w:rFonts w:hint="eastAsia" w:hAnsi="宋体"/>
          <w:bCs/>
          <w:sz w:val="24"/>
          <w:szCs w:val="24"/>
        </w:rPr>
        <w:t>选用先进的低噪设备，生产车间应加装吸声材料，风机、水泵等发声设备应应设减振垫；加强设备的维护，着重场区绿化；综上所述，本项目采取上述防噪措施后，根据预测结果可知噪声对周围环境影响较小，场界达到《工业企业厂界环境噪声排放标准》（</w:t>
      </w:r>
      <w:r>
        <w:rPr>
          <w:rFonts w:hAnsi="宋体"/>
          <w:bCs/>
          <w:sz w:val="24"/>
          <w:szCs w:val="24"/>
        </w:rPr>
        <w:t>GB12348-2008</w:t>
      </w:r>
      <w:r>
        <w:rPr>
          <w:rFonts w:hint="eastAsia" w:hAnsi="宋体"/>
          <w:bCs/>
          <w:sz w:val="24"/>
          <w:szCs w:val="24"/>
        </w:rPr>
        <w:t>）表</w:t>
      </w:r>
      <w:r>
        <w:rPr>
          <w:rFonts w:hAnsi="宋体"/>
          <w:bCs/>
          <w:sz w:val="24"/>
          <w:szCs w:val="24"/>
        </w:rPr>
        <w:t>1</w:t>
      </w:r>
      <w:r>
        <w:rPr>
          <w:rFonts w:hint="eastAsia" w:hAnsi="宋体"/>
          <w:bCs/>
          <w:sz w:val="24"/>
          <w:szCs w:val="24"/>
        </w:rPr>
        <w:t>中的</w:t>
      </w:r>
      <w:r>
        <w:rPr>
          <w:rFonts w:hAnsi="宋体"/>
          <w:bCs/>
          <w:sz w:val="24"/>
          <w:szCs w:val="24"/>
        </w:rPr>
        <w:t>2</w:t>
      </w:r>
      <w:r>
        <w:rPr>
          <w:rFonts w:hint="eastAsia" w:hAnsi="宋体"/>
          <w:bCs/>
          <w:sz w:val="24"/>
          <w:szCs w:val="24"/>
        </w:rPr>
        <w:t>类声环境功能区标准限值。</w:t>
      </w:r>
    </w:p>
    <w:p>
      <w:pPr>
        <w:spacing w:line="480" w:lineRule="exact"/>
        <w:ind w:firstLine="480" w:firstLineChars="200"/>
        <w:rPr>
          <w:rFonts w:hAnsi="宋体"/>
          <w:bCs/>
          <w:sz w:val="24"/>
          <w:szCs w:val="24"/>
        </w:rPr>
      </w:pPr>
      <w:r>
        <w:rPr>
          <w:rFonts w:hint="eastAsia" w:hAnsi="宋体"/>
          <w:bCs/>
          <w:sz w:val="24"/>
          <w:szCs w:val="24"/>
        </w:rPr>
        <w:t>（</w:t>
      </w:r>
      <w:r>
        <w:rPr>
          <w:rFonts w:hAnsi="宋体"/>
          <w:bCs/>
          <w:sz w:val="24"/>
          <w:szCs w:val="24"/>
        </w:rPr>
        <w:t>5</w:t>
      </w:r>
      <w:r>
        <w:rPr>
          <w:rFonts w:hint="eastAsia" w:hAnsi="宋体"/>
          <w:bCs/>
          <w:sz w:val="24"/>
          <w:szCs w:val="24"/>
        </w:rPr>
        <w:t>）固体废物</w:t>
      </w:r>
    </w:p>
    <w:p>
      <w:pPr>
        <w:spacing w:line="480" w:lineRule="exact"/>
        <w:ind w:firstLine="480" w:firstLineChars="200"/>
        <w:rPr>
          <w:rFonts w:hAnsi="宋体"/>
          <w:bCs/>
          <w:sz w:val="24"/>
          <w:szCs w:val="24"/>
        </w:rPr>
      </w:pPr>
      <w:r>
        <w:rPr>
          <w:rFonts w:hint="eastAsia" w:hAnsi="宋体"/>
          <w:bCs/>
          <w:sz w:val="24"/>
          <w:szCs w:val="24"/>
        </w:rPr>
        <w:t>①鸡粪</w:t>
      </w:r>
    </w:p>
    <w:p>
      <w:pPr>
        <w:spacing w:line="480" w:lineRule="exact"/>
        <w:ind w:firstLine="480" w:firstLineChars="200"/>
        <w:rPr>
          <w:rFonts w:hAnsi="宋体"/>
          <w:bCs/>
          <w:sz w:val="24"/>
          <w:szCs w:val="24"/>
        </w:rPr>
      </w:pPr>
      <w:r>
        <w:rPr>
          <w:rFonts w:hint="eastAsia" w:hAnsi="宋体"/>
          <w:bCs/>
          <w:sz w:val="24"/>
          <w:szCs w:val="24"/>
        </w:rPr>
        <w:t>本项目粪便产生量为</w:t>
      </w:r>
      <w:r>
        <w:rPr>
          <w:rFonts w:hAnsi="宋体"/>
          <w:bCs/>
          <w:sz w:val="24"/>
          <w:szCs w:val="24"/>
        </w:rPr>
        <w:t>6930t/a</w:t>
      </w:r>
      <w:r>
        <w:rPr>
          <w:rFonts w:hint="eastAsia" w:hAnsi="宋体"/>
          <w:bCs/>
          <w:sz w:val="24"/>
          <w:szCs w:val="24"/>
        </w:rPr>
        <w:t>，饲养过程中采用干法清粪工艺，将鸡粪单独清出；本项目鸡粪日产日清，不在场区贮存，外运有机肥厂，用作有机肥料，综合利用。</w:t>
      </w:r>
    </w:p>
    <w:p>
      <w:pPr>
        <w:spacing w:line="480" w:lineRule="exact"/>
        <w:ind w:firstLine="480" w:firstLineChars="200"/>
        <w:rPr>
          <w:rFonts w:hAnsi="宋体"/>
          <w:bCs/>
          <w:sz w:val="24"/>
          <w:szCs w:val="24"/>
        </w:rPr>
      </w:pPr>
      <w:r>
        <w:rPr>
          <w:rFonts w:hint="eastAsia" w:hAnsi="宋体"/>
          <w:bCs/>
          <w:sz w:val="24"/>
          <w:szCs w:val="24"/>
        </w:rPr>
        <w:t>②饲料残渣</w:t>
      </w:r>
    </w:p>
    <w:p>
      <w:pPr>
        <w:spacing w:line="480" w:lineRule="exact"/>
        <w:ind w:firstLine="480" w:firstLineChars="200"/>
        <w:rPr>
          <w:rFonts w:hAnsi="宋体"/>
          <w:bCs/>
          <w:sz w:val="24"/>
          <w:szCs w:val="24"/>
        </w:rPr>
      </w:pPr>
      <w:r>
        <w:rPr>
          <w:rFonts w:hint="eastAsia" w:hAnsi="宋体"/>
          <w:bCs/>
          <w:sz w:val="24"/>
          <w:szCs w:val="24"/>
        </w:rPr>
        <w:t>饲料残渣量约为40t/a，饲料残渣与鸡粪同时外运有机肥厂，用作有机肥料，综合利用。</w:t>
      </w:r>
    </w:p>
    <w:p>
      <w:pPr>
        <w:spacing w:line="480" w:lineRule="exact"/>
        <w:ind w:firstLine="480" w:firstLineChars="200"/>
        <w:rPr>
          <w:rFonts w:hAnsi="宋体"/>
          <w:bCs/>
          <w:sz w:val="24"/>
          <w:szCs w:val="24"/>
        </w:rPr>
      </w:pPr>
      <w:r>
        <w:rPr>
          <w:rFonts w:hint="eastAsia" w:hAnsi="宋体"/>
          <w:bCs/>
          <w:sz w:val="24"/>
          <w:szCs w:val="24"/>
        </w:rPr>
        <w:t>③病死鸡尸体</w:t>
      </w:r>
    </w:p>
    <w:p>
      <w:pPr>
        <w:spacing w:line="480" w:lineRule="exact"/>
        <w:ind w:firstLine="480" w:firstLineChars="200"/>
        <w:rPr>
          <w:rFonts w:hAnsi="宋体"/>
          <w:bCs/>
          <w:sz w:val="24"/>
          <w:szCs w:val="24"/>
        </w:rPr>
      </w:pPr>
      <w:r>
        <w:rPr>
          <w:rFonts w:hint="eastAsia"/>
          <w:kern w:val="0"/>
          <w:sz w:val="24"/>
          <w:szCs w:val="24"/>
        </w:rPr>
        <w:t>病死鸡年产生量约为3.64</w:t>
      </w:r>
      <w:r>
        <w:rPr>
          <w:kern w:val="0"/>
          <w:sz w:val="24"/>
          <w:szCs w:val="24"/>
        </w:rPr>
        <w:t>t/a</w:t>
      </w:r>
      <w:r>
        <w:rPr>
          <w:rFonts w:hint="eastAsia"/>
          <w:kern w:val="0"/>
          <w:sz w:val="24"/>
          <w:szCs w:val="24"/>
        </w:rPr>
        <w:t>，本项目设置两个安全填埋井，填埋井为混凝土结构，深度大于</w:t>
      </w:r>
      <w:r>
        <w:rPr>
          <w:kern w:val="0"/>
          <w:sz w:val="24"/>
          <w:szCs w:val="24"/>
        </w:rPr>
        <w:t>6m</w:t>
      </w:r>
      <w:r>
        <w:rPr>
          <w:rFonts w:hint="eastAsia"/>
          <w:kern w:val="0"/>
          <w:sz w:val="24"/>
          <w:szCs w:val="24"/>
        </w:rPr>
        <w:t>，直径</w:t>
      </w:r>
      <w:r>
        <w:rPr>
          <w:kern w:val="0"/>
          <w:sz w:val="24"/>
          <w:szCs w:val="24"/>
        </w:rPr>
        <w:t>4m</w:t>
      </w:r>
      <w:r>
        <w:rPr>
          <w:rFonts w:hint="eastAsia"/>
          <w:kern w:val="0"/>
          <w:sz w:val="24"/>
          <w:szCs w:val="24"/>
        </w:rPr>
        <w:t>，井口加盖密封。进行填埋时，在每次投入畜禽尸体后，覆盖一层厚度大于</w:t>
      </w:r>
      <w:r>
        <w:rPr>
          <w:kern w:val="0"/>
          <w:sz w:val="24"/>
          <w:szCs w:val="24"/>
        </w:rPr>
        <w:t>10cm</w:t>
      </w:r>
      <w:r>
        <w:rPr>
          <w:rFonts w:hint="eastAsia"/>
          <w:kern w:val="0"/>
          <w:sz w:val="24"/>
          <w:szCs w:val="24"/>
        </w:rPr>
        <w:t>的熟石灰，井填满后，用粘土填埋压实并封口。</w:t>
      </w:r>
    </w:p>
    <w:p>
      <w:pPr>
        <w:spacing w:line="480" w:lineRule="exact"/>
        <w:ind w:firstLine="480" w:firstLineChars="200"/>
        <w:rPr>
          <w:rFonts w:hAnsi="宋体"/>
          <w:bCs/>
          <w:sz w:val="24"/>
          <w:szCs w:val="24"/>
        </w:rPr>
      </w:pPr>
      <w:r>
        <w:rPr>
          <w:rFonts w:hint="eastAsia" w:hAnsi="宋体"/>
          <w:bCs/>
          <w:sz w:val="24"/>
          <w:szCs w:val="24"/>
        </w:rPr>
        <w:t>④废弃包装袋</w:t>
      </w:r>
    </w:p>
    <w:p>
      <w:pPr>
        <w:spacing w:line="480" w:lineRule="exact"/>
        <w:ind w:firstLine="480" w:firstLineChars="200"/>
        <w:rPr>
          <w:rFonts w:hAnsi="宋体"/>
          <w:bCs/>
          <w:sz w:val="24"/>
          <w:szCs w:val="24"/>
        </w:rPr>
      </w:pPr>
      <w:r>
        <w:rPr>
          <w:rFonts w:hint="eastAsia"/>
          <w:kern w:val="0"/>
          <w:sz w:val="24"/>
          <w:szCs w:val="24"/>
        </w:rPr>
        <w:t>鸡舍使用的饲料为外购，废弃包装袋产生量约为2t/a；</w:t>
      </w:r>
      <w:r>
        <w:rPr>
          <w:rFonts w:hint="eastAsia" w:hAnsi="宋体"/>
          <w:bCs/>
          <w:sz w:val="24"/>
          <w:szCs w:val="24"/>
        </w:rPr>
        <w:t>废弃包装袋</w:t>
      </w:r>
      <w:r>
        <w:rPr>
          <w:rFonts w:hint="eastAsia"/>
          <w:kern w:val="0"/>
          <w:sz w:val="24"/>
          <w:szCs w:val="24"/>
        </w:rPr>
        <w:t>返回饲料厂家，回收利用。</w:t>
      </w:r>
    </w:p>
    <w:p>
      <w:pPr>
        <w:spacing w:line="480" w:lineRule="exact"/>
        <w:ind w:firstLine="480" w:firstLineChars="200"/>
        <w:rPr>
          <w:rFonts w:hAnsi="宋体"/>
          <w:bCs/>
          <w:sz w:val="24"/>
          <w:szCs w:val="24"/>
        </w:rPr>
      </w:pPr>
      <w:r>
        <w:rPr>
          <w:rFonts w:hint="eastAsia" w:hAnsi="宋体"/>
          <w:bCs/>
          <w:sz w:val="24"/>
          <w:szCs w:val="24"/>
        </w:rPr>
        <w:t>⑤疾病防疫产生的医疗废物、消毒废物</w:t>
      </w:r>
    </w:p>
    <w:p>
      <w:pPr>
        <w:spacing w:line="480" w:lineRule="exact"/>
        <w:ind w:firstLine="480" w:firstLineChars="200"/>
        <w:rPr>
          <w:rFonts w:hAnsi="宋体"/>
          <w:bCs/>
          <w:sz w:val="24"/>
          <w:szCs w:val="24"/>
        </w:rPr>
      </w:pPr>
      <w:r>
        <w:rPr>
          <w:rFonts w:hint="eastAsia"/>
          <w:kern w:val="0"/>
          <w:sz w:val="24"/>
          <w:szCs w:val="24"/>
        </w:rPr>
        <w:t>医疗废物总产生量约为</w:t>
      </w:r>
      <w:r>
        <w:rPr>
          <w:kern w:val="0"/>
          <w:sz w:val="24"/>
          <w:szCs w:val="24"/>
        </w:rPr>
        <w:t>0.14t/a</w:t>
      </w:r>
      <w:r>
        <w:rPr>
          <w:rFonts w:hint="eastAsia"/>
          <w:kern w:val="0"/>
          <w:sz w:val="24"/>
          <w:szCs w:val="24"/>
        </w:rPr>
        <w:t>，</w:t>
      </w:r>
      <w:r>
        <w:rPr>
          <w:rFonts w:hint="eastAsia"/>
          <w:bCs/>
          <w:kern w:val="0"/>
          <w:sz w:val="24"/>
          <w:szCs w:val="24"/>
        </w:rPr>
        <w:t>消毒废物产生量为</w:t>
      </w:r>
      <w:r>
        <w:rPr>
          <w:bCs/>
          <w:kern w:val="0"/>
          <w:sz w:val="24"/>
          <w:szCs w:val="24"/>
        </w:rPr>
        <w:t>0.02t/a</w:t>
      </w:r>
      <w:r>
        <w:rPr>
          <w:rFonts w:hint="eastAsia"/>
          <w:kern w:val="0"/>
          <w:sz w:val="24"/>
          <w:szCs w:val="24"/>
        </w:rPr>
        <w:t>。企业拟在检疫室内建危废暂存间，为单独隔间，地面防渗处理，同时制定危险废物管理制度，医疗废物交由有资质单位处置。</w:t>
      </w:r>
    </w:p>
    <w:p>
      <w:pPr>
        <w:spacing w:line="480" w:lineRule="exact"/>
        <w:ind w:firstLine="480" w:firstLineChars="200"/>
        <w:rPr>
          <w:rFonts w:hAnsi="宋体"/>
          <w:bCs/>
          <w:sz w:val="24"/>
          <w:szCs w:val="24"/>
        </w:rPr>
      </w:pPr>
      <w:r>
        <w:rPr>
          <w:rFonts w:hint="eastAsia" w:hAnsi="宋体"/>
          <w:bCs/>
          <w:sz w:val="24"/>
          <w:szCs w:val="24"/>
        </w:rPr>
        <w:t>⑥污泥</w:t>
      </w:r>
    </w:p>
    <w:p>
      <w:pPr>
        <w:spacing w:line="480" w:lineRule="exact"/>
        <w:ind w:firstLine="480" w:firstLineChars="200"/>
        <w:rPr>
          <w:rFonts w:hAnsi="宋体"/>
          <w:bCs/>
          <w:sz w:val="24"/>
          <w:szCs w:val="24"/>
        </w:rPr>
      </w:pPr>
      <w:r>
        <w:rPr>
          <w:rFonts w:hint="eastAsia" w:hAnsi="宋体"/>
          <w:bCs/>
          <w:kern w:val="0"/>
          <w:sz w:val="24"/>
          <w:szCs w:val="24"/>
        </w:rPr>
        <w:t>项目运行后污泥产生量约为</w:t>
      </w:r>
      <w:r>
        <w:rPr>
          <w:rFonts w:hAnsi="宋体"/>
          <w:bCs/>
          <w:kern w:val="0"/>
          <w:sz w:val="24"/>
          <w:szCs w:val="24"/>
        </w:rPr>
        <w:t>2.3t/a</w:t>
      </w:r>
      <w:r>
        <w:rPr>
          <w:rFonts w:hint="eastAsia" w:hAnsi="宋体"/>
          <w:bCs/>
          <w:kern w:val="0"/>
          <w:sz w:val="24"/>
          <w:szCs w:val="24"/>
        </w:rPr>
        <w:t>，污泥与鸡粪一同拉运，用作有机肥处理。</w:t>
      </w:r>
    </w:p>
    <w:p>
      <w:pPr>
        <w:spacing w:line="480" w:lineRule="exact"/>
        <w:ind w:firstLine="480" w:firstLineChars="200"/>
        <w:rPr>
          <w:rFonts w:hAnsi="宋体"/>
          <w:bCs/>
          <w:sz w:val="24"/>
          <w:szCs w:val="24"/>
        </w:rPr>
      </w:pPr>
      <w:r>
        <w:rPr>
          <w:rFonts w:hint="eastAsia" w:hAnsi="宋体"/>
          <w:bCs/>
          <w:sz w:val="24"/>
          <w:szCs w:val="24"/>
        </w:rPr>
        <w:t>⑦生活垃圾</w:t>
      </w:r>
    </w:p>
    <w:p>
      <w:pPr>
        <w:spacing w:line="480" w:lineRule="exact"/>
        <w:ind w:firstLine="480" w:firstLineChars="200"/>
        <w:rPr>
          <w:rFonts w:hAnsi="宋体"/>
          <w:bCs/>
          <w:sz w:val="24"/>
          <w:szCs w:val="24"/>
        </w:rPr>
      </w:pPr>
      <w:r>
        <w:rPr>
          <w:rFonts w:hint="eastAsia" w:hAnsi="宋体"/>
          <w:bCs/>
          <w:sz w:val="24"/>
          <w:szCs w:val="24"/>
        </w:rPr>
        <w:t>项目生活垃圾</w:t>
      </w:r>
      <w:r>
        <w:rPr>
          <w:bCs/>
          <w:sz w:val="24"/>
        </w:rPr>
        <w:t>产生量为</w:t>
      </w:r>
      <w:r>
        <w:rPr>
          <w:rFonts w:hint="eastAsia"/>
          <w:bCs/>
          <w:sz w:val="24"/>
        </w:rPr>
        <w:t>2.7</w:t>
      </w:r>
      <w:r>
        <w:rPr>
          <w:bCs/>
          <w:sz w:val="24"/>
        </w:rPr>
        <w:t>t/a</w:t>
      </w:r>
      <w:r>
        <w:rPr>
          <w:rFonts w:hint="eastAsia"/>
          <w:bCs/>
          <w:sz w:val="24"/>
        </w:rPr>
        <w:t>，</w:t>
      </w:r>
      <w:r>
        <w:rPr>
          <w:bCs/>
          <w:sz w:val="24"/>
        </w:rPr>
        <w:t>本项目在</w:t>
      </w:r>
      <w:r>
        <w:rPr>
          <w:rFonts w:hint="eastAsia"/>
          <w:bCs/>
          <w:sz w:val="24"/>
        </w:rPr>
        <w:t>车间内、办公</w:t>
      </w:r>
      <w:r>
        <w:rPr>
          <w:bCs/>
          <w:sz w:val="24"/>
        </w:rPr>
        <w:t>区均设置垃圾筒，垃圾</w:t>
      </w:r>
      <w:r>
        <w:rPr>
          <w:rFonts w:hint="eastAsia"/>
          <w:bCs/>
          <w:sz w:val="24"/>
        </w:rPr>
        <w:t>经收集后运至市政部门指定的地点统一处理。</w:t>
      </w:r>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2</w:t>
      </w:r>
      <w:r>
        <w:rPr>
          <w:rFonts w:cs="Times New Roman"/>
          <w:b/>
        </w:rPr>
        <w:t>.</w:t>
      </w:r>
      <w:r>
        <w:rPr>
          <w:rFonts w:hint="eastAsia" w:cs="Times New Roman"/>
          <w:b/>
        </w:rPr>
        <w:t>4</w:t>
      </w:r>
      <w:r>
        <w:rPr>
          <w:rFonts w:hint="eastAsia" w:ascii="宋体" w:hAnsi="宋体" w:eastAsia="宋体" w:cs="Times New Roman"/>
          <w:b/>
        </w:rPr>
        <w:t>主要结论</w:t>
      </w:r>
    </w:p>
    <w:p>
      <w:pPr>
        <w:spacing w:line="480" w:lineRule="exact"/>
        <w:ind w:firstLine="480" w:firstLineChars="200"/>
        <w:rPr>
          <w:rFonts w:hAnsi="宋体"/>
          <w:bCs/>
          <w:sz w:val="24"/>
          <w:szCs w:val="24"/>
        </w:rPr>
      </w:pPr>
      <w:r>
        <w:rPr>
          <w:rFonts w:hint="eastAsia" w:hAnsi="宋体"/>
          <w:bCs/>
          <w:sz w:val="24"/>
          <w:szCs w:val="24"/>
        </w:rPr>
        <w:t>本项目符合国家产业政策要求，项目采取了源头污染控制的工程措施切实可行，可实现污水零排放、粪污得到资源化综合利用的环境保护技术要求，在认真落实报告书所述各项污染防治措施后，可实现污染物稳定达标排放，通过加强环境管理和环境监测，杜绝风险事故发生，本项目建设可被周围环境所接受。</w:t>
      </w:r>
    </w:p>
    <w:p>
      <w:pPr>
        <w:spacing w:line="480" w:lineRule="exact"/>
        <w:ind w:firstLine="480" w:firstLineChars="200"/>
        <w:rPr>
          <w:rFonts w:hAnsi="宋体"/>
          <w:bCs/>
          <w:sz w:val="24"/>
          <w:szCs w:val="24"/>
        </w:rPr>
      </w:pPr>
      <w:r>
        <w:rPr>
          <w:rFonts w:hint="eastAsia" w:hAnsi="宋体"/>
          <w:bCs/>
          <w:sz w:val="24"/>
          <w:szCs w:val="24"/>
        </w:rPr>
        <w:t>因此，从环境保护角度分析，本项目具有可行性。</w:t>
      </w:r>
    </w:p>
    <w:p>
      <w:pPr>
        <w:pStyle w:val="42"/>
        <w:spacing w:before="156" w:beforeLines="50" w:after="0" w:line="480" w:lineRule="exact"/>
        <w:rPr>
          <w:rFonts w:eastAsia="宋体"/>
          <w:b/>
          <w:sz w:val="28"/>
          <w:szCs w:val="28"/>
        </w:rPr>
      </w:pPr>
      <w:bookmarkStart w:id="5" w:name="_Toc249436796"/>
      <w:bookmarkStart w:id="6" w:name="_Toc165112047"/>
      <w:bookmarkStart w:id="7" w:name="_Toc249436676"/>
      <w:bookmarkStart w:id="8" w:name="_Toc19105443"/>
      <w:r>
        <w:rPr>
          <w:rFonts w:eastAsia="宋体"/>
          <w:b/>
          <w:sz w:val="28"/>
          <w:szCs w:val="28"/>
        </w:rPr>
        <w:t>1.</w:t>
      </w:r>
      <w:bookmarkEnd w:id="5"/>
      <w:bookmarkEnd w:id="6"/>
      <w:bookmarkEnd w:id="7"/>
      <w:r>
        <w:rPr>
          <w:rFonts w:hint="eastAsia" w:eastAsia="宋体"/>
          <w:b/>
          <w:sz w:val="28"/>
          <w:szCs w:val="28"/>
        </w:rPr>
        <w:t>3</w:t>
      </w:r>
      <w:r>
        <w:rPr>
          <w:rFonts w:hint="eastAsia" w:hAnsi="宋体" w:eastAsia="宋体"/>
          <w:b/>
          <w:sz w:val="28"/>
          <w:szCs w:val="28"/>
        </w:rPr>
        <w:t>环境影响评价工作过程</w:t>
      </w:r>
      <w:bookmarkEnd w:id="8"/>
    </w:p>
    <w:p>
      <w:pPr>
        <w:spacing w:line="480" w:lineRule="exact"/>
        <w:ind w:firstLine="480" w:firstLineChars="200"/>
        <w:rPr>
          <w:bCs/>
          <w:sz w:val="24"/>
        </w:rPr>
      </w:pPr>
      <w:r>
        <w:rPr>
          <w:rFonts w:hint="eastAsia"/>
          <w:bCs/>
          <w:sz w:val="24"/>
        </w:rPr>
        <w:t>依据《建设项目环境影响评价技术导则</w:t>
      </w:r>
      <w:r>
        <w:rPr>
          <w:bCs/>
          <w:sz w:val="24"/>
        </w:rPr>
        <w:t xml:space="preserve"> </w:t>
      </w:r>
      <w:r>
        <w:rPr>
          <w:rFonts w:hint="eastAsia"/>
          <w:bCs/>
          <w:sz w:val="24"/>
        </w:rPr>
        <w:t>总纲》（</w:t>
      </w:r>
      <w:r>
        <w:rPr>
          <w:bCs/>
          <w:sz w:val="24"/>
        </w:rPr>
        <w:t>HJ2.1-2016</w:t>
      </w:r>
      <w:r>
        <w:rPr>
          <w:rFonts w:hint="eastAsia"/>
          <w:bCs/>
          <w:sz w:val="24"/>
        </w:rPr>
        <w:t>）要求，本次环评工作分为三个阶段进行。</w:t>
      </w:r>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3.1</w:t>
      </w:r>
      <w:r>
        <w:rPr>
          <w:rFonts w:hint="eastAsia" w:ascii="宋体" w:hAnsi="宋体" w:eastAsia="宋体" w:cs="Times New Roman"/>
          <w:b/>
        </w:rPr>
        <w:t>调查分析和工作方案制定阶段</w:t>
      </w:r>
    </w:p>
    <w:p>
      <w:pPr>
        <w:spacing w:line="480" w:lineRule="exact"/>
        <w:ind w:firstLine="480" w:firstLineChars="200"/>
        <w:rPr>
          <w:bCs/>
          <w:sz w:val="24"/>
        </w:rPr>
      </w:pPr>
      <w:r>
        <w:rPr>
          <w:bCs/>
          <w:sz w:val="24"/>
        </w:rPr>
        <w:t>依据《建设项目环境影响评价分类管理名录》（</w:t>
      </w:r>
      <w:r>
        <w:rPr>
          <w:rFonts w:hint="eastAsia"/>
          <w:bCs/>
          <w:sz w:val="24"/>
        </w:rPr>
        <w:t>环境保护部令第4</w:t>
      </w:r>
      <w:r>
        <w:rPr>
          <w:bCs/>
          <w:sz w:val="24"/>
        </w:rPr>
        <w:t>4</w:t>
      </w:r>
      <w:r>
        <w:rPr>
          <w:rFonts w:hint="eastAsia"/>
          <w:bCs/>
          <w:sz w:val="24"/>
        </w:rPr>
        <w:t>号）“一、畜牧业，1畜禽养殖场、养殖小区，年出栏生猪</w:t>
      </w:r>
      <w:r>
        <w:rPr>
          <w:bCs/>
          <w:sz w:val="24"/>
        </w:rPr>
        <w:t>5000</w:t>
      </w:r>
      <w:r>
        <w:rPr>
          <w:rFonts w:hint="eastAsia"/>
          <w:bCs/>
          <w:sz w:val="24"/>
        </w:rPr>
        <w:t>头（其他畜禽种类折合猪的养殖规模）”，应编制报告书。根据《畜禽养殖业污染物排放标准》（</w:t>
      </w:r>
      <w:r>
        <w:rPr>
          <w:bCs/>
          <w:sz w:val="24"/>
        </w:rPr>
        <w:t>GB18596-2001</w:t>
      </w:r>
      <w:r>
        <w:rPr>
          <w:rFonts w:hint="eastAsia"/>
          <w:bCs/>
          <w:sz w:val="24"/>
        </w:rPr>
        <w:t>），</w:t>
      </w:r>
      <w:r>
        <w:rPr>
          <w:bCs/>
          <w:sz w:val="24"/>
        </w:rPr>
        <w:t>60</w:t>
      </w:r>
      <w:r>
        <w:rPr>
          <w:rFonts w:hint="eastAsia"/>
          <w:bCs/>
          <w:sz w:val="24"/>
        </w:rPr>
        <w:t>只肉鸡折算成</w:t>
      </w:r>
      <w:r>
        <w:rPr>
          <w:bCs/>
          <w:sz w:val="24"/>
        </w:rPr>
        <w:t>1</w:t>
      </w:r>
      <w:r>
        <w:rPr>
          <w:rFonts w:hint="eastAsia"/>
          <w:bCs/>
          <w:sz w:val="24"/>
        </w:rPr>
        <w:t>头猪。本项目年出栏肉鸡140万只，折算猪约为</w:t>
      </w:r>
      <w:r>
        <w:rPr>
          <w:bCs/>
          <w:sz w:val="24"/>
        </w:rPr>
        <w:t>2</w:t>
      </w:r>
      <w:r>
        <w:rPr>
          <w:rFonts w:hint="eastAsia"/>
          <w:bCs/>
          <w:sz w:val="24"/>
        </w:rPr>
        <w:t>3333头，所以应编制环境影响报告书。</w:t>
      </w:r>
    </w:p>
    <w:p>
      <w:pPr>
        <w:spacing w:line="480" w:lineRule="exact"/>
        <w:ind w:firstLine="480" w:firstLineChars="200"/>
        <w:rPr>
          <w:bCs/>
          <w:sz w:val="24"/>
        </w:rPr>
      </w:pPr>
      <w:r>
        <w:rPr>
          <w:rFonts w:hint="eastAsia"/>
          <w:bCs/>
          <w:sz w:val="24"/>
        </w:rPr>
        <w:t>在研究相关技术及其他有关文件基础上进行初步工程分析，开展了初步环境现状调查，进行了环境影响识别和评价因子筛选。明确了评价重点为水环境影响、固体废物及大气环境影响，确定了保护目标，进一步确定评价工作等级、范围及评价标准，制定出相应工作方案。</w:t>
      </w:r>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3.2</w:t>
      </w:r>
      <w:r>
        <w:rPr>
          <w:rFonts w:hint="eastAsia" w:ascii="宋体" w:hAnsi="宋体" w:eastAsia="宋体" w:cs="Times New Roman"/>
          <w:b/>
        </w:rPr>
        <w:t>分析论证和预测评价阶段</w:t>
      </w:r>
    </w:p>
    <w:p>
      <w:pPr>
        <w:spacing w:line="480" w:lineRule="exact"/>
        <w:ind w:firstLine="480" w:firstLineChars="200"/>
        <w:rPr>
          <w:bCs/>
          <w:sz w:val="24"/>
        </w:rPr>
      </w:pPr>
      <w:r>
        <w:rPr>
          <w:rFonts w:hint="eastAsia"/>
          <w:bCs/>
          <w:sz w:val="24"/>
        </w:rPr>
        <w:t>根据第一阶段工作成果，对环境现状的大气环境、地下水环境、声环境等进行了调查、监测与评价，详细进行工程分析，确定了主要环境影响因素为养殖废水和生活污水对地表水和地下水的影响，鸡舍和污水处理站的恶臭对大气环境的影响，鸡舍设备噪声对周边声环境的影响，鸡粪、污泥、工作人员生活垃圾、病死鸡尸体和医疗废物等对周边环境的影响，并采取相应的模式对各环境要素影响进行了预测与分析。</w:t>
      </w:r>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3.3</w:t>
      </w:r>
      <w:r>
        <w:rPr>
          <w:rFonts w:hint="eastAsia" w:ascii="宋体" w:hAnsi="宋体" w:eastAsia="宋体" w:cs="Times New Roman"/>
          <w:b/>
        </w:rPr>
        <w:t>环境影响报告书（表）编制阶段</w:t>
      </w:r>
    </w:p>
    <w:p>
      <w:pPr>
        <w:spacing w:line="480" w:lineRule="exact"/>
        <w:ind w:firstLine="480" w:firstLineChars="200"/>
        <w:rPr>
          <w:bCs/>
          <w:sz w:val="24"/>
        </w:rPr>
      </w:pPr>
      <w:r>
        <w:rPr>
          <w:rFonts w:hint="eastAsia"/>
          <w:bCs/>
          <w:sz w:val="24"/>
        </w:rPr>
        <w:t>对鸡舍、污水处理站的恶臭提出了大气环境保护措施，鸡舍冲洗废水和生活污水提出了处理地表水措施和地下水防治措施，对噪声采取了隔声减振等措施，对产生的固废采取了相应措施，并进行经济技术可行性论证，给出污染物排放清单并给出评价结论。</w:t>
      </w:r>
    </w:p>
    <w:p>
      <w:pPr>
        <w:spacing w:line="480" w:lineRule="exact"/>
        <w:ind w:firstLine="480" w:firstLineChars="200"/>
        <w:rPr>
          <w:bCs/>
          <w:sz w:val="24"/>
        </w:rPr>
      </w:pPr>
      <w:r>
        <w:rPr>
          <w:rFonts w:hint="eastAsia"/>
          <w:bCs/>
          <w:sz w:val="24"/>
        </w:rPr>
        <w:t>在以上基础上，最终</w:t>
      </w:r>
      <w:r>
        <w:rPr>
          <w:bCs/>
          <w:sz w:val="24"/>
        </w:rPr>
        <w:t>编制完成了</w:t>
      </w:r>
      <w:r>
        <w:rPr>
          <w:rFonts w:hAnsi="宋体"/>
          <w:bCs/>
          <w:sz w:val="24"/>
          <w:szCs w:val="24"/>
        </w:rPr>
        <w:t>《</w:t>
      </w:r>
      <w:r>
        <w:rPr>
          <w:rFonts w:hint="eastAsia" w:hAnsi="宋体"/>
          <w:bCs/>
          <w:kern w:val="0"/>
          <w:sz w:val="24"/>
          <w:szCs w:val="24"/>
        </w:rPr>
        <w:t>汾阳市褚凤养殖场汾阳市褚凤肉鸡养殖项目</w:t>
      </w:r>
      <w:r>
        <w:rPr>
          <w:rFonts w:hAnsi="宋体"/>
          <w:bCs/>
          <w:sz w:val="24"/>
          <w:szCs w:val="24"/>
        </w:rPr>
        <w:t>环境影响报告</w:t>
      </w:r>
      <w:r>
        <w:rPr>
          <w:rFonts w:hint="eastAsia" w:hAnsi="宋体"/>
          <w:bCs/>
          <w:sz w:val="24"/>
          <w:szCs w:val="24"/>
        </w:rPr>
        <w:t>书</w:t>
      </w:r>
      <w:r>
        <w:rPr>
          <w:rFonts w:hAnsi="宋体"/>
          <w:bCs/>
          <w:sz w:val="24"/>
          <w:szCs w:val="24"/>
        </w:rPr>
        <w:t>》（送审本）</w:t>
      </w:r>
      <w:r>
        <w:rPr>
          <w:rFonts w:hint="eastAsia"/>
          <w:bCs/>
          <w:sz w:val="24"/>
        </w:rPr>
        <w:t>。</w:t>
      </w:r>
      <w:bookmarkStart w:id="9" w:name="_Hlk19178102"/>
      <w:r>
        <w:rPr>
          <w:rFonts w:hint="eastAsia"/>
          <w:bCs/>
          <w:sz w:val="24"/>
        </w:rPr>
        <w:t>2</w:t>
      </w:r>
      <w:r>
        <w:rPr>
          <w:bCs/>
          <w:sz w:val="24"/>
        </w:rPr>
        <w:t>019</w:t>
      </w:r>
      <w:r>
        <w:rPr>
          <w:rFonts w:hint="eastAsia"/>
          <w:bCs/>
          <w:sz w:val="24"/>
        </w:rPr>
        <w:t>年8月1</w:t>
      </w:r>
      <w:r>
        <w:rPr>
          <w:bCs/>
          <w:sz w:val="24"/>
        </w:rPr>
        <w:t>4</w:t>
      </w:r>
      <w:r>
        <w:rPr>
          <w:rFonts w:hint="eastAsia"/>
          <w:bCs/>
          <w:sz w:val="24"/>
        </w:rPr>
        <w:t>日，</w:t>
      </w:r>
      <w:bookmarkEnd w:id="9"/>
      <w:r>
        <w:rPr>
          <w:rFonts w:hint="eastAsia"/>
          <w:bCs/>
          <w:sz w:val="24"/>
        </w:rPr>
        <w:t>吕梁市生态环境局汾阳分局在汾阳市主持召开了本项目环境影响报告书的技术审查会议，并经专家会议审查通过，山西山大科技发展有限公司根据技术审查意见将本项目环境影响报告书修改完善，编制完成了</w:t>
      </w:r>
      <w:r>
        <w:rPr>
          <w:rFonts w:hAnsi="宋体"/>
          <w:bCs/>
          <w:sz w:val="24"/>
          <w:szCs w:val="24"/>
        </w:rPr>
        <w:t>《</w:t>
      </w:r>
      <w:r>
        <w:rPr>
          <w:rFonts w:hint="eastAsia" w:hAnsi="宋体"/>
          <w:bCs/>
          <w:kern w:val="0"/>
          <w:sz w:val="24"/>
          <w:szCs w:val="24"/>
        </w:rPr>
        <w:t>汾阳市褚凤养殖场汾阳市褚凤肉鸡养殖项目</w:t>
      </w:r>
      <w:r>
        <w:rPr>
          <w:rFonts w:hAnsi="宋体"/>
          <w:bCs/>
          <w:sz w:val="24"/>
          <w:szCs w:val="24"/>
        </w:rPr>
        <w:t>环境影响报告</w:t>
      </w:r>
      <w:r>
        <w:rPr>
          <w:rFonts w:hint="eastAsia" w:hAnsi="宋体"/>
          <w:bCs/>
          <w:sz w:val="24"/>
          <w:szCs w:val="24"/>
        </w:rPr>
        <w:t>书</w:t>
      </w:r>
      <w:r>
        <w:rPr>
          <w:rFonts w:hAnsi="宋体"/>
          <w:bCs/>
          <w:sz w:val="24"/>
          <w:szCs w:val="24"/>
        </w:rPr>
        <w:t>》（</w:t>
      </w:r>
      <w:r>
        <w:rPr>
          <w:rFonts w:hint="eastAsia" w:hAnsi="宋体"/>
          <w:bCs/>
          <w:sz w:val="24"/>
          <w:szCs w:val="24"/>
        </w:rPr>
        <w:t>报批</w:t>
      </w:r>
      <w:r>
        <w:rPr>
          <w:rFonts w:hAnsi="宋体"/>
          <w:bCs/>
          <w:sz w:val="24"/>
          <w:szCs w:val="24"/>
        </w:rPr>
        <w:t>本）</w:t>
      </w:r>
      <w:r>
        <w:rPr>
          <w:rFonts w:hint="eastAsia"/>
          <w:bCs/>
          <w:sz w:val="24"/>
        </w:rPr>
        <w:t>。现提交建设单位，</w:t>
      </w:r>
      <w:r>
        <w:rPr>
          <w:rFonts w:hint="eastAsia"/>
          <w:sz w:val="24"/>
        </w:rPr>
        <w:t>报请环保主管部门审批。</w:t>
      </w:r>
    </w:p>
    <w:p>
      <w:pPr>
        <w:spacing w:line="480" w:lineRule="exact"/>
        <w:ind w:firstLine="480" w:firstLineChars="200"/>
        <w:rPr>
          <w:bCs/>
          <w:sz w:val="24"/>
        </w:rPr>
      </w:pPr>
      <w:r>
        <w:rPr>
          <w:rFonts w:hint="eastAsia"/>
          <w:bCs/>
          <w:sz w:val="24"/>
        </w:rPr>
        <w:t>本项目环境影响评价具体流程见图1.3-1。</w:t>
      </w:r>
    </w:p>
    <w:p>
      <w:pPr>
        <w:jc w:val="center"/>
        <w:rPr>
          <w:bCs/>
          <w:sz w:val="24"/>
        </w:rPr>
      </w:pPr>
      <w:r>
        <w:rPr>
          <w:rFonts w:hint="eastAsia"/>
        </w:rPr>
        <w:drawing>
          <wp:inline distT="0" distB="0" distL="0" distR="0">
            <wp:extent cx="5133975" cy="6724650"/>
            <wp:effectExtent l="19050" t="0" r="9525" b="0"/>
            <wp:docPr id="8" name="图片 49" descr="页面提取自－ 建设项目环境影响评价技术导则 总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9" descr="页面提取自－ 建设项目环境影响评价技术导则 总纲"/>
                    <pic:cNvPicPr>
                      <a:picLocks noChangeAspect="1" noChangeArrowheads="1"/>
                    </pic:cNvPicPr>
                  </pic:nvPicPr>
                  <pic:blipFill>
                    <a:blip r:embed="rId17" cstate="print"/>
                    <a:srcRect l="4378" t="4176" r="2968" b="3339"/>
                    <a:stretch>
                      <a:fillRect/>
                    </a:stretch>
                  </pic:blipFill>
                  <pic:spPr>
                    <a:xfrm>
                      <a:off x="0" y="0"/>
                      <a:ext cx="5133975" cy="6724650"/>
                    </a:xfrm>
                    <a:prstGeom prst="rect">
                      <a:avLst/>
                    </a:prstGeom>
                    <a:noFill/>
                    <a:ln w="9525" cmpd="sng">
                      <a:noFill/>
                      <a:miter lim="800000"/>
                      <a:headEnd/>
                      <a:tailEnd/>
                    </a:ln>
                  </pic:spPr>
                </pic:pic>
              </a:graphicData>
            </a:graphic>
          </wp:inline>
        </w:drawing>
      </w:r>
    </w:p>
    <w:p>
      <w:pPr>
        <w:spacing w:line="480" w:lineRule="exact"/>
        <w:jc w:val="center"/>
        <w:rPr>
          <w:rFonts w:ascii="黑体" w:hAnsi="黑体" w:eastAsia="黑体"/>
          <w:bCs/>
          <w:sz w:val="24"/>
        </w:rPr>
      </w:pPr>
      <w:r>
        <w:rPr>
          <w:rFonts w:hint="eastAsia" w:ascii="黑体" w:hAnsi="黑体" w:eastAsia="黑体"/>
          <w:bCs/>
          <w:sz w:val="24"/>
        </w:rPr>
        <w:t>图1.3-1  环境影响评价工作程序图</w:t>
      </w:r>
    </w:p>
    <w:p>
      <w:pPr>
        <w:pStyle w:val="51"/>
        <w:spacing w:before="156" w:beforeLines="50" w:after="0" w:line="480" w:lineRule="exact"/>
        <w:rPr>
          <w:rFonts w:ascii="宋体" w:hAnsi="宋体" w:eastAsia="宋体"/>
          <w:b/>
          <w:sz w:val="28"/>
          <w:szCs w:val="28"/>
        </w:rPr>
      </w:pPr>
      <w:bookmarkStart w:id="10" w:name="_Toc249436681"/>
      <w:bookmarkStart w:id="11" w:name="_Toc154824811"/>
      <w:bookmarkStart w:id="12" w:name="_Toc155669826"/>
      <w:bookmarkStart w:id="13" w:name="_Toc165112052"/>
      <w:bookmarkStart w:id="14" w:name="_Toc249436801"/>
      <w:bookmarkStart w:id="15" w:name="_Toc19105444"/>
      <w:r>
        <w:rPr>
          <w:b/>
          <w:sz w:val="28"/>
          <w:szCs w:val="28"/>
        </w:rPr>
        <w:t>1.</w:t>
      </w:r>
      <w:bookmarkEnd w:id="10"/>
      <w:bookmarkEnd w:id="11"/>
      <w:bookmarkEnd w:id="12"/>
      <w:bookmarkEnd w:id="13"/>
      <w:bookmarkEnd w:id="14"/>
      <w:r>
        <w:rPr>
          <w:rFonts w:hint="eastAsia"/>
          <w:b/>
          <w:sz w:val="28"/>
          <w:szCs w:val="28"/>
        </w:rPr>
        <w:t>4</w:t>
      </w:r>
      <w:r>
        <w:rPr>
          <w:rFonts w:hint="eastAsia" w:ascii="宋体" w:hAnsi="宋体" w:eastAsia="宋体"/>
          <w:b/>
          <w:sz w:val="28"/>
          <w:szCs w:val="28"/>
        </w:rPr>
        <w:t>分析判定相关情况</w:t>
      </w:r>
      <w:bookmarkEnd w:id="15"/>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4</w:t>
      </w:r>
      <w:r>
        <w:rPr>
          <w:rFonts w:cs="Times New Roman"/>
          <w:b/>
        </w:rPr>
        <w:t>.1</w:t>
      </w:r>
      <w:r>
        <w:rPr>
          <w:rFonts w:hint="eastAsia" w:cs="Times New Roman"/>
          <w:b/>
        </w:rPr>
        <w:t>产业</w:t>
      </w:r>
      <w:r>
        <w:rPr>
          <w:rFonts w:ascii="宋体" w:hAnsi="宋体" w:eastAsia="宋体" w:cs="Times New Roman"/>
          <w:b/>
        </w:rPr>
        <w:t>政策</w:t>
      </w:r>
      <w:r>
        <w:rPr>
          <w:rFonts w:hint="eastAsia" w:ascii="宋体" w:hAnsi="宋体" w:eastAsia="宋体" w:cs="Times New Roman"/>
          <w:b/>
        </w:rPr>
        <w:t>符合性分析</w:t>
      </w:r>
    </w:p>
    <w:p>
      <w:pPr>
        <w:pStyle w:val="48"/>
        <w:spacing w:line="480" w:lineRule="exact"/>
        <w:ind w:firstLine="480" w:firstLineChars="200"/>
        <w:rPr>
          <w:bCs/>
        </w:rPr>
      </w:pPr>
      <w:r>
        <w:rPr>
          <w:bCs/>
        </w:rPr>
        <w:t>本项目达产后养殖规模常年存栏肉鸡量为23.8万只，属标准化规模养殖项目，根据《产业结构调整指导目录（2011年本）》（201</w:t>
      </w:r>
      <w:r>
        <w:rPr>
          <w:rFonts w:hint="eastAsia"/>
          <w:bCs/>
        </w:rPr>
        <w:t>3</w:t>
      </w:r>
      <w:r>
        <w:rPr>
          <w:bCs/>
        </w:rPr>
        <w:t>年修正）有关条款，在目录中第一类鼓励类、农林业项第5条规定：畜禽标准化规模养殖技术开发与应用。是国家鼓励类项目，符合国家产业政策。</w:t>
      </w:r>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4</w:t>
      </w:r>
      <w:r>
        <w:rPr>
          <w:rFonts w:cs="Times New Roman"/>
          <w:b/>
        </w:rPr>
        <w:t>.</w:t>
      </w:r>
      <w:r>
        <w:rPr>
          <w:rFonts w:hint="eastAsia" w:cs="Times New Roman"/>
          <w:b/>
        </w:rPr>
        <w:t>2污染防治</w:t>
      </w:r>
      <w:r>
        <w:rPr>
          <w:rFonts w:hint="eastAsia" w:ascii="宋体" w:hAnsi="宋体" w:eastAsia="宋体" w:cs="Times New Roman"/>
          <w:b/>
        </w:rPr>
        <w:t>符合性分析</w:t>
      </w:r>
    </w:p>
    <w:p>
      <w:pPr>
        <w:pStyle w:val="48"/>
        <w:spacing w:line="480" w:lineRule="exact"/>
        <w:rPr>
          <w:bCs/>
        </w:rPr>
      </w:pPr>
      <w:r>
        <w:rPr>
          <w:rFonts w:hint="eastAsia"/>
        </w:rPr>
        <w:t>本项目采取的污染防治措施、设施与《畜禽规模养殖污染防治条例》（国务院令第</w:t>
      </w:r>
      <w:r>
        <w:t>643</w:t>
      </w:r>
      <w:r>
        <w:rPr>
          <w:rFonts w:hint="eastAsia"/>
        </w:rPr>
        <w:t>号）、《畜禽养殖业污染防治技术规范》（</w:t>
      </w:r>
      <w:r>
        <w:t>HJ/T81-2001</w:t>
      </w:r>
      <w:r>
        <w:rPr>
          <w:rFonts w:hint="eastAsia"/>
        </w:rPr>
        <w:t>）、《畜禽养殖业污染防治技术政策》（环发</w:t>
      </w:r>
      <w:r>
        <w:t>[2010]151</w:t>
      </w:r>
      <w:r>
        <w:rPr>
          <w:rFonts w:hint="eastAsia"/>
        </w:rPr>
        <w:t>号）中相关规定的符合性分析见下表。</w:t>
      </w:r>
    </w:p>
    <w:p>
      <w:pPr>
        <w:pStyle w:val="48"/>
        <w:spacing w:line="480" w:lineRule="exact"/>
        <w:ind w:firstLine="0"/>
        <w:jc w:val="center"/>
        <w:rPr>
          <w:rFonts w:ascii="黑体" w:hAnsi="黑体" w:eastAsia="黑体"/>
          <w:bCs/>
        </w:rPr>
      </w:pPr>
      <w:r>
        <w:rPr>
          <w:rFonts w:ascii="黑体" w:hAnsi="黑体" w:eastAsia="黑体"/>
          <w:bCs/>
        </w:rPr>
        <w:t>表1.</w:t>
      </w:r>
      <w:r>
        <w:rPr>
          <w:rFonts w:hint="eastAsia" w:ascii="黑体" w:hAnsi="黑体" w:eastAsia="黑体"/>
          <w:bCs/>
        </w:rPr>
        <w:t>4</w:t>
      </w:r>
      <w:r>
        <w:rPr>
          <w:rFonts w:ascii="黑体" w:hAnsi="黑体" w:eastAsia="黑体"/>
          <w:bCs/>
        </w:rPr>
        <w:t>-1</w:t>
      </w:r>
      <w:r>
        <w:rPr>
          <w:rFonts w:hint="eastAsia" w:ascii="黑体" w:hAnsi="黑体" w:eastAsia="黑体"/>
          <w:bCs/>
        </w:rPr>
        <w:t>污染防治符合性分析一览表</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78"/>
        <w:gridCol w:w="4120"/>
        <w:gridCol w:w="2394"/>
        <w:gridCol w:w="7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1" w:type="pct"/>
            <w:tcBorders>
              <w:top w:val="single" w:color="auto" w:sz="6" w:space="0"/>
              <w:left w:val="single" w:color="auto" w:sz="6" w:space="0"/>
              <w:bottom w:val="single" w:color="auto" w:sz="6" w:space="0"/>
              <w:right w:val="single" w:color="auto" w:sz="4" w:space="0"/>
            </w:tcBorders>
            <w:vAlign w:val="center"/>
          </w:tcPr>
          <w:p>
            <w:pPr>
              <w:jc w:val="center"/>
              <w:rPr>
                <w:snapToGrid w:val="0"/>
                <w:szCs w:val="21"/>
              </w:rPr>
            </w:pPr>
            <w:r>
              <w:rPr>
                <w:rFonts w:hint="eastAsia"/>
                <w:snapToGrid w:val="0"/>
              </w:rPr>
              <w:t>相关政策、条例、规范</w:t>
            </w:r>
          </w:p>
        </w:tc>
        <w:tc>
          <w:tcPr>
            <w:tcW w:w="2274" w:type="pct"/>
            <w:tcBorders>
              <w:top w:val="single" w:color="auto" w:sz="6" w:space="0"/>
              <w:left w:val="single" w:color="auto" w:sz="4" w:space="0"/>
              <w:bottom w:val="single" w:color="auto" w:sz="6" w:space="0"/>
              <w:right w:val="single" w:color="auto" w:sz="6" w:space="0"/>
            </w:tcBorders>
            <w:vAlign w:val="center"/>
          </w:tcPr>
          <w:p>
            <w:pPr>
              <w:jc w:val="center"/>
              <w:rPr>
                <w:snapToGrid w:val="0"/>
                <w:szCs w:val="21"/>
              </w:rPr>
            </w:pPr>
            <w:r>
              <w:rPr>
                <w:rFonts w:hint="eastAsia"/>
                <w:snapToGrid w:val="0"/>
                <w:szCs w:val="21"/>
              </w:rPr>
              <w:t>要求</w:t>
            </w:r>
          </w:p>
        </w:tc>
        <w:tc>
          <w:tcPr>
            <w:tcW w:w="1321" w:type="pct"/>
            <w:tcBorders>
              <w:top w:val="single" w:color="auto" w:sz="6" w:space="0"/>
              <w:left w:val="single" w:color="auto" w:sz="6" w:space="0"/>
              <w:bottom w:val="single" w:color="auto" w:sz="6" w:space="0"/>
              <w:right w:val="single" w:color="auto" w:sz="6" w:space="0"/>
            </w:tcBorders>
            <w:vAlign w:val="center"/>
          </w:tcPr>
          <w:p>
            <w:pPr>
              <w:jc w:val="center"/>
              <w:rPr>
                <w:snapToGrid w:val="0"/>
                <w:szCs w:val="21"/>
              </w:rPr>
            </w:pPr>
            <w:r>
              <w:rPr>
                <w:rFonts w:hint="eastAsia"/>
                <w:snapToGrid w:val="0"/>
                <w:szCs w:val="21"/>
              </w:rPr>
              <w:t>本工程情况</w:t>
            </w:r>
          </w:p>
        </w:tc>
        <w:tc>
          <w:tcPr>
            <w:tcW w:w="424" w:type="pct"/>
            <w:tcBorders>
              <w:top w:val="single" w:color="auto" w:sz="6" w:space="0"/>
              <w:left w:val="single" w:color="auto" w:sz="6" w:space="0"/>
              <w:bottom w:val="single" w:color="auto" w:sz="6" w:space="0"/>
              <w:right w:val="single" w:color="auto" w:sz="6" w:space="0"/>
            </w:tcBorders>
            <w:vAlign w:val="center"/>
          </w:tcPr>
          <w:p>
            <w:pPr>
              <w:jc w:val="center"/>
              <w:rPr>
                <w:snapToGrid w:val="0"/>
                <w:szCs w:val="21"/>
              </w:rPr>
            </w:pPr>
            <w:r>
              <w:rPr>
                <w:rFonts w:hint="eastAsia"/>
                <w:snapToGrid w:val="0"/>
              </w:rPr>
              <w:t>是否符合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1" w:type="pct"/>
            <w:tcBorders>
              <w:top w:val="single" w:color="auto" w:sz="6" w:space="0"/>
              <w:left w:val="single" w:color="auto" w:sz="6" w:space="0"/>
              <w:bottom w:val="single" w:color="auto" w:sz="6" w:space="0"/>
              <w:right w:val="single" w:color="auto" w:sz="4" w:space="0"/>
            </w:tcBorders>
            <w:vAlign w:val="center"/>
          </w:tcPr>
          <w:p>
            <w:pPr>
              <w:jc w:val="center"/>
              <w:rPr>
                <w:snapToGrid w:val="0"/>
                <w:szCs w:val="21"/>
              </w:rPr>
            </w:pPr>
            <w:r>
              <w:rPr>
                <w:rFonts w:hint="eastAsia"/>
                <w:snapToGrid w:val="0"/>
              </w:rPr>
              <w:t>《畜禽规模养殖污染防治条例》（国务院令第</w:t>
            </w:r>
            <w:r>
              <w:rPr>
                <w:snapToGrid w:val="0"/>
              </w:rPr>
              <w:t>643</w:t>
            </w:r>
            <w:r>
              <w:rPr>
                <w:rFonts w:hint="eastAsia"/>
                <w:snapToGrid w:val="0"/>
              </w:rPr>
              <w:t>号）</w:t>
            </w:r>
          </w:p>
        </w:tc>
        <w:tc>
          <w:tcPr>
            <w:tcW w:w="2274" w:type="pct"/>
            <w:tcBorders>
              <w:top w:val="single" w:color="auto" w:sz="6" w:space="0"/>
              <w:left w:val="single" w:color="auto" w:sz="4" w:space="0"/>
              <w:right w:val="single" w:color="auto" w:sz="6" w:space="0"/>
            </w:tcBorders>
            <w:vAlign w:val="center"/>
          </w:tcPr>
          <w:p>
            <w:pPr>
              <w:jc w:val="center"/>
              <w:rPr>
                <w:rFonts w:ascii="宋体" w:hAnsi="宋体"/>
                <w:snapToGrid w:val="0"/>
                <w:szCs w:val="21"/>
              </w:rPr>
            </w:pPr>
            <w:r>
              <w:rPr>
                <w:rFonts w:hint="eastAsia" w:ascii="宋体" w:hAnsi="宋体"/>
                <w:snapToGrid w:val="0"/>
                <w:szCs w:val="21"/>
              </w:rPr>
              <w:t>《畜禽规模养殖污染防治条例》中</w:t>
            </w:r>
            <w:r>
              <w:rPr>
                <w:rFonts w:ascii="宋体" w:hAnsi="宋体"/>
                <w:snapToGrid w:val="0"/>
                <w:szCs w:val="21"/>
              </w:rPr>
              <w:t>“</w:t>
            </w:r>
            <w:r>
              <w:rPr>
                <w:rFonts w:hint="eastAsia" w:ascii="宋体" w:hAnsi="宋体"/>
                <w:snapToGrid w:val="0"/>
                <w:szCs w:val="21"/>
              </w:rPr>
              <w:t>鼓励和支持畜禽养殖污染防治以及畜禽养殖废弃物综合利用。国家鼓励和支持采取粪肥还田、制取沼气、制造肥料等方法，对畜禽养殖废物进行综合利用</w:t>
            </w:r>
            <w:r>
              <w:rPr>
                <w:rFonts w:ascii="宋体" w:hAnsi="宋体"/>
                <w:snapToGrid w:val="0"/>
                <w:szCs w:val="21"/>
              </w:rPr>
              <w:t>”</w:t>
            </w:r>
            <w:r>
              <w:rPr>
                <w:rFonts w:hint="eastAsia" w:ascii="宋体" w:hAnsi="宋体"/>
                <w:snapToGrid w:val="0"/>
                <w:szCs w:val="21"/>
              </w:rPr>
              <w:t>。</w:t>
            </w:r>
            <w:r>
              <w:rPr>
                <w:rFonts w:ascii="宋体" w:hAnsi="宋体"/>
                <w:snapToGrid w:val="0"/>
                <w:szCs w:val="21"/>
              </w:rPr>
              <w:t>“</w:t>
            </w:r>
            <w:r>
              <w:rPr>
                <w:rFonts w:hint="eastAsia" w:ascii="宋体" w:hAnsi="宋体"/>
                <w:snapToGrid w:val="0"/>
                <w:szCs w:val="21"/>
              </w:rPr>
              <w:t>染疫畜禽以及染疫畜禽排泄物、染疫畜禽产品、病死或者死因不明的畜禽尸体等病害畜禽养殖废弃物，应当按照有关法律、法规和国务院农牧主管部门的规定，进行深埋、化制、焚烧等无害化处理，不得随意处置。</w:t>
            </w:r>
            <w:r>
              <w:rPr>
                <w:rFonts w:ascii="宋体" w:hAnsi="宋体"/>
                <w:snapToGrid w:val="0"/>
                <w:szCs w:val="21"/>
              </w:rPr>
              <w:t>”</w:t>
            </w:r>
          </w:p>
        </w:tc>
        <w:tc>
          <w:tcPr>
            <w:tcW w:w="1321" w:type="pct"/>
            <w:tcBorders>
              <w:top w:val="single" w:color="auto" w:sz="6" w:space="0"/>
              <w:left w:val="single" w:color="auto" w:sz="6" w:space="0"/>
              <w:bottom w:val="single" w:color="auto" w:sz="6" w:space="0"/>
              <w:right w:val="single" w:color="auto" w:sz="6" w:space="0"/>
            </w:tcBorders>
            <w:vAlign w:val="center"/>
          </w:tcPr>
          <w:p>
            <w:pPr>
              <w:jc w:val="center"/>
              <w:rPr>
                <w:snapToGrid w:val="0"/>
                <w:szCs w:val="21"/>
              </w:rPr>
            </w:pPr>
            <w:r>
              <w:rPr>
                <w:rFonts w:hint="eastAsia"/>
                <w:snapToGrid w:val="0"/>
                <w:szCs w:val="21"/>
              </w:rPr>
              <w:t>本项目鸡粪日产日清，并与山西粮缘金土地科技股份有限公司签订合作协议，作为有机肥料，综合利用；废水通过污水处理站进行处理后用于农田灌溉，病死鸡填埋处理等均按照有关规定进行处理，因此与《畜禽规模养殖污染防治条例》中的规定相符。</w:t>
            </w:r>
          </w:p>
        </w:tc>
        <w:tc>
          <w:tcPr>
            <w:tcW w:w="424" w:type="pct"/>
            <w:tcBorders>
              <w:top w:val="single" w:color="auto" w:sz="6" w:space="0"/>
              <w:left w:val="single" w:color="auto" w:sz="6" w:space="0"/>
              <w:bottom w:val="single" w:color="auto" w:sz="6" w:space="0"/>
              <w:right w:val="single" w:color="auto" w:sz="6" w:space="0"/>
            </w:tcBorders>
            <w:vAlign w:val="center"/>
          </w:tcPr>
          <w:p>
            <w:pPr>
              <w:jc w:val="center"/>
              <w:rPr>
                <w:snapToGrid w:val="0"/>
                <w:szCs w:val="21"/>
              </w:rPr>
            </w:pPr>
            <w:r>
              <w:rPr>
                <w:rFonts w:hint="eastAsia"/>
                <w:snapToGrid w:val="0"/>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1" w:type="pct"/>
            <w:tcBorders>
              <w:top w:val="single" w:color="auto" w:sz="6" w:space="0"/>
              <w:left w:val="single" w:color="auto" w:sz="6" w:space="0"/>
              <w:right w:val="single" w:color="auto" w:sz="4" w:space="0"/>
            </w:tcBorders>
            <w:vAlign w:val="center"/>
          </w:tcPr>
          <w:p>
            <w:pPr>
              <w:widowControl/>
              <w:jc w:val="center"/>
              <w:rPr>
                <w:snapToGrid w:val="0"/>
                <w:szCs w:val="21"/>
              </w:rPr>
            </w:pPr>
            <w:r>
              <w:rPr>
                <w:rFonts w:hint="eastAsia"/>
                <w:snapToGrid w:val="0"/>
                <w:szCs w:val="21"/>
              </w:rPr>
              <w:t>《畜禽养殖业污染防治技术规范》（</w:t>
            </w:r>
            <w:r>
              <w:rPr>
                <w:snapToGrid w:val="0"/>
                <w:szCs w:val="21"/>
              </w:rPr>
              <w:t>HJ/T81-2001</w:t>
            </w:r>
            <w:r>
              <w:rPr>
                <w:rFonts w:hint="eastAsia"/>
                <w:snapToGrid w:val="0"/>
                <w:szCs w:val="21"/>
              </w:rPr>
              <w:t>）</w:t>
            </w:r>
          </w:p>
          <w:p>
            <w:pPr>
              <w:widowControl/>
              <w:jc w:val="center"/>
              <w:rPr>
                <w:snapToGrid w:val="0"/>
                <w:szCs w:val="21"/>
              </w:rPr>
            </w:pPr>
            <w:r>
              <w:rPr>
                <w:rFonts w:hint="eastAsia"/>
              </w:rPr>
              <w:t>《畜禽养殖业污染治理工程技术规范》（</w:t>
            </w:r>
            <w:r>
              <w:t>HJ497-2009</w:t>
            </w:r>
            <w:r>
              <w:rPr>
                <w:rFonts w:hint="eastAsia"/>
              </w:rPr>
              <w:t>）</w:t>
            </w:r>
          </w:p>
        </w:tc>
        <w:tc>
          <w:tcPr>
            <w:tcW w:w="2274" w:type="pct"/>
            <w:tcBorders>
              <w:top w:val="single" w:color="auto" w:sz="6" w:space="0"/>
              <w:left w:val="single" w:color="auto" w:sz="4" w:space="0"/>
              <w:right w:val="single" w:color="auto" w:sz="6" w:space="0"/>
            </w:tcBorders>
            <w:vAlign w:val="center"/>
          </w:tcPr>
          <w:p>
            <w:pPr>
              <w:pStyle w:val="128"/>
              <w:jc w:val="both"/>
              <w:rPr>
                <w:rFonts w:ascii="Times New Roman" w:hAnsi="Times New Roman"/>
              </w:rPr>
            </w:pPr>
            <w:r>
              <w:rPr>
                <w:rFonts w:hint="eastAsia" w:ascii="宋体" w:hAnsi="宋体" w:eastAsia="宋体" w:cs="宋体"/>
              </w:rPr>
              <w:t>①</w:t>
            </w:r>
            <w:r>
              <w:rPr>
                <w:rFonts w:hint="eastAsia" w:ascii="Times New Roman" w:hAnsi="Times New Roman"/>
              </w:rPr>
              <w:t>畜禽养殖业污染治理应从源头控制，严格执行雨污分离，通过优化饲料配方、提高饲养技术、管理水平、改善畜舍结构和通风供暖工艺、改进清粪工艺等措施减少养殖场环境污染。</w:t>
            </w:r>
          </w:p>
          <w:p>
            <w:pPr>
              <w:pStyle w:val="128"/>
              <w:jc w:val="both"/>
              <w:rPr>
                <w:rFonts w:ascii="Times New Roman" w:hAnsi="Times New Roman"/>
              </w:rPr>
            </w:pPr>
            <w:r>
              <w:rPr>
                <w:rFonts w:hint="eastAsia" w:ascii="宋体" w:hAnsi="宋体" w:eastAsia="宋体" w:cs="宋体"/>
              </w:rPr>
              <w:t>②</w:t>
            </w:r>
            <w:r>
              <w:rPr>
                <w:rFonts w:hint="eastAsia" w:ascii="Times New Roman" w:hAnsi="Times New Roman"/>
              </w:rPr>
              <w:t>畜禽养殖业污染治理应按照资源化、减量化、无害化的原则，以综合利用为出发点，提高资源化利用率。</w:t>
            </w:r>
          </w:p>
          <w:p>
            <w:pPr>
              <w:pStyle w:val="128"/>
              <w:jc w:val="both"/>
              <w:rPr>
                <w:rFonts w:ascii="Times New Roman" w:hAnsi="Times New Roman"/>
              </w:rPr>
            </w:pPr>
            <w:r>
              <w:rPr>
                <w:rFonts w:hint="eastAsia" w:ascii="宋体" w:hAnsi="宋体" w:eastAsia="宋体" w:cs="宋体"/>
              </w:rPr>
              <w:t>③</w:t>
            </w:r>
            <w:r>
              <w:rPr>
                <w:rFonts w:hint="eastAsia" w:ascii="Times New Roman" w:hAnsi="Times New Roman"/>
              </w:rPr>
              <w:t>畜禽粪污资源化时应经无害化处理后方可还田利用，无害化处理应满足下列要求：</w:t>
            </w:r>
          </w:p>
          <w:p>
            <w:pPr>
              <w:pStyle w:val="128"/>
              <w:jc w:val="both"/>
              <w:rPr>
                <w:rFonts w:ascii="Times New Roman" w:hAnsi="Times New Roman"/>
              </w:rPr>
            </w:pPr>
            <w:r>
              <w:rPr>
                <w:rFonts w:ascii="Times New Roman" w:hAnsi="Times New Roman"/>
              </w:rPr>
              <w:t>a</w:t>
            </w:r>
            <w:r>
              <w:rPr>
                <w:rFonts w:hint="eastAsia" w:ascii="Times New Roman" w:hAnsi="Times New Roman"/>
              </w:rPr>
              <w:t>）液态畜禽粪污宜采用厌氧工艺进行无害化处理；沼液、沼渣不得作为同等动物的饲料，不得在动物之间进行循环。</w:t>
            </w:r>
          </w:p>
          <w:p>
            <w:pPr>
              <w:pStyle w:val="128"/>
              <w:jc w:val="both"/>
              <w:rPr>
                <w:rFonts w:ascii="Times New Roman" w:hAnsi="Times New Roman"/>
              </w:rPr>
            </w:pPr>
            <w:r>
              <w:rPr>
                <w:rFonts w:ascii="Times New Roman" w:hAnsi="Times New Roman"/>
              </w:rPr>
              <w:t>b</w:t>
            </w:r>
            <w:r>
              <w:rPr>
                <w:rFonts w:hint="eastAsia" w:ascii="Times New Roman" w:hAnsi="Times New Roman"/>
              </w:rPr>
              <w:t>）固体畜禽粪便宜采用好氧堆肥技术进行无害化处理。</w:t>
            </w:r>
          </w:p>
          <w:p>
            <w:pPr>
              <w:jc w:val="center"/>
              <w:rPr>
                <w:snapToGrid w:val="0"/>
                <w:szCs w:val="21"/>
              </w:rPr>
            </w:pPr>
            <w:r>
              <w:rPr>
                <w:rFonts w:hint="eastAsia" w:ascii="宋体" w:hAnsi="宋体" w:cs="宋体"/>
              </w:rPr>
              <w:t>④</w:t>
            </w:r>
            <w:r>
              <w:rPr>
                <w:rFonts w:hint="eastAsia"/>
              </w:rPr>
              <w:t>经无害化处理后进行还田综合利用的，粪肥用量不能超过作物当年生长所需的养分量。在确定粪肥的最佳施用量时，应对土壤肥力和粪肥肥效进行测试评价，并符合当地环境容量的要求。同时应有一倍以上的土地用于轮作施肥，不得长期施肥于同一土地。</w:t>
            </w:r>
          </w:p>
        </w:tc>
        <w:tc>
          <w:tcPr>
            <w:tcW w:w="1321" w:type="pct"/>
            <w:tcBorders>
              <w:top w:val="single" w:color="auto" w:sz="6" w:space="0"/>
              <w:left w:val="single" w:color="auto" w:sz="6" w:space="0"/>
              <w:right w:val="single" w:color="auto" w:sz="6" w:space="0"/>
            </w:tcBorders>
            <w:vAlign w:val="center"/>
          </w:tcPr>
          <w:p>
            <w:pPr>
              <w:pStyle w:val="128"/>
              <w:jc w:val="both"/>
              <w:rPr>
                <w:rFonts w:ascii="Times New Roman" w:hAnsi="Times New Roman"/>
              </w:rPr>
            </w:pPr>
            <w:r>
              <w:rPr>
                <w:rFonts w:hint="eastAsia" w:ascii="宋体" w:hAnsi="宋体" w:eastAsia="宋体" w:cs="宋体"/>
              </w:rPr>
              <w:t>①</w:t>
            </w:r>
            <w:r>
              <w:rPr>
                <w:rFonts w:hint="eastAsia" w:ascii="Times New Roman" w:hAnsi="Times New Roman"/>
              </w:rPr>
              <w:t>本项目采用合理的饲料配方和饲养技术，采用干法清粪，减少养殖场环境污染。</w:t>
            </w:r>
          </w:p>
          <w:p>
            <w:pPr>
              <w:pStyle w:val="128"/>
              <w:jc w:val="both"/>
              <w:rPr>
                <w:rFonts w:ascii="Times New Roman" w:hAnsi="Times New Roman"/>
              </w:rPr>
            </w:pPr>
            <w:r>
              <w:rPr>
                <w:rFonts w:hint="eastAsia" w:ascii="宋体" w:hAnsi="宋体" w:eastAsia="宋体" w:cs="宋体"/>
              </w:rPr>
              <w:t>②</w:t>
            </w:r>
            <w:r>
              <w:rPr>
                <w:rFonts w:hint="eastAsia" w:ascii="Times New Roman" w:hAnsi="Times New Roman"/>
              </w:rPr>
              <w:t>本项目按照资源化、减量化、无害化的原则，以综合利用为出发点，粪便、污泥等用于有机肥，以提高资源化利用率。</w:t>
            </w:r>
          </w:p>
          <w:p>
            <w:pPr>
              <w:pStyle w:val="128"/>
              <w:jc w:val="both"/>
              <w:rPr>
                <w:rFonts w:ascii="Times New Roman" w:hAnsi="Times New Roman"/>
              </w:rPr>
            </w:pPr>
            <w:r>
              <w:rPr>
                <w:rFonts w:hint="eastAsia" w:ascii="宋体" w:hAnsi="宋体" w:eastAsia="宋体" w:cs="宋体"/>
              </w:rPr>
              <w:t>③</w:t>
            </w:r>
            <w:r>
              <w:rPr>
                <w:rFonts w:hint="eastAsia" w:ascii="Times New Roman" w:hAnsi="Times New Roman"/>
              </w:rPr>
              <w:t>本项目产生的废水经污水处理站处理后，用于灌溉农田。</w:t>
            </w:r>
          </w:p>
          <w:p>
            <w:pPr>
              <w:widowControl/>
              <w:jc w:val="center"/>
              <w:rPr>
                <w:snapToGrid w:val="0"/>
                <w:szCs w:val="21"/>
              </w:rPr>
            </w:pPr>
            <w:r>
              <w:rPr>
                <w:rFonts w:hint="eastAsia" w:ascii="宋体" w:hAnsi="宋体" w:cs="宋体"/>
              </w:rPr>
              <w:t>④</w:t>
            </w:r>
            <w:r>
              <w:rPr>
                <w:rFonts w:hint="eastAsia"/>
              </w:rPr>
              <w:t>从土地消纳容量角度分析，项目运营产生的</w:t>
            </w:r>
            <w:r>
              <w:rPr>
                <w:rFonts w:hint="eastAsia"/>
                <w:snapToGrid w:val="0"/>
              </w:rPr>
              <w:t>鸡粪日产日清，交由有机肥厂，综合利用</w:t>
            </w:r>
            <w:r>
              <w:rPr>
                <w:rFonts w:hint="eastAsia"/>
              </w:rPr>
              <w:t>，具有土地消纳可行性。</w:t>
            </w:r>
          </w:p>
        </w:tc>
        <w:tc>
          <w:tcPr>
            <w:tcW w:w="424" w:type="pct"/>
            <w:tcBorders>
              <w:top w:val="single" w:color="auto" w:sz="6" w:space="0"/>
              <w:left w:val="single" w:color="auto" w:sz="6" w:space="0"/>
              <w:right w:val="single" w:color="auto" w:sz="6" w:space="0"/>
            </w:tcBorders>
            <w:vAlign w:val="center"/>
          </w:tcPr>
          <w:p>
            <w:pPr>
              <w:jc w:val="center"/>
              <w:rPr>
                <w:snapToGrid w:val="0"/>
                <w:szCs w:val="21"/>
              </w:rPr>
            </w:pPr>
            <w:r>
              <w:rPr>
                <w:rFonts w:hint="eastAsia"/>
                <w:snapToGrid w:val="0"/>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1" w:type="pct"/>
            <w:tcBorders>
              <w:left w:val="single" w:color="auto" w:sz="6" w:space="0"/>
              <w:right w:val="single" w:color="auto" w:sz="4" w:space="0"/>
            </w:tcBorders>
            <w:vAlign w:val="center"/>
          </w:tcPr>
          <w:p>
            <w:pPr>
              <w:widowControl/>
              <w:jc w:val="center"/>
              <w:rPr>
                <w:snapToGrid w:val="0"/>
                <w:szCs w:val="21"/>
              </w:rPr>
            </w:pPr>
            <w:r>
              <w:rPr>
                <w:rFonts w:hint="eastAsia"/>
                <w:snapToGrid w:val="0"/>
                <w:szCs w:val="21"/>
              </w:rPr>
              <w:t>《畜禽养殖业污染防治技术政策》（环发</w:t>
            </w:r>
            <w:r>
              <w:rPr>
                <w:snapToGrid w:val="0"/>
                <w:szCs w:val="21"/>
              </w:rPr>
              <w:t>[2010]151</w:t>
            </w:r>
            <w:r>
              <w:rPr>
                <w:rFonts w:hint="eastAsia"/>
                <w:snapToGrid w:val="0"/>
                <w:szCs w:val="21"/>
              </w:rPr>
              <w:t>号）</w:t>
            </w:r>
          </w:p>
        </w:tc>
        <w:tc>
          <w:tcPr>
            <w:tcW w:w="2274" w:type="pct"/>
            <w:tcBorders>
              <w:top w:val="single" w:color="auto" w:sz="6" w:space="0"/>
              <w:left w:val="single" w:color="auto" w:sz="4" w:space="0"/>
              <w:bottom w:val="single" w:color="auto" w:sz="6" w:space="0"/>
              <w:right w:val="single" w:color="auto" w:sz="6" w:space="0"/>
            </w:tcBorders>
            <w:vAlign w:val="center"/>
          </w:tcPr>
          <w:p>
            <w:pPr>
              <w:pStyle w:val="128"/>
              <w:jc w:val="both"/>
              <w:rPr>
                <w:rFonts w:ascii="Times New Roman" w:hAnsi="Times New Roman"/>
              </w:rPr>
            </w:pPr>
            <w:r>
              <w:rPr>
                <w:rFonts w:hint="eastAsia" w:ascii="Times New Roman" w:hAnsi="Times New Roman"/>
              </w:rPr>
              <w:t>（一）规模化畜禽养殖场（小区）应加强恶臭气体净化处理并覆盖所有恶臭发生源，排放的气体应符合国家或地方恶臭污染物排放标准。（三）大型规模化畜禽养殖场应针对畜禽养殖废弃物处理与利用过程的关键环节，采取场所密闭、喷洒除臭剂等措施，减少恶臭气体扩散，降低恶臭气体对场区空气质量和周边居民生活的影响。（四）中小型规模化畜禽养殖场（小区）宜通过科学选址、合理布局、加强圈舍通风、建设绿化隔离带、及时清理畜禽养殖废弃物等手段，减少恶臭气体的污染。</w:t>
            </w:r>
          </w:p>
        </w:tc>
        <w:tc>
          <w:tcPr>
            <w:tcW w:w="1321" w:type="pct"/>
            <w:tcBorders>
              <w:top w:val="single" w:color="auto" w:sz="6" w:space="0"/>
              <w:left w:val="single" w:color="auto" w:sz="6" w:space="0"/>
              <w:bottom w:val="single" w:color="auto" w:sz="6" w:space="0"/>
              <w:right w:val="single" w:color="auto" w:sz="6" w:space="0"/>
            </w:tcBorders>
            <w:vAlign w:val="center"/>
          </w:tcPr>
          <w:p>
            <w:pPr>
              <w:pStyle w:val="128"/>
              <w:jc w:val="both"/>
              <w:rPr>
                <w:rFonts w:ascii="Times New Roman" w:hAnsi="Times New Roman"/>
                <w:lang w:val="en-US"/>
              </w:rPr>
            </w:pPr>
            <w:r>
              <w:rPr>
                <w:rFonts w:hint="eastAsia" w:ascii="Times New Roman" w:hAnsi="Times New Roman"/>
              </w:rPr>
              <w:t>本项目采用喷洒除臭剂等措施，减少恶臭气体扩散，降低恶臭气体对场区空气质量和周边居民生活的影响。本项目选址和平面布局合理，场区设置绿化隔离带，并及时清理畜禽养殖废弃物等手段，减少恶臭气体的污染。符合《畜禽养殖业污染防治技术政策》的要求。</w:t>
            </w:r>
          </w:p>
        </w:tc>
        <w:tc>
          <w:tcPr>
            <w:tcW w:w="424" w:type="pct"/>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snapToGrid w:val="0"/>
              </w:rPr>
            </w:pPr>
            <w:r>
              <w:rPr>
                <w:rFonts w:hint="eastAsia" w:ascii="Times New Roman" w:hAnsi="Times New Roman"/>
                <w:snapToGrid w:val="0"/>
              </w:rPr>
              <w:t>符合</w:t>
            </w:r>
          </w:p>
        </w:tc>
      </w:tr>
    </w:tbl>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4</w:t>
      </w:r>
      <w:r>
        <w:rPr>
          <w:rFonts w:cs="Times New Roman"/>
          <w:b/>
        </w:rPr>
        <w:t>.</w:t>
      </w:r>
      <w:r>
        <w:rPr>
          <w:rFonts w:hint="eastAsia" w:cs="Times New Roman"/>
          <w:b/>
        </w:rPr>
        <w:t>3</w:t>
      </w:r>
      <w:r>
        <w:rPr>
          <w:rFonts w:hint="eastAsia" w:ascii="宋体" w:hAnsi="宋体" w:eastAsia="宋体" w:cs="Times New Roman"/>
          <w:b/>
        </w:rPr>
        <w:t>选址符合性分析</w:t>
      </w:r>
    </w:p>
    <w:p>
      <w:pPr>
        <w:pStyle w:val="48"/>
        <w:spacing w:line="480" w:lineRule="exact"/>
        <w:ind w:firstLine="480" w:firstLineChars="200"/>
        <w:rPr>
          <w:kern w:val="0"/>
        </w:rPr>
      </w:pPr>
      <w:r>
        <w:rPr>
          <w:rFonts w:hint="eastAsia"/>
          <w:kern w:val="0"/>
        </w:rPr>
        <w:t>本项目选址与《畜禽规模养殖污染防治条例》（国务院令第</w:t>
      </w:r>
      <w:r>
        <w:rPr>
          <w:kern w:val="0"/>
        </w:rPr>
        <w:t>643</w:t>
      </w:r>
      <w:r>
        <w:rPr>
          <w:rFonts w:hint="eastAsia"/>
          <w:kern w:val="0"/>
        </w:rPr>
        <w:t>号）、《畜禽养殖业污染防治技术规范》（</w:t>
      </w:r>
      <w:r>
        <w:rPr>
          <w:kern w:val="0"/>
        </w:rPr>
        <w:t>HJ/T81-2001</w:t>
      </w:r>
      <w:r>
        <w:rPr>
          <w:rFonts w:hint="eastAsia"/>
          <w:kern w:val="0"/>
        </w:rPr>
        <w:t>）、《畜禽养殖业污染防治技术政策》（环发</w:t>
      </w:r>
      <w:r>
        <w:rPr>
          <w:kern w:val="0"/>
        </w:rPr>
        <w:t>[2010]151</w:t>
      </w:r>
      <w:r>
        <w:rPr>
          <w:rFonts w:hint="eastAsia"/>
          <w:kern w:val="0"/>
        </w:rPr>
        <w:t>号）、《汾阳市畜禽禁养区划定方案》的符合性分析见下表。</w:t>
      </w:r>
    </w:p>
    <w:p>
      <w:pPr>
        <w:pStyle w:val="48"/>
        <w:spacing w:line="480" w:lineRule="exact"/>
        <w:ind w:firstLine="0"/>
        <w:jc w:val="center"/>
        <w:rPr>
          <w:rFonts w:ascii="黑体" w:hAnsi="黑体" w:eastAsia="黑体"/>
          <w:bCs/>
        </w:rPr>
      </w:pPr>
      <w:r>
        <w:rPr>
          <w:rFonts w:ascii="黑体" w:hAnsi="黑体" w:eastAsia="黑体"/>
          <w:bCs/>
        </w:rPr>
        <w:t>表1.</w:t>
      </w:r>
      <w:r>
        <w:rPr>
          <w:rFonts w:hint="eastAsia" w:ascii="黑体" w:hAnsi="黑体" w:eastAsia="黑体"/>
          <w:bCs/>
        </w:rPr>
        <w:t>4</w:t>
      </w:r>
      <w:r>
        <w:rPr>
          <w:rFonts w:ascii="黑体" w:hAnsi="黑体" w:eastAsia="黑体"/>
          <w:bCs/>
        </w:rPr>
        <w:t>-</w:t>
      </w:r>
      <w:r>
        <w:rPr>
          <w:rFonts w:hint="eastAsia" w:ascii="黑体" w:hAnsi="黑体" w:eastAsia="黑体"/>
          <w:bCs/>
        </w:rPr>
        <w:t>2选址符合性分析一览表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3057"/>
        <w:gridCol w:w="3457"/>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pPr>
              <w:pStyle w:val="128"/>
              <w:rPr>
                <w:rFonts w:ascii="Times New Roman" w:hAnsi="Times New Roman"/>
                <w:snapToGrid w:val="0"/>
              </w:rPr>
            </w:pPr>
            <w:r>
              <w:rPr>
                <w:rFonts w:hint="eastAsia" w:ascii="Times New Roman" w:hAnsi="Times New Roman"/>
                <w:snapToGrid w:val="0"/>
              </w:rPr>
              <w:t>相关政策、条例、规范</w:t>
            </w:r>
          </w:p>
        </w:tc>
        <w:tc>
          <w:tcPr>
            <w:tcW w:w="1687" w:type="pct"/>
            <w:vAlign w:val="center"/>
          </w:tcPr>
          <w:p>
            <w:pPr>
              <w:pStyle w:val="128"/>
              <w:rPr>
                <w:rFonts w:ascii="Times New Roman" w:hAnsi="Times New Roman"/>
                <w:snapToGrid w:val="0"/>
              </w:rPr>
            </w:pPr>
            <w:r>
              <w:rPr>
                <w:rFonts w:hint="eastAsia" w:ascii="Times New Roman" w:hAnsi="Times New Roman"/>
                <w:snapToGrid w:val="0"/>
              </w:rPr>
              <w:t>要求</w:t>
            </w:r>
          </w:p>
        </w:tc>
        <w:tc>
          <w:tcPr>
            <w:tcW w:w="1908" w:type="pct"/>
            <w:vAlign w:val="center"/>
          </w:tcPr>
          <w:p>
            <w:pPr>
              <w:pStyle w:val="128"/>
              <w:rPr>
                <w:rFonts w:ascii="Times New Roman" w:hAnsi="Times New Roman"/>
                <w:snapToGrid w:val="0"/>
              </w:rPr>
            </w:pPr>
            <w:r>
              <w:rPr>
                <w:rFonts w:hint="eastAsia" w:ascii="Times New Roman" w:hAnsi="Times New Roman"/>
                <w:snapToGrid w:val="0"/>
              </w:rPr>
              <w:t>符合性分析</w:t>
            </w:r>
          </w:p>
        </w:tc>
        <w:tc>
          <w:tcPr>
            <w:tcW w:w="423" w:type="pct"/>
            <w:vAlign w:val="center"/>
          </w:tcPr>
          <w:p>
            <w:pPr>
              <w:pStyle w:val="128"/>
              <w:rPr>
                <w:rFonts w:ascii="Times New Roman" w:hAnsi="Times New Roman"/>
                <w:snapToGrid w:val="0"/>
              </w:rPr>
            </w:pPr>
            <w:r>
              <w:rPr>
                <w:rFonts w:hint="eastAsia" w:ascii="Times New Roman" w:hAnsi="Times New Roman"/>
                <w:snapToGrid w:val="0"/>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pPr>
              <w:pStyle w:val="128"/>
              <w:jc w:val="both"/>
              <w:rPr>
                <w:rFonts w:ascii="Times New Roman" w:hAnsi="Times New Roman"/>
                <w:snapToGrid w:val="0"/>
              </w:rPr>
            </w:pPr>
            <w:r>
              <w:rPr>
                <w:rFonts w:hint="eastAsia" w:ascii="Times New Roman" w:hAnsi="Times New Roman"/>
                <w:snapToGrid w:val="0"/>
                <w:lang w:val="en-US"/>
              </w:rPr>
              <w:t>《畜禽规模养殖污染防治条例》（国务院令第</w:t>
            </w:r>
            <w:r>
              <w:rPr>
                <w:rFonts w:ascii="Times New Roman" w:hAnsi="Times New Roman"/>
                <w:snapToGrid w:val="0"/>
                <w:lang w:val="en-US"/>
              </w:rPr>
              <w:t>643</w:t>
            </w:r>
            <w:r>
              <w:rPr>
                <w:rFonts w:hint="eastAsia" w:ascii="Times New Roman" w:hAnsi="Times New Roman"/>
                <w:snapToGrid w:val="0"/>
                <w:lang w:val="en-US"/>
              </w:rPr>
              <w:t>号）第二章第十一条</w:t>
            </w:r>
          </w:p>
        </w:tc>
        <w:tc>
          <w:tcPr>
            <w:tcW w:w="1687" w:type="pct"/>
            <w:vAlign w:val="center"/>
          </w:tcPr>
          <w:p>
            <w:pPr>
              <w:pStyle w:val="128"/>
              <w:jc w:val="left"/>
              <w:rPr>
                <w:rFonts w:ascii="Times New Roman" w:hAnsi="Times New Roman" w:eastAsia="宋体" w:cs="Times New Roman"/>
                <w:snapToGrid w:val="0"/>
              </w:rPr>
            </w:pPr>
            <w:r>
              <w:rPr>
                <w:rFonts w:hint="eastAsia" w:ascii="Times New Roman" w:hAnsi="Times New Roman"/>
                <w:snapToGrid w:val="0"/>
              </w:rPr>
              <w:t>禁止在下列区域内建设畜禽养殖场、养殖小区：</w:t>
            </w:r>
          </w:p>
          <w:p>
            <w:pPr>
              <w:pStyle w:val="128"/>
              <w:jc w:val="left"/>
              <w:rPr>
                <w:rFonts w:ascii="Times New Roman" w:hAnsi="Times New Roman"/>
                <w:snapToGrid w:val="0"/>
              </w:rPr>
            </w:pPr>
            <w:r>
              <w:rPr>
                <w:rFonts w:hint="eastAsia" w:ascii="宋体" w:hAnsi="宋体" w:eastAsia="宋体" w:cs="宋体"/>
                <w:snapToGrid w:val="0"/>
              </w:rPr>
              <w:t>①</w:t>
            </w:r>
            <w:r>
              <w:rPr>
                <w:rFonts w:hint="eastAsia" w:ascii="Times New Roman" w:hAnsi="Times New Roman"/>
                <w:snapToGrid w:val="0"/>
              </w:rPr>
              <w:t>饮用水水源保护区，风景名胜区；</w:t>
            </w:r>
          </w:p>
          <w:p>
            <w:pPr>
              <w:pStyle w:val="128"/>
              <w:jc w:val="left"/>
              <w:rPr>
                <w:rFonts w:ascii="Times New Roman" w:hAnsi="Times New Roman"/>
                <w:snapToGrid w:val="0"/>
              </w:rPr>
            </w:pPr>
            <w:r>
              <w:rPr>
                <w:rFonts w:hint="eastAsia" w:ascii="宋体" w:hAnsi="宋体" w:eastAsia="宋体" w:cs="宋体"/>
                <w:snapToGrid w:val="0"/>
              </w:rPr>
              <w:t>②</w:t>
            </w:r>
            <w:r>
              <w:rPr>
                <w:rFonts w:hint="eastAsia" w:ascii="Times New Roman" w:hAnsi="Times New Roman"/>
                <w:snapToGrid w:val="0"/>
              </w:rPr>
              <w:t>自然保护区的核心区和缓冲区；</w:t>
            </w:r>
          </w:p>
          <w:p>
            <w:pPr>
              <w:pStyle w:val="128"/>
              <w:jc w:val="left"/>
              <w:rPr>
                <w:rFonts w:ascii="Times New Roman" w:hAnsi="Times New Roman"/>
                <w:snapToGrid w:val="0"/>
              </w:rPr>
            </w:pPr>
            <w:r>
              <w:rPr>
                <w:rFonts w:hint="eastAsia" w:ascii="宋体" w:hAnsi="宋体" w:eastAsia="宋体" w:cs="宋体"/>
                <w:snapToGrid w:val="0"/>
              </w:rPr>
              <w:t>③</w:t>
            </w:r>
            <w:r>
              <w:rPr>
                <w:rFonts w:hint="eastAsia" w:ascii="Times New Roman" w:hAnsi="Times New Roman"/>
                <w:snapToGrid w:val="0"/>
              </w:rPr>
              <w:t>城镇居民区、文化教育科学研究区等人口集中区域；</w:t>
            </w:r>
          </w:p>
          <w:p>
            <w:pPr>
              <w:pStyle w:val="128"/>
              <w:jc w:val="left"/>
              <w:rPr>
                <w:rFonts w:ascii="Times New Roman" w:hAnsi="Times New Roman"/>
                <w:snapToGrid w:val="0"/>
              </w:rPr>
            </w:pPr>
            <w:r>
              <w:rPr>
                <w:rFonts w:hint="eastAsia" w:ascii="宋体" w:hAnsi="宋体" w:eastAsia="宋体" w:cs="宋体"/>
                <w:snapToGrid w:val="0"/>
              </w:rPr>
              <w:t>④</w:t>
            </w:r>
            <w:r>
              <w:rPr>
                <w:rFonts w:hint="eastAsia" w:ascii="Times New Roman" w:hAnsi="Times New Roman"/>
                <w:snapToGrid w:val="0"/>
              </w:rPr>
              <w:t>法律、法规规定的其他禁止养殖区域。</w:t>
            </w:r>
          </w:p>
        </w:tc>
        <w:tc>
          <w:tcPr>
            <w:tcW w:w="1908" w:type="pct"/>
            <w:vAlign w:val="center"/>
          </w:tcPr>
          <w:p>
            <w:pPr>
              <w:pStyle w:val="128"/>
              <w:jc w:val="left"/>
              <w:rPr>
                <w:rFonts w:ascii="Times New Roman" w:hAnsi="Times New Roman"/>
                <w:snapToGrid w:val="0"/>
              </w:rPr>
            </w:pPr>
            <w:r>
              <w:rPr>
                <w:rFonts w:hint="eastAsia" w:ascii="Times New Roman" w:hAnsi="Times New Roman"/>
                <w:snapToGrid w:val="0"/>
              </w:rPr>
              <w:t>本项目的选址不属于当地政府划定的</w:t>
            </w:r>
            <w:r>
              <w:rPr>
                <w:rFonts w:ascii="Times New Roman" w:hAnsi="Times New Roman"/>
                <w:snapToGrid w:val="0"/>
              </w:rPr>
              <w:t>“</w:t>
            </w:r>
            <w:r>
              <w:rPr>
                <w:rFonts w:hint="eastAsia" w:ascii="Times New Roman" w:hAnsi="Times New Roman"/>
                <w:snapToGrid w:val="0"/>
              </w:rPr>
              <w:t>敏感区</w:t>
            </w:r>
            <w:r>
              <w:rPr>
                <w:rFonts w:ascii="Times New Roman" w:hAnsi="Times New Roman"/>
                <w:snapToGrid w:val="0"/>
              </w:rPr>
              <w:t>”</w:t>
            </w:r>
            <w:r>
              <w:rPr>
                <w:rFonts w:hint="eastAsia" w:ascii="Times New Roman" w:hAnsi="Times New Roman"/>
                <w:snapToGrid w:val="0"/>
              </w:rPr>
              <w:t>和</w:t>
            </w:r>
            <w:r>
              <w:rPr>
                <w:rFonts w:ascii="Times New Roman" w:hAnsi="Times New Roman"/>
                <w:snapToGrid w:val="0"/>
              </w:rPr>
              <w:t>“</w:t>
            </w:r>
            <w:r>
              <w:rPr>
                <w:rFonts w:hint="eastAsia" w:ascii="Times New Roman" w:hAnsi="Times New Roman"/>
                <w:snapToGrid w:val="0"/>
              </w:rPr>
              <w:t>禁养区</w:t>
            </w:r>
            <w:r>
              <w:rPr>
                <w:rFonts w:ascii="Times New Roman" w:hAnsi="Times New Roman"/>
                <w:snapToGrid w:val="0"/>
              </w:rPr>
              <w:t>”</w:t>
            </w:r>
            <w:r>
              <w:rPr>
                <w:rFonts w:hint="eastAsia" w:ascii="Times New Roman" w:hAnsi="Times New Roman"/>
                <w:snapToGrid w:val="0"/>
              </w:rPr>
              <w:t>，不涉及饮用水水源保护区、自然保护区、风景名胜区等环境敏感区域；拟建养殖项目建设布局在设计阶段进行了合理规划，项目的建设符合《畜禽规模养殖污染防治条例》的相关规定。</w:t>
            </w:r>
          </w:p>
        </w:tc>
        <w:tc>
          <w:tcPr>
            <w:tcW w:w="423" w:type="pct"/>
            <w:vAlign w:val="center"/>
          </w:tcPr>
          <w:p>
            <w:pPr>
              <w:pStyle w:val="128"/>
              <w:rPr>
                <w:rFonts w:ascii="Times New Roman" w:hAnsi="Times New Roman"/>
                <w:snapToGrid w:val="0"/>
              </w:rPr>
            </w:pPr>
            <w:r>
              <w:rPr>
                <w:rFonts w:hint="eastAsia" w:ascii="Times New Roman" w:hAnsi="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pPr>
              <w:pStyle w:val="128"/>
              <w:rPr>
                <w:rFonts w:ascii="Times New Roman" w:hAnsi="Times New Roman"/>
                <w:snapToGrid w:val="0"/>
              </w:rPr>
            </w:pPr>
            <w:r>
              <w:rPr>
                <w:rFonts w:hint="eastAsia" w:ascii="Times New Roman" w:hAnsi="Times New Roman"/>
                <w:snapToGrid w:val="0"/>
              </w:rPr>
              <w:t>《畜禽养殖业污染防治技术规范》（</w:t>
            </w:r>
            <w:r>
              <w:rPr>
                <w:rFonts w:ascii="Times New Roman" w:hAnsi="Times New Roman"/>
                <w:snapToGrid w:val="0"/>
              </w:rPr>
              <w:t>HJ/T81-2001</w:t>
            </w:r>
            <w:r>
              <w:rPr>
                <w:rFonts w:hint="eastAsia" w:ascii="Times New Roman" w:hAnsi="Times New Roman"/>
                <w:snapToGrid w:val="0"/>
              </w:rPr>
              <w:t>）</w:t>
            </w:r>
          </w:p>
        </w:tc>
        <w:tc>
          <w:tcPr>
            <w:tcW w:w="1687" w:type="pct"/>
            <w:vAlign w:val="center"/>
          </w:tcPr>
          <w:p>
            <w:pPr>
              <w:pStyle w:val="128"/>
              <w:jc w:val="left"/>
              <w:rPr>
                <w:rFonts w:ascii="Times New Roman" w:hAnsi="Times New Roman" w:eastAsia="宋体" w:cs="Times New Roman"/>
                <w:snapToGrid w:val="0"/>
              </w:rPr>
            </w:pPr>
            <w:r>
              <w:rPr>
                <w:rFonts w:hint="eastAsia" w:ascii="Times New Roman" w:hAnsi="Times New Roman"/>
                <w:snapToGrid w:val="0"/>
              </w:rPr>
              <w:t>禁止在下列区域内建设畜禽养殖场：</w:t>
            </w:r>
            <w:r>
              <w:rPr>
                <w:rFonts w:ascii="Times New Roman" w:hAnsi="Times New Roman"/>
                <w:snapToGrid w:val="0"/>
              </w:rPr>
              <w:t>a</w:t>
            </w:r>
            <w:r>
              <w:rPr>
                <w:rFonts w:hint="eastAsia" w:ascii="Times New Roman" w:hAnsi="Times New Roman"/>
                <w:snapToGrid w:val="0"/>
              </w:rPr>
              <w:t>生活饮用水水源保护区，风景名胜区、自然保护区的核心区和缓冲区；</w:t>
            </w:r>
            <w:r>
              <w:rPr>
                <w:rFonts w:ascii="Times New Roman" w:hAnsi="Times New Roman"/>
                <w:snapToGrid w:val="0"/>
              </w:rPr>
              <w:t>b</w:t>
            </w:r>
            <w:r>
              <w:rPr>
                <w:rFonts w:hint="eastAsia" w:ascii="Times New Roman" w:hAnsi="Times New Roman"/>
                <w:snapToGrid w:val="0"/>
              </w:rPr>
              <w:t>城市和城镇居民区，包括文教科研区、医疗区、商业区、工业区、游览区等人口集中地区；</w:t>
            </w:r>
            <w:r>
              <w:rPr>
                <w:rFonts w:ascii="Times New Roman" w:hAnsi="Times New Roman"/>
                <w:snapToGrid w:val="0"/>
              </w:rPr>
              <w:t>c</w:t>
            </w:r>
            <w:r>
              <w:rPr>
                <w:rFonts w:hint="eastAsia" w:ascii="Times New Roman" w:hAnsi="Times New Roman"/>
                <w:snapToGrid w:val="0"/>
              </w:rPr>
              <w:t>县级人民政府依法划定的禁养区域；</w:t>
            </w:r>
            <w:r>
              <w:rPr>
                <w:rFonts w:ascii="Times New Roman" w:hAnsi="Times New Roman"/>
                <w:snapToGrid w:val="0"/>
              </w:rPr>
              <w:t>d</w:t>
            </w:r>
            <w:r>
              <w:rPr>
                <w:rFonts w:hint="eastAsia" w:ascii="Times New Roman" w:hAnsi="Times New Roman"/>
                <w:snapToGrid w:val="0"/>
              </w:rPr>
              <w:t>国家或地方法律、法规规定需特殊保护的其他区域。</w:t>
            </w:r>
          </w:p>
          <w:p>
            <w:pPr>
              <w:pStyle w:val="128"/>
              <w:jc w:val="left"/>
              <w:rPr>
                <w:rFonts w:ascii="Times New Roman" w:hAnsi="Times New Roman"/>
                <w:snapToGrid w:val="0"/>
              </w:rPr>
            </w:pPr>
            <w:r>
              <w:rPr>
                <w:rFonts w:hint="eastAsia" w:ascii="Times New Roman" w:hAnsi="Times New Roman"/>
                <w:snapToGrid w:val="0"/>
              </w:rPr>
              <w:t>新建改建、扩建的畜禽养殖场选址应避开以上禁建区域。在禁建区域附近建设的，应设在禁建区域常年主导风向的下风向或侧风向处，场界与禁建区域边界的最小距离不得小于</w:t>
            </w:r>
            <w:r>
              <w:rPr>
                <w:rFonts w:ascii="Times New Roman" w:hAnsi="Times New Roman"/>
                <w:snapToGrid w:val="0"/>
              </w:rPr>
              <w:t>500m</w:t>
            </w:r>
            <w:r>
              <w:rPr>
                <w:rFonts w:hint="eastAsia" w:ascii="Times New Roman" w:hAnsi="Times New Roman"/>
                <w:snapToGrid w:val="0"/>
              </w:rPr>
              <w:t>。</w:t>
            </w:r>
          </w:p>
        </w:tc>
        <w:tc>
          <w:tcPr>
            <w:tcW w:w="1908" w:type="pct"/>
            <w:vAlign w:val="center"/>
          </w:tcPr>
          <w:p>
            <w:pPr>
              <w:pStyle w:val="128"/>
              <w:jc w:val="left"/>
              <w:rPr>
                <w:rFonts w:ascii="Times New Roman" w:hAnsi="Times New Roman"/>
                <w:snapToGrid w:val="0"/>
              </w:rPr>
            </w:pPr>
            <w:r>
              <w:rPr>
                <w:rFonts w:hint="eastAsia" w:ascii="Times New Roman" w:hAnsi="Times New Roman"/>
                <w:snapToGrid w:val="0"/>
              </w:rPr>
              <w:t>项目位于汾阳市峪道河镇田褚村西侧约1</w:t>
            </w:r>
            <w:r>
              <w:rPr>
                <w:rFonts w:ascii="Times New Roman" w:hAnsi="Times New Roman"/>
                <w:snapToGrid w:val="0"/>
              </w:rPr>
              <w:t>km</w:t>
            </w:r>
            <w:r>
              <w:rPr>
                <w:rFonts w:hint="eastAsia" w:ascii="Times New Roman" w:hAnsi="Times New Roman"/>
                <w:snapToGrid w:val="0"/>
              </w:rPr>
              <w:t>处，评价区域</w:t>
            </w:r>
            <w:r>
              <w:rPr>
                <w:rFonts w:ascii="Times New Roman" w:hAnsi="Times New Roman"/>
                <w:snapToGrid w:val="0"/>
                <w:lang w:val="en-US"/>
              </w:rPr>
              <w:t>500m</w:t>
            </w:r>
            <w:r>
              <w:rPr>
                <w:rFonts w:hint="eastAsia" w:ascii="Times New Roman" w:hAnsi="Times New Roman"/>
                <w:snapToGrid w:val="0"/>
                <w:lang w:val="en-US"/>
              </w:rPr>
              <w:t>范围内无敏感目标</w:t>
            </w:r>
            <w:r>
              <w:rPr>
                <w:rFonts w:hint="eastAsia" w:ascii="Times New Roman" w:hAnsi="Times New Roman"/>
                <w:snapToGrid w:val="0"/>
              </w:rPr>
              <w:t>。项目远离居民区，远离人员流动较大的道路和村庄。</w:t>
            </w:r>
          </w:p>
        </w:tc>
        <w:tc>
          <w:tcPr>
            <w:tcW w:w="423" w:type="pct"/>
            <w:vAlign w:val="center"/>
          </w:tcPr>
          <w:p>
            <w:pPr>
              <w:pStyle w:val="128"/>
              <w:rPr>
                <w:rFonts w:ascii="Times New Roman" w:hAnsi="Times New Roman"/>
                <w:snapToGrid w:val="0"/>
              </w:rPr>
            </w:pPr>
            <w:r>
              <w:rPr>
                <w:rFonts w:hint="eastAsia" w:ascii="Times New Roman" w:hAnsi="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pPr>
              <w:pStyle w:val="128"/>
              <w:rPr>
                <w:rFonts w:ascii="Times New Roman" w:hAnsi="Times New Roman"/>
                <w:snapToGrid w:val="0"/>
              </w:rPr>
            </w:pPr>
            <w:r>
              <w:rPr>
                <w:rFonts w:hint="eastAsia" w:ascii="Times New Roman" w:hAnsi="Times New Roman"/>
                <w:snapToGrid w:val="0"/>
              </w:rPr>
              <w:t>《畜禽养殖业污染防治技术政策》（环发</w:t>
            </w:r>
            <w:r>
              <w:rPr>
                <w:rFonts w:ascii="Times New Roman" w:hAnsi="Times New Roman"/>
                <w:snapToGrid w:val="0"/>
              </w:rPr>
              <w:t>[2010]151</w:t>
            </w:r>
            <w:r>
              <w:rPr>
                <w:rFonts w:hint="eastAsia" w:ascii="Times New Roman" w:hAnsi="Times New Roman"/>
                <w:snapToGrid w:val="0"/>
              </w:rPr>
              <w:t>号）</w:t>
            </w:r>
          </w:p>
        </w:tc>
        <w:tc>
          <w:tcPr>
            <w:tcW w:w="1687" w:type="pct"/>
            <w:vAlign w:val="center"/>
          </w:tcPr>
          <w:p>
            <w:pPr>
              <w:pStyle w:val="128"/>
              <w:jc w:val="left"/>
              <w:rPr>
                <w:rFonts w:ascii="Times New Roman" w:hAnsi="Times New Roman"/>
                <w:snapToGrid w:val="0"/>
              </w:rPr>
            </w:pPr>
            <w:r>
              <w:rPr>
                <w:rFonts w:hint="eastAsia" w:ascii="Times New Roman" w:hAnsi="Times New Roman"/>
                <w:snapToGrid w:val="0"/>
              </w:rPr>
              <w:t>畜禽养殖污染防治应遵循以下技术原则：</w:t>
            </w:r>
            <w:r>
              <w:rPr>
                <w:rFonts w:ascii="Times New Roman" w:hAnsi="Times New Roman"/>
                <w:snapToGrid w:val="0"/>
              </w:rPr>
              <w:t>“</w:t>
            </w:r>
            <w:r>
              <w:rPr>
                <w:rFonts w:hint="eastAsia" w:ascii="Times New Roman" w:hAnsi="Times New Roman"/>
                <w:snapToGrid w:val="0"/>
              </w:rPr>
              <w:t>全面规划、合理布局，贯彻执行当地人民政府颁布的畜禽养殖区划，严格遵守</w:t>
            </w:r>
            <w:r>
              <w:rPr>
                <w:rFonts w:ascii="Times New Roman" w:hAnsi="Times New Roman"/>
                <w:snapToGrid w:val="0"/>
              </w:rPr>
              <w:t>“</w:t>
            </w:r>
            <w:r>
              <w:rPr>
                <w:rFonts w:hint="eastAsia" w:ascii="Times New Roman" w:hAnsi="Times New Roman"/>
                <w:snapToGrid w:val="0"/>
              </w:rPr>
              <w:t>禁养区</w:t>
            </w:r>
            <w:r>
              <w:rPr>
                <w:rFonts w:ascii="Times New Roman" w:hAnsi="Times New Roman"/>
                <w:snapToGrid w:val="0"/>
              </w:rPr>
              <w:t>”</w:t>
            </w:r>
            <w:r>
              <w:rPr>
                <w:rFonts w:hint="eastAsia" w:ascii="Times New Roman" w:hAnsi="Times New Roman"/>
                <w:snapToGrid w:val="0"/>
              </w:rPr>
              <w:t>和</w:t>
            </w:r>
            <w:r>
              <w:rPr>
                <w:rFonts w:ascii="Times New Roman" w:hAnsi="Times New Roman"/>
                <w:snapToGrid w:val="0"/>
              </w:rPr>
              <w:t>“</w:t>
            </w:r>
            <w:r>
              <w:rPr>
                <w:rFonts w:hint="eastAsia" w:ascii="Times New Roman" w:hAnsi="Times New Roman"/>
                <w:snapToGrid w:val="0"/>
              </w:rPr>
              <w:t>限养区</w:t>
            </w:r>
            <w:r>
              <w:rPr>
                <w:rFonts w:ascii="Times New Roman" w:hAnsi="Times New Roman"/>
                <w:snapToGrid w:val="0"/>
              </w:rPr>
              <w:t>”</w:t>
            </w:r>
            <w:r>
              <w:rPr>
                <w:rFonts w:hint="eastAsia" w:ascii="Times New Roman" w:hAnsi="Times New Roman"/>
                <w:snapToGrid w:val="0"/>
              </w:rPr>
              <w:t>的规定，已有的畜禽养殖场（小区）应限期搬迁；结合当地城乡总体规划、环境保护规划和畜牧业发展规划，做好畜禽养殖污染防治规划，优化规模化畜禽养殖场（小区）及其污染防治设施的布局，避开饮用水水源地等环境敏感区域</w:t>
            </w:r>
            <w:r>
              <w:rPr>
                <w:rFonts w:ascii="Times New Roman" w:hAnsi="Times New Roman"/>
                <w:snapToGrid w:val="0"/>
              </w:rPr>
              <w:t>”</w:t>
            </w:r>
            <w:r>
              <w:rPr>
                <w:rFonts w:hint="eastAsia" w:ascii="Times New Roman" w:hAnsi="Times New Roman"/>
                <w:snapToGrid w:val="0"/>
              </w:rPr>
              <w:t>。</w:t>
            </w:r>
          </w:p>
        </w:tc>
        <w:tc>
          <w:tcPr>
            <w:tcW w:w="1908" w:type="pct"/>
            <w:vAlign w:val="center"/>
          </w:tcPr>
          <w:p>
            <w:pPr>
              <w:pStyle w:val="122"/>
              <w:spacing w:line="240" w:lineRule="auto"/>
              <w:ind w:firstLine="0" w:firstLineChars="0"/>
              <w:jc w:val="left"/>
              <w:rPr>
                <w:snapToGrid w:val="0"/>
              </w:rPr>
            </w:pPr>
            <w:r>
              <w:rPr>
                <w:rFonts w:hint="eastAsia"/>
                <w:snapToGrid w:val="0"/>
                <w:lang w:val="zh-CN"/>
              </w:rPr>
              <w:t>本项目的建设布局在设计阶段进行了合理规划和布局，</w:t>
            </w:r>
            <w:r>
              <w:rPr>
                <w:rFonts w:hint="eastAsia"/>
                <w:snapToGrid w:val="0"/>
                <w:szCs w:val="21"/>
              </w:rPr>
              <w:t>该地常年主导风向为西北风，</w:t>
            </w:r>
            <w:r>
              <w:rPr>
                <w:rFonts w:hint="eastAsia"/>
                <w:snapToGrid w:val="0"/>
                <w:lang w:val="zh-CN"/>
              </w:rPr>
              <w:t>最近的保护目标处于常年主导风向的侧风向，不涉及饮用水水源保护区等环境敏感区域；本项目不属于当地政府所划定的</w:t>
            </w:r>
            <w:r>
              <w:rPr>
                <w:snapToGrid w:val="0"/>
                <w:lang w:val="zh-CN"/>
              </w:rPr>
              <w:t>“</w:t>
            </w:r>
            <w:r>
              <w:rPr>
                <w:rFonts w:hint="eastAsia"/>
                <w:snapToGrid w:val="0"/>
                <w:lang w:val="zh-CN"/>
              </w:rPr>
              <w:t>禁养区</w:t>
            </w:r>
            <w:r>
              <w:rPr>
                <w:snapToGrid w:val="0"/>
                <w:lang w:val="zh-CN"/>
              </w:rPr>
              <w:t>”</w:t>
            </w:r>
            <w:r>
              <w:rPr>
                <w:rFonts w:hint="eastAsia"/>
                <w:snapToGrid w:val="0"/>
                <w:lang w:val="zh-CN"/>
              </w:rPr>
              <w:t>范围，因此，本项目符合《畜禽养殖业污染防治技术政策》（环发</w:t>
            </w:r>
            <w:r>
              <w:rPr>
                <w:snapToGrid w:val="0"/>
                <w:lang w:val="zh-CN"/>
              </w:rPr>
              <w:t>[2010]151</w:t>
            </w:r>
            <w:r>
              <w:rPr>
                <w:rFonts w:hint="eastAsia"/>
                <w:snapToGrid w:val="0"/>
                <w:lang w:val="zh-CN"/>
              </w:rPr>
              <w:t>号）中的相关规定。</w:t>
            </w:r>
          </w:p>
        </w:tc>
        <w:tc>
          <w:tcPr>
            <w:tcW w:w="423" w:type="pct"/>
            <w:vAlign w:val="center"/>
          </w:tcPr>
          <w:p>
            <w:pPr>
              <w:pStyle w:val="128"/>
              <w:rPr>
                <w:rFonts w:ascii="Times New Roman" w:hAnsi="Times New Roman"/>
                <w:snapToGrid w:val="0"/>
              </w:rPr>
            </w:pPr>
            <w:r>
              <w:rPr>
                <w:rFonts w:hint="eastAsia" w:ascii="Times New Roman" w:hAnsi="Times New Roman"/>
                <w:snapToGrid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pPr>
              <w:pStyle w:val="128"/>
              <w:jc w:val="both"/>
              <w:rPr>
                <w:rFonts w:ascii="Times New Roman" w:hAnsi="Times New Roman"/>
                <w:snapToGrid w:val="0"/>
              </w:rPr>
            </w:pPr>
            <w:bookmarkStart w:id="16" w:name="_Hlk532914814"/>
            <w:r>
              <w:rPr>
                <w:rFonts w:hint="eastAsia" w:ascii="Times New Roman" w:hAnsi="Times New Roman"/>
                <w:snapToGrid w:val="0"/>
              </w:rPr>
              <w:t>《汾阳市畜禽禁养区划定方案》</w:t>
            </w:r>
            <w:bookmarkEnd w:id="16"/>
          </w:p>
        </w:tc>
        <w:tc>
          <w:tcPr>
            <w:tcW w:w="1687" w:type="pct"/>
            <w:vAlign w:val="center"/>
          </w:tcPr>
          <w:p>
            <w:pPr>
              <w:pStyle w:val="128"/>
              <w:jc w:val="left"/>
              <w:rPr>
                <w:rFonts w:ascii="Times New Roman" w:hAnsi="Times New Roman"/>
                <w:snapToGrid w:val="0"/>
              </w:rPr>
            </w:pPr>
            <w:r>
              <w:rPr>
                <w:rFonts w:hint="eastAsia" w:ascii="Times New Roman" w:hAnsi="Times New Roman"/>
                <w:snapToGrid w:val="0"/>
              </w:rPr>
              <w:t>汾阳市畜禽养殖禁养区划分为</w:t>
            </w:r>
            <w:r>
              <w:rPr>
                <w:rFonts w:ascii="Times New Roman" w:hAnsi="Times New Roman"/>
                <w:snapToGrid w:val="0"/>
              </w:rPr>
              <w:t>34</w:t>
            </w:r>
            <w:r>
              <w:rPr>
                <w:rFonts w:hint="eastAsia" w:ascii="Times New Roman" w:hAnsi="Times New Roman"/>
                <w:snapToGrid w:val="0"/>
              </w:rPr>
              <w:t>片区，去除重叠部分，总面积为</w:t>
            </w:r>
            <w:r>
              <w:rPr>
                <w:rFonts w:ascii="Times New Roman" w:hAnsi="Times New Roman"/>
                <w:snapToGrid w:val="0"/>
              </w:rPr>
              <w:t>23.0366km</w:t>
            </w:r>
            <w:r>
              <w:rPr>
                <w:rFonts w:ascii="Times New Roman" w:hAnsi="Times New Roman"/>
                <w:snapToGrid w:val="0"/>
                <w:vertAlign w:val="superscript"/>
              </w:rPr>
              <w:t>2</w:t>
            </w:r>
            <w:r>
              <w:rPr>
                <w:rFonts w:hint="eastAsia" w:ascii="Times New Roman" w:hAnsi="Times New Roman"/>
                <w:snapToGrid w:val="0"/>
              </w:rPr>
              <w:t>。</w:t>
            </w:r>
          </w:p>
          <w:p>
            <w:pPr>
              <w:pStyle w:val="128"/>
              <w:jc w:val="left"/>
              <w:rPr>
                <w:rFonts w:ascii="Times New Roman" w:hAnsi="Times New Roman"/>
                <w:snapToGrid w:val="0"/>
              </w:rPr>
            </w:pPr>
            <w:bookmarkStart w:id="17" w:name="_Toc487472654"/>
            <w:bookmarkStart w:id="18" w:name="_Toc16734"/>
            <w:r>
              <w:rPr>
                <w:rFonts w:hint="eastAsia" w:ascii="Times New Roman" w:hAnsi="Times New Roman"/>
                <w:snapToGrid w:val="0"/>
              </w:rPr>
              <w:t>（</w:t>
            </w:r>
            <w:r>
              <w:rPr>
                <w:rFonts w:ascii="Times New Roman" w:hAnsi="Times New Roman"/>
                <w:snapToGrid w:val="0"/>
              </w:rPr>
              <w:t>1</w:t>
            </w:r>
            <w:r>
              <w:rPr>
                <w:rFonts w:hint="eastAsia" w:ascii="Times New Roman" w:hAnsi="Times New Roman"/>
                <w:snapToGrid w:val="0"/>
              </w:rPr>
              <w:t>）</w:t>
            </w:r>
            <w:bookmarkEnd w:id="17"/>
            <w:bookmarkEnd w:id="18"/>
            <w:r>
              <w:rPr>
                <w:rFonts w:hint="eastAsia" w:ascii="Times New Roman" w:hAnsi="Times New Roman"/>
                <w:snapToGrid w:val="0"/>
              </w:rPr>
              <w:t>各级水源地保护区边界，总面积合计</w:t>
            </w:r>
            <w:r>
              <w:rPr>
                <w:rFonts w:ascii="Times New Roman" w:hAnsi="Times New Roman"/>
                <w:snapToGrid w:val="0"/>
              </w:rPr>
              <w:t>2.0966km</w:t>
            </w:r>
            <w:r>
              <w:rPr>
                <w:rFonts w:ascii="Times New Roman" w:hAnsi="Times New Roman"/>
                <w:snapToGrid w:val="0"/>
                <w:vertAlign w:val="superscript"/>
              </w:rPr>
              <w:t>2</w:t>
            </w:r>
            <w:r>
              <w:rPr>
                <w:rFonts w:hint="eastAsia" w:ascii="Times New Roman" w:hAnsi="Times New Roman"/>
                <w:snapToGrid w:val="0"/>
              </w:rPr>
              <w:t>；。</w:t>
            </w:r>
          </w:p>
          <w:p>
            <w:pPr>
              <w:pStyle w:val="128"/>
              <w:jc w:val="left"/>
              <w:rPr>
                <w:snapToGrid w:val="0"/>
                <w:sz w:val="24"/>
                <w:szCs w:val="24"/>
              </w:rPr>
            </w:pPr>
            <w:bookmarkStart w:id="19" w:name="_Toc487472655"/>
            <w:bookmarkStart w:id="20" w:name="_Toc2104"/>
            <w:r>
              <w:rPr>
                <w:rFonts w:hint="eastAsia" w:ascii="Times New Roman" w:hAnsi="Times New Roman"/>
                <w:snapToGrid w:val="0"/>
              </w:rPr>
              <w:t>（</w:t>
            </w:r>
            <w:r>
              <w:rPr>
                <w:rFonts w:ascii="Times New Roman" w:hAnsi="Times New Roman"/>
                <w:snapToGrid w:val="0"/>
              </w:rPr>
              <w:t>2</w:t>
            </w:r>
            <w:r>
              <w:rPr>
                <w:rFonts w:hint="eastAsia" w:ascii="Times New Roman" w:hAnsi="Times New Roman"/>
                <w:snapToGrid w:val="0"/>
              </w:rPr>
              <w:t>）</w:t>
            </w:r>
            <w:bookmarkEnd w:id="19"/>
            <w:bookmarkEnd w:id="20"/>
            <w:r>
              <w:rPr>
                <w:rFonts w:hint="eastAsia" w:ascii="Times New Roman" w:hAnsi="Times New Roman"/>
                <w:snapToGrid w:val="0"/>
              </w:rPr>
              <w:t>汾阳市中心城区禁养区1片，面积为20.94km</w:t>
            </w:r>
            <w:r>
              <w:rPr>
                <w:rFonts w:hint="eastAsia" w:ascii="Times New Roman" w:hAnsi="Times New Roman"/>
                <w:snapToGrid w:val="0"/>
                <w:vertAlign w:val="superscript"/>
              </w:rPr>
              <w:t>2</w:t>
            </w:r>
            <w:r>
              <w:rPr>
                <w:rFonts w:hint="eastAsia" w:ascii="Times New Roman" w:hAnsi="Times New Roman"/>
                <w:snapToGrid w:val="0"/>
              </w:rPr>
              <w:t>。</w:t>
            </w:r>
          </w:p>
        </w:tc>
        <w:tc>
          <w:tcPr>
            <w:tcW w:w="1908" w:type="pct"/>
            <w:vAlign w:val="center"/>
          </w:tcPr>
          <w:p>
            <w:pPr>
              <w:jc w:val="left"/>
              <w:rPr>
                <w:snapToGrid w:val="0"/>
              </w:rPr>
            </w:pPr>
            <w:r>
              <w:rPr>
                <w:rFonts w:hint="eastAsia"/>
                <w:szCs w:val="21"/>
                <w:lang w:val="zh-CN"/>
              </w:rPr>
              <w:t>本项目选址不在饮用水水源保护区一级保护区范围内、不在自然保护区核心区和缓冲区范围内，不在市政府所在地的建成区及与城区相连接的城关镇，本项目选址不在《</w:t>
            </w:r>
            <w:r>
              <w:rPr>
                <w:rFonts w:hint="eastAsia"/>
                <w:snapToGrid w:val="0"/>
              </w:rPr>
              <w:t>汾阳市畜禽禁养区划定方案</w:t>
            </w:r>
            <w:r>
              <w:rPr>
                <w:rFonts w:hint="eastAsia"/>
                <w:szCs w:val="21"/>
                <w:lang w:val="zh-CN"/>
              </w:rPr>
              <w:t>》范围内，选址合理。</w:t>
            </w:r>
          </w:p>
        </w:tc>
        <w:tc>
          <w:tcPr>
            <w:tcW w:w="423" w:type="pct"/>
            <w:vAlign w:val="center"/>
          </w:tcPr>
          <w:p>
            <w:pPr>
              <w:pStyle w:val="128"/>
              <w:rPr>
                <w:rFonts w:ascii="Times New Roman" w:hAnsi="Times New Roman"/>
                <w:snapToGrid w:val="0"/>
              </w:rPr>
            </w:pPr>
            <w:r>
              <w:rPr>
                <w:rFonts w:hint="eastAsia" w:ascii="Times New Roman" w:hAnsi="Times New Roman"/>
                <w:snapToGrid w:val="0"/>
              </w:rPr>
              <w:t>符合</w:t>
            </w:r>
          </w:p>
        </w:tc>
      </w:tr>
    </w:tbl>
    <w:p>
      <w:pPr>
        <w:pStyle w:val="48"/>
        <w:spacing w:line="480" w:lineRule="exact"/>
        <w:ind w:firstLine="480" w:firstLineChars="200"/>
        <w:jc w:val="left"/>
        <w:rPr>
          <w:rFonts w:ascii="黑体" w:hAnsi="黑体" w:eastAsia="黑体"/>
          <w:bCs/>
        </w:rPr>
      </w:pPr>
      <w:r>
        <w:rPr>
          <w:rFonts w:hint="eastAsia"/>
          <w:snapToGrid w:val="0"/>
        </w:rPr>
        <w:t>本项目与汾阳市畜禽养殖禁养区相对位置图见图1.4-1。</w:t>
      </w:r>
    </w:p>
    <w:p>
      <w:pPr>
        <w:pStyle w:val="59"/>
        <w:keepNext/>
        <w:keepLines/>
        <w:widowControl w:val="0"/>
        <w:spacing w:line="480" w:lineRule="exact"/>
        <w:outlineLvl w:val="2"/>
        <w:rPr>
          <w:rFonts w:cs="Times New Roman"/>
          <w:b/>
        </w:rPr>
      </w:pPr>
      <w:r>
        <w:rPr>
          <w:rFonts w:hint="eastAsia" w:cs="Times New Roman"/>
          <w:b/>
        </w:rPr>
        <w:t>1</w:t>
      </w:r>
      <w:r>
        <w:rPr>
          <w:rFonts w:cs="Times New Roman"/>
          <w:b/>
        </w:rPr>
        <w:t>.</w:t>
      </w:r>
      <w:r>
        <w:rPr>
          <w:rFonts w:hint="eastAsia" w:cs="Times New Roman"/>
          <w:b/>
        </w:rPr>
        <w:t>4.4</w:t>
      </w:r>
      <w:r>
        <w:rPr>
          <w:rFonts w:hint="eastAsia" w:ascii="宋体" w:hAnsi="宋体" w:eastAsia="宋体" w:cs="Times New Roman"/>
          <w:b/>
        </w:rPr>
        <w:t>与《关于做好畜禽规模养殖项目环境影响评价管理工作的通知》（环办环评〔</w:t>
      </w:r>
      <w:r>
        <w:rPr>
          <w:rFonts w:ascii="宋体" w:hAnsi="宋体" w:eastAsia="宋体" w:cs="Times New Roman"/>
          <w:b/>
        </w:rPr>
        <w:t>2018</w:t>
      </w:r>
      <w:r>
        <w:rPr>
          <w:rFonts w:hint="eastAsia" w:ascii="宋体" w:hAnsi="宋体" w:eastAsia="宋体" w:cs="Times New Roman"/>
          <w:b/>
        </w:rPr>
        <w:t>〕</w:t>
      </w:r>
      <w:r>
        <w:rPr>
          <w:rFonts w:ascii="宋体" w:hAnsi="宋体" w:eastAsia="宋体" w:cs="Times New Roman"/>
          <w:b/>
        </w:rPr>
        <w:t>31</w:t>
      </w:r>
      <w:r>
        <w:rPr>
          <w:rFonts w:hint="eastAsia" w:ascii="宋体" w:hAnsi="宋体" w:eastAsia="宋体" w:cs="Times New Roman"/>
          <w:b/>
        </w:rPr>
        <w:t>号）符合性分析</w:t>
      </w:r>
    </w:p>
    <w:p>
      <w:pPr>
        <w:pStyle w:val="48"/>
        <w:spacing w:line="480" w:lineRule="exact"/>
        <w:ind w:firstLine="480" w:firstLineChars="200"/>
        <w:rPr>
          <w:kern w:val="0"/>
        </w:rPr>
      </w:pPr>
      <w:r>
        <w:rPr>
          <w:rFonts w:hint="eastAsia"/>
          <w:kern w:val="0"/>
        </w:rPr>
        <w:t>本项目与</w:t>
      </w:r>
      <w:r>
        <w:rPr>
          <w:rFonts w:hint="eastAsia"/>
        </w:rPr>
        <w:t>《关于做好畜禽规模养殖项目环境影响评价管理工作的通知》（环办环评〔</w:t>
      </w:r>
      <w:r>
        <w:t>2018</w:t>
      </w:r>
      <w:r>
        <w:rPr>
          <w:rFonts w:hint="eastAsia"/>
        </w:rPr>
        <w:t>〕</w:t>
      </w:r>
      <w:r>
        <w:t>31</w:t>
      </w:r>
      <w:r>
        <w:rPr>
          <w:rFonts w:hint="eastAsia"/>
        </w:rPr>
        <w:t>号）符合性分析见下表。</w:t>
      </w:r>
    </w:p>
    <w:p>
      <w:pPr>
        <w:pStyle w:val="132"/>
        <w:spacing w:line="480" w:lineRule="exact"/>
        <w:rPr>
          <w:rFonts w:ascii="Times New Roman" w:hAnsi="Times New Roman"/>
          <w:sz w:val="24"/>
          <w:szCs w:val="24"/>
        </w:rPr>
      </w:pPr>
      <w:r>
        <w:rPr>
          <w:rFonts w:hint="eastAsia" w:ascii="Times New Roman" w:hAnsi="Times New Roman"/>
          <w:sz w:val="24"/>
          <w:szCs w:val="24"/>
        </w:rPr>
        <w:t>表1.4-3 与《关于做好畜禽规模养殖项目环境影响评价管理工作的通知》符合性分析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4329"/>
        <w:gridCol w:w="2879"/>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pct"/>
            <w:vAlign w:val="center"/>
          </w:tcPr>
          <w:p>
            <w:pPr>
              <w:pStyle w:val="128"/>
              <w:rPr>
                <w:rFonts w:ascii="Times New Roman" w:hAnsi="Times New Roman" w:eastAsia="宋体" w:cs="Times New Roman"/>
              </w:rPr>
            </w:pPr>
            <w:r>
              <w:rPr>
                <w:rFonts w:hint="eastAsia" w:ascii="Times New Roman" w:hAnsi="Times New Roman"/>
              </w:rPr>
              <w:t>政策</w:t>
            </w:r>
          </w:p>
          <w:p>
            <w:pPr>
              <w:pStyle w:val="128"/>
              <w:rPr>
                <w:rFonts w:ascii="Times New Roman" w:hAnsi="Times New Roman"/>
              </w:rPr>
            </w:pPr>
            <w:r>
              <w:rPr>
                <w:rFonts w:hint="eastAsia" w:ascii="Times New Roman" w:hAnsi="Times New Roman"/>
              </w:rPr>
              <w:t>内容</w:t>
            </w:r>
          </w:p>
        </w:tc>
        <w:tc>
          <w:tcPr>
            <w:tcW w:w="2389" w:type="pct"/>
            <w:vAlign w:val="center"/>
          </w:tcPr>
          <w:p>
            <w:pPr>
              <w:pStyle w:val="128"/>
              <w:rPr>
                <w:rFonts w:ascii="Times New Roman" w:hAnsi="Times New Roman"/>
              </w:rPr>
            </w:pPr>
            <w:r>
              <w:rPr>
                <w:rFonts w:hint="eastAsia" w:ascii="Times New Roman" w:hAnsi="Times New Roman"/>
              </w:rPr>
              <w:t>要求</w:t>
            </w:r>
          </w:p>
        </w:tc>
        <w:tc>
          <w:tcPr>
            <w:tcW w:w="1589" w:type="pct"/>
            <w:vAlign w:val="center"/>
          </w:tcPr>
          <w:p>
            <w:pPr>
              <w:pStyle w:val="128"/>
              <w:rPr>
                <w:rFonts w:ascii="Times New Roman" w:hAnsi="Times New Roman"/>
              </w:rPr>
            </w:pPr>
            <w:r>
              <w:rPr>
                <w:rFonts w:hint="eastAsia" w:ascii="Times New Roman" w:hAnsi="Times New Roman"/>
              </w:rPr>
              <w:t>符合性分析</w:t>
            </w:r>
          </w:p>
        </w:tc>
        <w:tc>
          <w:tcPr>
            <w:tcW w:w="424" w:type="pct"/>
            <w:vAlign w:val="center"/>
          </w:tcPr>
          <w:p>
            <w:pPr>
              <w:pStyle w:val="128"/>
              <w:rPr>
                <w:rFonts w:ascii="Times New Roman" w:hAnsi="Times New Roman"/>
              </w:rPr>
            </w:pPr>
            <w:r>
              <w:rPr>
                <w:rFonts w:hint="eastAsia" w:ascii="Times New Roman" w:hAnsi="Times New Roma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pct"/>
            <w:vAlign w:val="center"/>
          </w:tcPr>
          <w:p>
            <w:pPr>
              <w:pStyle w:val="128"/>
              <w:rPr>
                <w:rFonts w:ascii="Times New Roman" w:hAnsi="Times New Roman"/>
              </w:rPr>
            </w:pPr>
            <w:r>
              <w:rPr>
                <w:rFonts w:hint="eastAsia" w:ascii="Times New Roman" w:hAnsi="Times New Roman"/>
              </w:rPr>
              <w:t>一、优化项目选址，合理布置养殖场区</w:t>
            </w:r>
          </w:p>
        </w:tc>
        <w:tc>
          <w:tcPr>
            <w:tcW w:w="2389" w:type="pct"/>
            <w:vAlign w:val="center"/>
          </w:tcPr>
          <w:p>
            <w:pPr>
              <w:pStyle w:val="128"/>
              <w:rPr>
                <w:rFonts w:ascii="Times New Roman" w:hAnsi="Times New Roman" w:eastAsia="宋体" w:cs="Times New Roman"/>
              </w:rPr>
            </w:pPr>
            <w:r>
              <w:rPr>
                <w:rFonts w:hint="eastAsia" w:ascii="Times New Roman" w:hAnsi="Times New Roman"/>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p>
            <w:pPr>
              <w:pStyle w:val="128"/>
              <w:jc w:val="left"/>
              <w:rPr>
                <w:rFonts w:ascii="Times New Roman" w:hAnsi="Times New Roman"/>
              </w:rPr>
            </w:pPr>
            <w:r>
              <w:rPr>
                <w:rFonts w:hint="eastAsia" w:ascii="Times New Roman" w:hAnsi="Times New Roman"/>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w:t>
            </w:r>
            <w:r>
              <w:rPr>
                <w:rFonts w:ascii="Times New Roman" w:hAnsi="Times New Roman"/>
              </w:rPr>
              <w:t xml:space="preserve"> </w:t>
            </w:r>
            <w:r>
              <w:rPr>
                <w:rFonts w:hint="eastAsia" w:ascii="Times New Roman" w:hAnsi="Times New Roman"/>
              </w:rPr>
              <w:t>大气环境》要求计算大气环境防护距离，作为养殖场选址以及周边规划控制的依据，减轻对周围环境保护目标的不利影响。</w:t>
            </w:r>
          </w:p>
        </w:tc>
        <w:tc>
          <w:tcPr>
            <w:tcW w:w="1589" w:type="pct"/>
            <w:vAlign w:val="center"/>
          </w:tcPr>
          <w:p>
            <w:pPr>
              <w:pStyle w:val="128"/>
              <w:jc w:val="left"/>
              <w:rPr>
                <w:rFonts w:ascii="Times New Roman" w:hAnsi="Times New Roman"/>
              </w:rPr>
            </w:pPr>
            <w:r>
              <w:rPr>
                <w:rFonts w:hint="eastAsia" w:ascii="Times New Roman" w:hAnsi="Times New Roman"/>
              </w:rPr>
              <w:t>选址不在当地划定的禁止养殖区域，并与区域主体功能区规划、环境功能区划等规划相协调；优化了养殖场区内部布置；畜禽养殖区及畜禽粪污贮存、处理和畜禽尸体无害化处理等产生恶臭影响的设施位于养殖场区主导风向的下风向位置，污水处理站采取地埋式设计减少恶臭污染物对周围环境的影响，</w:t>
            </w:r>
            <w:r>
              <w:rPr>
                <w:rFonts w:hint="eastAsia" w:ascii="Times New Roman" w:hAnsi="Times New Roman"/>
                <w:snapToGrid w:val="0"/>
              </w:rPr>
              <w:t>鸡舍</w:t>
            </w:r>
            <w:r>
              <w:rPr>
                <w:rFonts w:hint="eastAsia" w:ascii="Times New Roman" w:hAnsi="Times New Roman"/>
              </w:rPr>
              <w:t>在日粮中添加</w:t>
            </w:r>
            <w:r>
              <w:rPr>
                <w:rFonts w:ascii="Times New Roman" w:hAnsi="Times New Roman"/>
              </w:rPr>
              <w:t>EM</w:t>
            </w:r>
            <w:r>
              <w:rPr>
                <w:rFonts w:hint="eastAsia" w:ascii="Times New Roman" w:hAnsi="Times New Roman"/>
              </w:rPr>
              <w:t>菌，在</w:t>
            </w:r>
            <w:r>
              <w:rPr>
                <w:rFonts w:hint="eastAsia" w:ascii="Times New Roman" w:hAnsi="Times New Roman"/>
                <w:snapToGrid w:val="0"/>
              </w:rPr>
              <w:t>鸡舍</w:t>
            </w:r>
            <w:r>
              <w:rPr>
                <w:rFonts w:hint="eastAsia" w:ascii="Times New Roman" w:hAnsi="Times New Roman"/>
              </w:rPr>
              <w:t>喷洒植物除臭剂等措施降低恶臭的影响，项目选址距离居民较远，满足大气防护距离及卫生防护距离，对周围环境的不利影响较小。</w:t>
            </w:r>
            <w:r>
              <w:rPr>
                <w:rFonts w:ascii="Times New Roman" w:hAnsi="Times New Roman"/>
              </w:rPr>
              <w:t xml:space="preserve"> </w:t>
            </w:r>
          </w:p>
        </w:tc>
        <w:tc>
          <w:tcPr>
            <w:tcW w:w="424" w:type="pct"/>
            <w:vAlign w:val="center"/>
          </w:tcPr>
          <w:p>
            <w:pPr>
              <w:pStyle w:val="128"/>
              <w:rPr>
                <w:rFonts w:ascii="Times New Roman" w:hAnsi="Times New Roman"/>
              </w:rPr>
            </w:pPr>
            <w:r>
              <w:rPr>
                <w:rFonts w:hint="eastAsia" w:ascii="Times New Roman" w:hAnsi="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pct"/>
            <w:vAlign w:val="center"/>
          </w:tcPr>
          <w:p>
            <w:pPr>
              <w:pStyle w:val="128"/>
              <w:rPr>
                <w:rFonts w:ascii="Times New Roman" w:hAnsi="Times New Roman"/>
              </w:rPr>
            </w:pPr>
            <w:r>
              <w:rPr>
                <w:rFonts w:hint="eastAsia" w:ascii="Times New Roman" w:hAnsi="Times New Roman"/>
              </w:rPr>
              <w:t>二、加强粪污减量控制，促进畜禽养殖粪污资源化利用</w:t>
            </w:r>
          </w:p>
        </w:tc>
        <w:tc>
          <w:tcPr>
            <w:tcW w:w="2389" w:type="pct"/>
            <w:vAlign w:val="center"/>
          </w:tcPr>
          <w:p>
            <w:pPr>
              <w:pStyle w:val="128"/>
              <w:rPr>
                <w:rFonts w:ascii="Times New Roman" w:hAnsi="Times New Roman" w:eastAsia="宋体" w:cs="Times New Roman"/>
              </w:rPr>
            </w:pPr>
            <w:r>
              <w:rPr>
                <w:rFonts w:hint="eastAsia" w:ascii="Times New Roman" w:hAnsi="Times New Roman"/>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p>
            <w:pPr>
              <w:pStyle w:val="128"/>
              <w:jc w:val="left"/>
              <w:rPr>
                <w:rFonts w:ascii="Times New Roman" w:hAnsi="Times New Roman"/>
              </w:rPr>
            </w:pPr>
            <w:r>
              <w:rPr>
                <w:rFonts w:hint="eastAsia" w:ascii="Times New Roman" w:hAnsi="Times New Roman"/>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种养结合”绿色发展。</w:t>
            </w:r>
          </w:p>
          <w:p>
            <w:pPr>
              <w:pStyle w:val="128"/>
              <w:jc w:val="left"/>
              <w:rPr>
                <w:rFonts w:ascii="Times New Roman" w:hAnsi="Times New Roman"/>
              </w:rPr>
            </w:pPr>
            <w:r>
              <w:rPr>
                <w:rFonts w:hint="eastAsia" w:ascii="Times New Roman" w:hAnsi="Times New Roman"/>
              </w:rPr>
              <w:t>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当土地消纳能力不足时，应进一步提高资源化利用能力或适当减少养殖规模。鼓励依托符合环保要求的专业化粪污处理利用企业，提高畜禽养殖粪污集中收集利用能力。环评应明确畜禽养殖粪污资源化利用的主体，严格落实利用渠道或途径，确保资源化利用有效实施。</w:t>
            </w:r>
          </w:p>
        </w:tc>
        <w:tc>
          <w:tcPr>
            <w:tcW w:w="1589" w:type="pct"/>
            <w:vAlign w:val="center"/>
          </w:tcPr>
          <w:p>
            <w:pPr>
              <w:pStyle w:val="128"/>
              <w:jc w:val="left"/>
              <w:rPr>
                <w:rFonts w:ascii="Times New Roman" w:hAnsi="Times New Roman" w:eastAsia="宋体" w:cs="Times New Roman"/>
              </w:rPr>
            </w:pPr>
            <w:r>
              <w:rPr>
                <w:rFonts w:hint="eastAsia" w:ascii="Times New Roman" w:hAnsi="Times New Roman"/>
              </w:rPr>
              <w:t>项目采取优化饲料配方、提高饲养技术等措施，采取干清粪方式，粪污每日清理，并对其进行了土地承载能力测算，畜禽养殖粪污资源化利用的主体为建设单位，粪污还田采用拉运的方式</w:t>
            </w:r>
          </w:p>
          <w:p>
            <w:pPr>
              <w:pStyle w:val="128"/>
              <w:rPr>
                <w:rFonts w:ascii="Times New Roman" w:hAnsi="Times New Roman"/>
              </w:rPr>
            </w:pPr>
          </w:p>
        </w:tc>
        <w:tc>
          <w:tcPr>
            <w:tcW w:w="424" w:type="pct"/>
            <w:vAlign w:val="center"/>
          </w:tcPr>
          <w:p>
            <w:pPr>
              <w:pStyle w:val="128"/>
              <w:rPr>
                <w:rFonts w:ascii="Times New Roman" w:hAnsi="Times New Roman"/>
              </w:rPr>
            </w:pPr>
            <w:r>
              <w:rPr>
                <w:rFonts w:hint="eastAsia" w:ascii="Times New Roman" w:hAnsi="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pct"/>
            <w:vAlign w:val="center"/>
          </w:tcPr>
          <w:p>
            <w:pPr>
              <w:pStyle w:val="128"/>
              <w:rPr>
                <w:rFonts w:ascii="Times New Roman" w:hAnsi="Times New Roman"/>
              </w:rPr>
            </w:pPr>
            <w:r>
              <w:rPr>
                <w:rFonts w:hint="eastAsia" w:ascii="Times New Roman" w:hAnsi="Times New Roman"/>
              </w:rPr>
              <w:t>三、强化粪污治理措施，做好污染防治</w:t>
            </w:r>
          </w:p>
        </w:tc>
        <w:tc>
          <w:tcPr>
            <w:tcW w:w="2389" w:type="pct"/>
            <w:vAlign w:val="center"/>
          </w:tcPr>
          <w:p>
            <w:pPr>
              <w:pStyle w:val="128"/>
              <w:jc w:val="left"/>
              <w:rPr>
                <w:rFonts w:ascii="Times New Roman" w:hAnsi="Times New Roman" w:eastAsia="宋体" w:cs="Times New Roman"/>
              </w:rPr>
            </w:pPr>
            <w:r>
              <w:rPr>
                <w:rFonts w:hint="eastAsia" w:ascii="Times New Roman" w:hAnsi="Times New Roman"/>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p>
            <w:pPr>
              <w:pStyle w:val="128"/>
              <w:jc w:val="left"/>
              <w:rPr>
                <w:rFonts w:ascii="Times New Roman" w:hAnsi="Times New Roman"/>
              </w:rPr>
            </w:pPr>
            <w:r>
              <w:rPr>
                <w:rFonts w:hint="eastAsia" w:ascii="Times New Roman" w:hAnsi="Times New Roman"/>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p>
            <w:pPr>
              <w:pStyle w:val="128"/>
              <w:jc w:val="left"/>
              <w:rPr>
                <w:rFonts w:ascii="Times New Roman" w:hAnsi="Times New Roman"/>
              </w:rPr>
            </w:pPr>
            <w:r>
              <w:rPr>
                <w:rFonts w:hint="eastAsia" w:ascii="Times New Roman" w:hAnsi="Times New Roman"/>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p>
            <w:pPr>
              <w:pStyle w:val="128"/>
              <w:jc w:val="left"/>
              <w:rPr>
                <w:rFonts w:ascii="Times New Roman" w:hAnsi="Times New Roman"/>
              </w:rPr>
            </w:pPr>
            <w:r>
              <w:rPr>
                <w:rFonts w:hint="eastAsia" w:ascii="Times New Roman" w:hAnsi="Times New Roman"/>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tc>
        <w:tc>
          <w:tcPr>
            <w:tcW w:w="1589" w:type="pct"/>
            <w:vAlign w:val="center"/>
          </w:tcPr>
          <w:p>
            <w:pPr>
              <w:pStyle w:val="128"/>
              <w:jc w:val="left"/>
              <w:rPr>
                <w:rFonts w:ascii="Times New Roman" w:hAnsi="Times New Roman"/>
              </w:rPr>
            </w:pPr>
            <w:r>
              <w:rPr>
                <w:rFonts w:hint="eastAsia" w:ascii="Times New Roman" w:hAnsi="Times New Roman"/>
              </w:rPr>
              <w:t>本环评强化了对粪污的治理措施，加强了畜禽养殖粪污资源化利用过程中的污染控制。明确了畜禽粪污处理和利用措施，采取有效的防雨、防渗和防溢流措施，防止畜禽粪污污染地下水。粪污处理日产日清，拉运方式处理；制定了明确的病死畜禽处理、处置方案，及时处理病死畜禽，采取控制饲养密度、改善舍内通风、及时清粪、采用除臭剂、集中收集处理等措施，确保项目恶臭污染物达标排放。</w:t>
            </w:r>
          </w:p>
        </w:tc>
        <w:tc>
          <w:tcPr>
            <w:tcW w:w="424" w:type="pct"/>
            <w:vAlign w:val="center"/>
          </w:tcPr>
          <w:p>
            <w:pPr>
              <w:pStyle w:val="128"/>
              <w:rPr>
                <w:rFonts w:ascii="Times New Roman" w:hAnsi="Times New Roman"/>
              </w:rPr>
            </w:pPr>
            <w:r>
              <w:rPr>
                <w:rFonts w:hint="eastAsia" w:ascii="Times New Roman" w:hAnsi="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pct"/>
            <w:vAlign w:val="center"/>
          </w:tcPr>
          <w:p>
            <w:pPr>
              <w:pStyle w:val="128"/>
              <w:rPr>
                <w:rFonts w:ascii="Times New Roman" w:hAnsi="Times New Roman"/>
              </w:rPr>
            </w:pPr>
            <w:r>
              <w:rPr>
                <w:rFonts w:hint="eastAsia" w:ascii="Times New Roman" w:hAnsi="Times New Roman"/>
              </w:rPr>
              <w:t>四、落实环评信息公开要求，发挥公众参与的监督作用</w:t>
            </w:r>
          </w:p>
        </w:tc>
        <w:tc>
          <w:tcPr>
            <w:tcW w:w="2389" w:type="pct"/>
            <w:vAlign w:val="center"/>
          </w:tcPr>
          <w:p>
            <w:pPr>
              <w:pStyle w:val="128"/>
              <w:jc w:val="left"/>
              <w:rPr>
                <w:rFonts w:ascii="Times New Roman" w:hAnsi="Times New Roman"/>
              </w:rPr>
            </w:pPr>
            <w:r>
              <w:rPr>
                <w:rFonts w:hint="eastAsia" w:ascii="Times New Roman" w:hAnsi="Times New Roman"/>
              </w:rPr>
              <w:t>建设单位在项目环评报告书报送审批前，应采取适当形式，遵循依法、有序、公开、便利的原则，公开征求意见并对真实性和结果负责。</w:t>
            </w:r>
          </w:p>
        </w:tc>
        <w:tc>
          <w:tcPr>
            <w:tcW w:w="1589" w:type="pct"/>
            <w:vAlign w:val="center"/>
          </w:tcPr>
          <w:p>
            <w:pPr>
              <w:pStyle w:val="128"/>
              <w:rPr>
                <w:rFonts w:ascii="Times New Roman" w:hAnsi="Times New Roman"/>
              </w:rPr>
            </w:pPr>
            <w:r>
              <w:rPr>
                <w:rFonts w:hint="eastAsia" w:ascii="Times New Roman" w:hAnsi="Times New Roman"/>
              </w:rPr>
              <w:t>建设单位在项目环评报告书报送审批前，采取了网站、报纸，公开征求了公众的意见，并对真实性和结果负责。</w:t>
            </w:r>
          </w:p>
        </w:tc>
        <w:tc>
          <w:tcPr>
            <w:tcW w:w="424" w:type="pct"/>
            <w:vAlign w:val="center"/>
          </w:tcPr>
          <w:p>
            <w:pPr>
              <w:pStyle w:val="128"/>
              <w:rPr>
                <w:rFonts w:ascii="Times New Roman" w:hAnsi="Times New Roman"/>
              </w:rPr>
            </w:pPr>
            <w:r>
              <w:rPr>
                <w:rFonts w:hint="eastAsia" w:ascii="Times New Roman" w:hAnsi="Times New Roman"/>
              </w:rPr>
              <w:t>符合</w:t>
            </w:r>
          </w:p>
        </w:tc>
      </w:tr>
    </w:tbl>
    <w:p>
      <w:pPr>
        <w:pStyle w:val="51"/>
        <w:spacing w:before="156" w:beforeLines="50" w:after="0" w:line="480" w:lineRule="exact"/>
        <w:rPr>
          <w:rFonts w:ascii="宋体" w:hAnsi="宋体" w:eastAsia="宋体"/>
          <w:b/>
          <w:sz w:val="28"/>
          <w:szCs w:val="28"/>
        </w:rPr>
      </w:pPr>
      <w:bookmarkStart w:id="21" w:name="_Toc19105445"/>
      <w:r>
        <w:rPr>
          <w:b/>
          <w:sz w:val="28"/>
          <w:szCs w:val="28"/>
        </w:rPr>
        <w:t>1.</w:t>
      </w:r>
      <w:r>
        <w:rPr>
          <w:rFonts w:hint="eastAsia"/>
          <w:b/>
          <w:sz w:val="28"/>
          <w:szCs w:val="28"/>
        </w:rPr>
        <w:t>5</w:t>
      </w:r>
      <w:r>
        <w:rPr>
          <w:rFonts w:hint="eastAsia" w:ascii="宋体" w:hAnsi="宋体" w:eastAsia="宋体"/>
          <w:b/>
          <w:sz w:val="28"/>
          <w:szCs w:val="28"/>
        </w:rPr>
        <w:t>关注的主要环境问题及环境影响</w:t>
      </w:r>
      <w:bookmarkEnd w:id="21"/>
    </w:p>
    <w:p>
      <w:pPr>
        <w:pStyle w:val="57"/>
        <w:keepNext/>
        <w:keepLines/>
        <w:spacing w:before="0" w:after="0" w:line="480" w:lineRule="exact"/>
        <w:ind w:firstLine="0" w:firstLineChars="0"/>
        <w:outlineLvl w:val="2"/>
        <w:rPr>
          <w:b/>
        </w:rPr>
      </w:pPr>
      <w:bookmarkStart w:id="22" w:name="_Toc402456220"/>
      <w:bookmarkStart w:id="23" w:name="_Toc343345088"/>
      <w:r>
        <w:rPr>
          <w:rFonts w:hint="eastAsia"/>
          <w:b/>
        </w:rPr>
        <w:t>1</w:t>
      </w:r>
      <w:r>
        <w:rPr>
          <w:b/>
        </w:rPr>
        <w:t>.</w:t>
      </w:r>
      <w:r>
        <w:rPr>
          <w:rFonts w:hint="eastAsia"/>
          <w:b/>
        </w:rPr>
        <w:t>5</w:t>
      </w:r>
      <w:r>
        <w:rPr>
          <w:b/>
        </w:rPr>
        <w:t>.</w:t>
      </w:r>
      <w:r>
        <w:rPr>
          <w:rFonts w:hint="eastAsia"/>
          <w:b/>
        </w:rPr>
        <w:t>1</w:t>
      </w:r>
      <w:r>
        <w:rPr>
          <w:rFonts w:hint="eastAsia" w:ascii="宋体" w:hAnsi="宋体"/>
          <w:b/>
          <w:bCs/>
          <w:kern w:val="0"/>
        </w:rPr>
        <w:t>施工期</w:t>
      </w:r>
    </w:p>
    <w:bookmarkEnd w:id="22"/>
    <w:bookmarkEnd w:id="23"/>
    <w:p>
      <w:pPr>
        <w:pStyle w:val="48"/>
        <w:spacing w:line="480" w:lineRule="exact"/>
        <w:ind w:firstLine="480" w:firstLineChars="200"/>
        <w:rPr>
          <w:bCs/>
        </w:rPr>
      </w:pPr>
      <w:r>
        <w:rPr>
          <w:rFonts w:hint="eastAsia"/>
          <w:bCs/>
        </w:rPr>
        <w:t>施工期主要关注</w:t>
      </w:r>
      <w:r>
        <w:rPr>
          <w:bCs/>
        </w:rPr>
        <w:t>场地平整、建材装卸、车辆行驶等作业产生的扬尘对大气环境产生的影响</w:t>
      </w:r>
      <w:r>
        <w:rPr>
          <w:rFonts w:hint="eastAsia"/>
          <w:bCs/>
        </w:rPr>
        <w:t>；</w:t>
      </w:r>
      <w:r>
        <w:rPr>
          <w:bCs/>
        </w:rPr>
        <w:t>施工废水和施工人员生活污水对周边环境产生的影响</w:t>
      </w:r>
      <w:r>
        <w:rPr>
          <w:rFonts w:hint="eastAsia"/>
          <w:bCs/>
        </w:rPr>
        <w:t>；</w:t>
      </w:r>
      <w:r>
        <w:rPr>
          <w:bCs/>
        </w:rPr>
        <w:t>建筑垃圾</w:t>
      </w:r>
      <w:r>
        <w:rPr>
          <w:rFonts w:hint="eastAsia"/>
          <w:bCs/>
        </w:rPr>
        <w:t>和</w:t>
      </w:r>
      <w:r>
        <w:rPr>
          <w:bCs/>
        </w:rPr>
        <w:t>施工人员产生的生活垃圾对环境产生的影响</w:t>
      </w:r>
      <w:r>
        <w:rPr>
          <w:rFonts w:hint="eastAsia"/>
          <w:bCs/>
        </w:rPr>
        <w:t>；</w:t>
      </w:r>
      <w:r>
        <w:rPr>
          <w:bCs/>
        </w:rPr>
        <w:t>施工现场的各类</w:t>
      </w:r>
      <w:r>
        <w:rPr>
          <w:rFonts w:hint="eastAsia"/>
          <w:bCs/>
        </w:rPr>
        <w:t>施工</w:t>
      </w:r>
      <w:r>
        <w:rPr>
          <w:bCs/>
        </w:rPr>
        <w:t>设备产生机械噪声和物料运输产生交通噪声，对区域声环境的影响</w:t>
      </w:r>
      <w:r>
        <w:rPr>
          <w:rFonts w:hint="eastAsia"/>
          <w:bCs/>
        </w:rPr>
        <w:t>；</w:t>
      </w:r>
      <w:r>
        <w:rPr>
          <w:bCs/>
        </w:rPr>
        <w:t>项目建设用地、场地平整、管线铺设、道路修整等产生水土流失、地表扰动、破坏土层等活动对生态环境造成的影响</w:t>
      </w:r>
      <w:r>
        <w:rPr>
          <w:rFonts w:hint="eastAsia"/>
          <w:bCs/>
        </w:rPr>
        <w:t>。</w:t>
      </w:r>
    </w:p>
    <w:p>
      <w:pPr>
        <w:pStyle w:val="57"/>
        <w:keepNext/>
        <w:keepLines/>
        <w:spacing w:before="0" w:after="0" w:line="480" w:lineRule="exact"/>
        <w:ind w:firstLine="0" w:firstLineChars="0"/>
        <w:outlineLvl w:val="2"/>
        <w:rPr>
          <w:b/>
        </w:rPr>
      </w:pPr>
      <w:r>
        <w:rPr>
          <w:rFonts w:hint="eastAsia"/>
          <w:b/>
        </w:rPr>
        <w:t>1</w:t>
      </w:r>
      <w:r>
        <w:rPr>
          <w:b/>
        </w:rPr>
        <w:t>.</w:t>
      </w:r>
      <w:r>
        <w:rPr>
          <w:rFonts w:hint="eastAsia"/>
          <w:b/>
        </w:rPr>
        <w:t>5</w:t>
      </w:r>
      <w:r>
        <w:rPr>
          <w:b/>
        </w:rPr>
        <w:t>.</w:t>
      </w:r>
      <w:r>
        <w:rPr>
          <w:rFonts w:hint="eastAsia"/>
          <w:b/>
        </w:rPr>
        <w:t>2</w:t>
      </w:r>
      <w:r>
        <w:rPr>
          <w:rFonts w:hint="eastAsia" w:ascii="宋体" w:hAnsi="宋体"/>
          <w:b/>
          <w:bCs/>
          <w:kern w:val="0"/>
        </w:rPr>
        <w:t>运营期</w:t>
      </w:r>
    </w:p>
    <w:p>
      <w:pPr>
        <w:pStyle w:val="48"/>
        <w:spacing w:line="480" w:lineRule="exact"/>
        <w:rPr>
          <w:bCs/>
        </w:rPr>
      </w:pPr>
      <w:r>
        <w:rPr>
          <w:rFonts w:hint="eastAsia"/>
          <w:bCs/>
        </w:rPr>
        <w:t>针对本次项目的工程特点和项目周围环境特点，关注的主要环境问题为：</w:t>
      </w:r>
    </w:p>
    <w:p>
      <w:pPr>
        <w:pStyle w:val="48"/>
        <w:spacing w:line="480" w:lineRule="exact"/>
        <w:rPr>
          <w:bCs/>
        </w:rPr>
      </w:pPr>
      <w:r>
        <w:rPr>
          <w:rFonts w:hint="eastAsia"/>
          <w:bCs/>
        </w:rPr>
        <w:t>（</w:t>
      </w:r>
      <w:r>
        <w:rPr>
          <w:bCs/>
        </w:rPr>
        <w:t>1</w:t>
      </w:r>
      <w:r>
        <w:rPr>
          <w:rFonts w:hint="eastAsia"/>
          <w:bCs/>
        </w:rPr>
        <w:t>）鸡舍、污水处理站产生恶臭气体（</w:t>
      </w:r>
      <w:r>
        <w:rPr>
          <w:bCs/>
        </w:rPr>
        <w:t>NH</w:t>
      </w:r>
      <w:r>
        <w:rPr>
          <w:bCs/>
          <w:vertAlign w:val="subscript"/>
        </w:rPr>
        <w:t>3</w:t>
      </w:r>
      <w:r>
        <w:rPr>
          <w:rFonts w:hint="eastAsia"/>
          <w:bCs/>
        </w:rPr>
        <w:t>、</w:t>
      </w:r>
      <w:r>
        <w:rPr>
          <w:bCs/>
        </w:rPr>
        <w:t>H</w:t>
      </w:r>
      <w:r>
        <w:rPr>
          <w:bCs/>
          <w:vertAlign w:val="subscript"/>
        </w:rPr>
        <w:t>2</w:t>
      </w:r>
      <w:r>
        <w:rPr>
          <w:bCs/>
        </w:rPr>
        <w:t>S</w:t>
      </w:r>
      <w:r>
        <w:rPr>
          <w:rFonts w:hint="eastAsia"/>
          <w:bCs/>
        </w:rPr>
        <w:t>）；燃液化天然气锅炉废气对大气环境产生一定的影响。</w:t>
      </w:r>
    </w:p>
    <w:p>
      <w:pPr>
        <w:pStyle w:val="48"/>
        <w:spacing w:line="480" w:lineRule="exact"/>
        <w:rPr>
          <w:bCs/>
        </w:rPr>
      </w:pPr>
      <w:r>
        <w:rPr>
          <w:rFonts w:hint="eastAsia"/>
          <w:bCs/>
        </w:rPr>
        <w:t>（</w:t>
      </w:r>
      <w:r>
        <w:rPr>
          <w:bCs/>
        </w:rPr>
        <w:t>2</w:t>
      </w:r>
      <w:r>
        <w:rPr>
          <w:rFonts w:hint="eastAsia"/>
          <w:bCs/>
        </w:rPr>
        <w:t>）鸡舍冲洗废水、员工的生活污水（含食堂废水）；污水处理站非正常工况下对周边环境的影响。</w:t>
      </w:r>
    </w:p>
    <w:p>
      <w:pPr>
        <w:pStyle w:val="48"/>
        <w:spacing w:line="480" w:lineRule="exact"/>
        <w:rPr>
          <w:bCs/>
        </w:rPr>
      </w:pPr>
      <w:r>
        <w:rPr>
          <w:rFonts w:hint="eastAsia"/>
          <w:bCs/>
        </w:rPr>
        <w:t>（</w:t>
      </w:r>
      <w:r>
        <w:rPr>
          <w:bCs/>
        </w:rPr>
        <w:t>3</w:t>
      </w:r>
      <w:r>
        <w:rPr>
          <w:rFonts w:hint="eastAsia"/>
          <w:bCs/>
        </w:rPr>
        <w:t>）鸡粪、生活垃圾、病死鸡尸体、医疗废物、污泥等对周围环境的影响。</w:t>
      </w:r>
    </w:p>
    <w:p>
      <w:pPr>
        <w:pStyle w:val="48"/>
        <w:spacing w:line="480" w:lineRule="exact"/>
        <w:ind w:firstLine="480" w:firstLineChars="200"/>
        <w:rPr>
          <w:bCs/>
          <w:color w:val="FF0000"/>
        </w:rPr>
      </w:pPr>
      <w:r>
        <w:rPr>
          <w:rFonts w:hint="eastAsia"/>
          <w:bCs/>
        </w:rPr>
        <w:t>（</w:t>
      </w:r>
      <w:r>
        <w:rPr>
          <w:bCs/>
        </w:rPr>
        <w:t>4</w:t>
      </w:r>
      <w:r>
        <w:rPr>
          <w:rFonts w:hint="eastAsia"/>
          <w:bCs/>
        </w:rPr>
        <w:t>）鸡叫及设备噪声对周围声环境的影响。</w:t>
      </w:r>
    </w:p>
    <w:p>
      <w:pPr>
        <w:pStyle w:val="51"/>
        <w:spacing w:before="156" w:beforeLines="50" w:after="0" w:line="480" w:lineRule="exact"/>
        <w:rPr>
          <w:rFonts w:ascii="宋体" w:hAnsi="宋体" w:eastAsia="宋体"/>
          <w:b/>
          <w:sz w:val="28"/>
          <w:szCs w:val="28"/>
        </w:rPr>
      </w:pPr>
      <w:bookmarkStart w:id="24" w:name="_Toc19105446"/>
      <w:r>
        <w:rPr>
          <w:b/>
          <w:sz w:val="28"/>
          <w:szCs w:val="28"/>
        </w:rPr>
        <w:t>1.</w:t>
      </w:r>
      <w:r>
        <w:rPr>
          <w:rFonts w:hint="eastAsia"/>
          <w:b/>
          <w:sz w:val="28"/>
          <w:szCs w:val="28"/>
        </w:rPr>
        <w:t>6</w:t>
      </w:r>
      <w:r>
        <w:rPr>
          <w:rFonts w:hint="eastAsia" w:ascii="宋体" w:hAnsi="宋体" w:eastAsia="宋体"/>
          <w:b/>
          <w:sz w:val="28"/>
          <w:szCs w:val="28"/>
        </w:rPr>
        <w:t>环境影响评价主要结论</w:t>
      </w:r>
      <w:bookmarkEnd w:id="24"/>
    </w:p>
    <w:p>
      <w:pPr>
        <w:spacing w:line="480" w:lineRule="exact"/>
        <w:ind w:firstLine="480" w:firstLineChars="200"/>
        <w:rPr>
          <w:bCs/>
          <w:sz w:val="24"/>
          <w:szCs w:val="24"/>
        </w:rPr>
      </w:pPr>
      <w:bookmarkStart w:id="25" w:name="_Hlk8219930"/>
      <w:r>
        <w:rPr>
          <w:rFonts w:hint="eastAsia"/>
          <w:bCs/>
          <w:sz w:val="24"/>
          <w:szCs w:val="24"/>
        </w:rPr>
        <w:t>通过调查、分析和综合评价后认为：</w:t>
      </w:r>
      <w:r>
        <w:rPr>
          <w:rFonts w:hint="eastAsia" w:hAnsi="宋体"/>
          <w:bCs/>
          <w:sz w:val="24"/>
          <w:szCs w:val="24"/>
        </w:rPr>
        <w:t>本项目符合国家产业政策要求，项目采取了源头污染控制的工程措施切实可行，可实现污水零排放、粪污得到资源化综合利用的环境保护技术要求，在认真落实报告书所述各项污染防治措施后，可实现污染物稳定达标排放，通过加强环境管理和环境监测，杜绝风险事故发生，本项目建设可被周围环境所接受。</w:t>
      </w:r>
      <w:r>
        <w:rPr>
          <w:rFonts w:hint="eastAsia"/>
          <w:bCs/>
          <w:sz w:val="24"/>
          <w:szCs w:val="24"/>
        </w:rPr>
        <w:t>综上所述，在落实本报告书中的各项环保措施以及各级环保主管部门管理要求后，从环保角度分析，拟建项目的建设具有环境可行性。</w:t>
      </w:r>
    </w:p>
    <w:bookmarkEnd w:id="25"/>
    <w:p>
      <w:pPr>
        <w:spacing w:line="480" w:lineRule="exact"/>
        <w:ind w:firstLine="480" w:firstLineChars="200"/>
        <w:rPr>
          <w:bCs/>
          <w:sz w:val="24"/>
          <w:szCs w:val="24"/>
        </w:rPr>
      </w:pPr>
    </w:p>
    <w:p>
      <w:pPr>
        <w:spacing w:line="480" w:lineRule="exact"/>
        <w:ind w:firstLine="480" w:firstLineChars="200"/>
        <w:rPr>
          <w:bCs/>
          <w:sz w:val="24"/>
          <w:szCs w:val="24"/>
        </w:rPr>
      </w:pPr>
    </w:p>
    <w:p>
      <w:pPr>
        <w:spacing w:line="480" w:lineRule="exact"/>
        <w:ind w:firstLine="480" w:firstLineChars="200"/>
        <w:rPr>
          <w:bCs/>
          <w:sz w:val="24"/>
          <w:szCs w:val="24"/>
        </w:rPr>
      </w:pPr>
    </w:p>
    <w:p>
      <w:pPr>
        <w:spacing w:line="480" w:lineRule="exact"/>
        <w:ind w:firstLine="480" w:firstLineChars="200"/>
        <w:rPr>
          <w:bCs/>
          <w:sz w:val="24"/>
          <w:szCs w:val="24"/>
        </w:rPr>
      </w:pPr>
    </w:p>
    <w:p>
      <w:pPr>
        <w:spacing w:line="480" w:lineRule="exact"/>
        <w:ind w:firstLine="480" w:firstLineChars="200"/>
        <w:rPr>
          <w:bCs/>
          <w:sz w:val="24"/>
          <w:szCs w:val="24"/>
        </w:rPr>
      </w:pPr>
    </w:p>
    <w:p>
      <w:pPr>
        <w:spacing w:line="480" w:lineRule="exact"/>
        <w:ind w:firstLine="480" w:firstLineChars="200"/>
        <w:rPr>
          <w:bCs/>
          <w:sz w:val="24"/>
          <w:szCs w:val="24"/>
        </w:rPr>
        <w:sectPr>
          <w:headerReference r:id="rId5" w:type="default"/>
          <w:footerReference r:id="rId6" w:type="default"/>
          <w:pgSz w:w="11906" w:h="16838"/>
          <w:pgMar w:top="1418" w:right="1531" w:bottom="1418" w:left="1531" w:header="851" w:footer="992" w:gutter="0"/>
          <w:pgNumType w:start="1"/>
          <w:cols w:space="425" w:num="1"/>
          <w:docGrid w:type="linesAndChars" w:linePitch="312" w:charSpace="0"/>
        </w:sectPr>
      </w:pPr>
    </w:p>
    <w:p>
      <w:pPr>
        <w:spacing w:line="720" w:lineRule="auto"/>
        <w:jc w:val="center"/>
        <w:outlineLvl w:val="0"/>
        <w:rPr>
          <w:rFonts w:hAnsi="黑体" w:eastAsia="黑体"/>
          <w:b/>
          <w:bCs/>
          <w:sz w:val="44"/>
          <w:szCs w:val="44"/>
        </w:rPr>
      </w:pPr>
      <w:bookmarkStart w:id="26" w:name="_Toc19105447"/>
      <w:r>
        <w:rPr>
          <w:rFonts w:hint="eastAsia" w:hAnsi="黑体" w:eastAsia="黑体"/>
          <w:b/>
          <w:bCs/>
          <w:sz w:val="44"/>
          <w:szCs w:val="44"/>
        </w:rPr>
        <w:t>2 总则</w:t>
      </w:r>
      <w:bookmarkEnd w:id="26"/>
    </w:p>
    <w:p>
      <w:pPr>
        <w:pStyle w:val="56"/>
        <w:spacing w:before="156"/>
      </w:pPr>
      <w:bookmarkStart w:id="27" w:name="_Toc134604167"/>
      <w:bookmarkStart w:id="28" w:name="_Toc134434581"/>
      <w:bookmarkStart w:id="29" w:name="_Toc171907232"/>
      <w:bookmarkStart w:id="30" w:name="_Toc19105448"/>
      <w:r>
        <w:t>2.1</w:t>
      </w:r>
      <w:bookmarkEnd w:id="27"/>
      <w:bookmarkEnd w:id="28"/>
      <w:bookmarkEnd w:id="29"/>
      <w:r>
        <w:rPr>
          <w:rFonts w:hint="eastAsia"/>
        </w:rPr>
        <w:t>编制依据</w:t>
      </w:r>
      <w:bookmarkEnd w:id="30"/>
    </w:p>
    <w:p>
      <w:pPr>
        <w:pStyle w:val="57"/>
        <w:keepNext/>
        <w:keepLines/>
        <w:spacing w:before="0" w:after="0" w:line="480" w:lineRule="exact"/>
        <w:ind w:firstLine="0" w:firstLineChars="0"/>
        <w:outlineLvl w:val="2"/>
        <w:rPr>
          <w:b/>
        </w:rPr>
      </w:pPr>
      <w:r>
        <w:rPr>
          <w:rFonts w:hint="eastAsia"/>
          <w:b/>
        </w:rPr>
        <w:t>2</w:t>
      </w:r>
      <w:r>
        <w:rPr>
          <w:b/>
        </w:rPr>
        <w:t>.</w:t>
      </w:r>
      <w:r>
        <w:rPr>
          <w:rFonts w:hint="eastAsia"/>
          <w:b/>
        </w:rPr>
        <w:t>1</w:t>
      </w:r>
      <w:r>
        <w:rPr>
          <w:b/>
        </w:rPr>
        <w:t>.</w:t>
      </w:r>
      <w:r>
        <w:rPr>
          <w:rFonts w:hint="eastAsia"/>
          <w:b/>
        </w:rPr>
        <w:t>1</w:t>
      </w:r>
      <w:r>
        <w:rPr>
          <w:rFonts w:hint="eastAsia" w:ascii="宋体" w:hAnsi="宋体"/>
          <w:b/>
          <w:bCs/>
          <w:kern w:val="0"/>
        </w:rPr>
        <w:t>任务依据</w:t>
      </w:r>
    </w:p>
    <w:p>
      <w:pPr>
        <w:pStyle w:val="85"/>
        <w:spacing w:line="480" w:lineRule="exact"/>
        <w:ind w:firstLine="496"/>
        <w:rPr>
          <w:rFonts w:ascii="Times New Roman" w:hAnsi="Times New Roman" w:cs="Times New Roman"/>
          <w:spacing w:val="4"/>
          <w:sz w:val="24"/>
          <w:szCs w:val="24"/>
        </w:rPr>
      </w:pPr>
      <w:r>
        <w:rPr>
          <w:rFonts w:ascii="Times New Roman" w:hAnsi="Times New Roman" w:cs="Times New Roman"/>
          <w:spacing w:val="4"/>
          <w:sz w:val="24"/>
          <w:szCs w:val="24"/>
        </w:rPr>
        <w:t>（1）项目环境影响评价委托书，2019年6月15日；</w:t>
      </w:r>
    </w:p>
    <w:p>
      <w:pPr>
        <w:pStyle w:val="85"/>
        <w:spacing w:line="480" w:lineRule="exact"/>
        <w:ind w:firstLine="496"/>
        <w:rPr>
          <w:rFonts w:ascii="Times New Roman" w:hAnsi="Times New Roman" w:cs="Times New Roman"/>
          <w:spacing w:val="4"/>
          <w:sz w:val="24"/>
          <w:szCs w:val="24"/>
        </w:rPr>
      </w:pPr>
      <w:r>
        <w:rPr>
          <w:rFonts w:ascii="Times New Roman" w:hAnsi="Times New Roman" w:cs="Times New Roman"/>
          <w:spacing w:val="4"/>
          <w:sz w:val="24"/>
          <w:szCs w:val="24"/>
        </w:rPr>
        <w:t>（2）</w:t>
      </w:r>
      <w:r>
        <w:rPr>
          <w:rFonts w:ascii="Times New Roman" w:hAnsi="Times New Roman" w:cs="Times New Roman"/>
          <w:spacing w:val="4"/>
          <w:sz w:val="24"/>
        </w:rPr>
        <w:t>汾阳市</w:t>
      </w:r>
      <w:r>
        <w:rPr>
          <w:rFonts w:hint="eastAsia" w:ascii="Times New Roman" w:hAnsi="Times New Roman" w:cs="Times New Roman"/>
          <w:spacing w:val="4"/>
          <w:sz w:val="24"/>
        </w:rPr>
        <w:t>发展和改革</w:t>
      </w:r>
      <w:r>
        <w:rPr>
          <w:rFonts w:ascii="Times New Roman" w:hAnsi="Times New Roman" w:cs="Times New Roman"/>
          <w:spacing w:val="4"/>
          <w:sz w:val="24"/>
        </w:rPr>
        <w:t>局</w:t>
      </w:r>
      <w:r>
        <w:rPr>
          <w:rFonts w:hint="eastAsia" w:ascii="Times New Roman" w:hAnsi="Times New Roman" w:cs="Times New Roman"/>
          <w:spacing w:val="4"/>
          <w:sz w:val="24"/>
        </w:rPr>
        <w:t>备案证明</w:t>
      </w:r>
      <w:r>
        <w:rPr>
          <w:rFonts w:ascii="Times New Roman" w:hAnsi="Times New Roman" w:cs="Times New Roman"/>
          <w:spacing w:val="4"/>
          <w:sz w:val="24"/>
        </w:rPr>
        <w:t>，</w:t>
      </w:r>
      <w:r>
        <w:rPr>
          <w:rFonts w:hint="eastAsia" w:ascii="Times New Roman" w:hAnsi="Times New Roman" w:cs="Times New Roman"/>
          <w:spacing w:val="4"/>
          <w:sz w:val="24"/>
        </w:rPr>
        <w:t>编号：2</w:t>
      </w:r>
      <w:r>
        <w:rPr>
          <w:rFonts w:ascii="Times New Roman" w:hAnsi="Times New Roman" w:cs="Times New Roman"/>
          <w:spacing w:val="4"/>
          <w:sz w:val="24"/>
        </w:rPr>
        <w:t>019-111号</w:t>
      </w:r>
      <w:r>
        <w:rPr>
          <w:rFonts w:ascii="Times New Roman" w:hAnsi="Times New Roman" w:cs="Times New Roman"/>
          <w:spacing w:val="4"/>
          <w:sz w:val="24"/>
          <w:szCs w:val="24"/>
        </w:rPr>
        <w:t>，2019年6月3日。</w:t>
      </w:r>
    </w:p>
    <w:p>
      <w:pPr>
        <w:pStyle w:val="57"/>
        <w:keepNext/>
        <w:keepLines/>
        <w:spacing w:before="0" w:after="0" w:line="480" w:lineRule="exact"/>
        <w:ind w:firstLine="0" w:firstLineChars="0"/>
        <w:outlineLvl w:val="2"/>
        <w:rPr>
          <w:b/>
        </w:rPr>
      </w:pPr>
      <w:r>
        <w:rPr>
          <w:rFonts w:hint="eastAsia"/>
          <w:b/>
        </w:rPr>
        <w:t>2</w:t>
      </w:r>
      <w:r>
        <w:rPr>
          <w:b/>
        </w:rPr>
        <w:t>.</w:t>
      </w:r>
      <w:r>
        <w:rPr>
          <w:rFonts w:hint="eastAsia"/>
          <w:b/>
        </w:rPr>
        <w:t>1</w:t>
      </w:r>
      <w:r>
        <w:rPr>
          <w:b/>
        </w:rPr>
        <w:t>.</w:t>
      </w:r>
      <w:r>
        <w:rPr>
          <w:rFonts w:hint="eastAsia"/>
          <w:b/>
        </w:rPr>
        <w:t>2</w:t>
      </w:r>
      <w:r>
        <w:rPr>
          <w:rFonts w:hint="eastAsia" w:ascii="宋体" w:hAnsi="宋体"/>
          <w:b/>
          <w:bCs/>
          <w:kern w:val="0"/>
        </w:rPr>
        <w:t>法律及法规依据</w:t>
      </w:r>
    </w:p>
    <w:p>
      <w:pPr>
        <w:pStyle w:val="67"/>
        <w:numPr>
          <w:ilvl w:val="0"/>
          <w:numId w:val="2"/>
        </w:numPr>
        <w:spacing w:line="480" w:lineRule="exact"/>
        <w:ind w:firstLineChars="0"/>
        <w:rPr>
          <w:sz w:val="24"/>
        </w:rPr>
      </w:pPr>
      <w:bookmarkStart w:id="31" w:name="_Toc36215116"/>
      <w:bookmarkStart w:id="32" w:name="_Toc36614813"/>
      <w:r>
        <w:rPr>
          <w:rFonts w:hint="eastAsia"/>
          <w:sz w:val="24"/>
        </w:rPr>
        <w:t>《中华人民共和国环境保护法》，2015.1.1；</w:t>
      </w:r>
    </w:p>
    <w:p>
      <w:pPr>
        <w:pStyle w:val="67"/>
        <w:numPr>
          <w:ilvl w:val="0"/>
          <w:numId w:val="2"/>
        </w:numPr>
        <w:spacing w:line="480" w:lineRule="exact"/>
        <w:ind w:firstLineChars="0"/>
        <w:rPr>
          <w:sz w:val="24"/>
        </w:rPr>
      </w:pPr>
      <w:r>
        <w:rPr>
          <w:rFonts w:hint="eastAsia"/>
          <w:sz w:val="24"/>
        </w:rPr>
        <w:t>《中华人民共和国环境影响评价法》，2018.12.29；</w:t>
      </w:r>
    </w:p>
    <w:p>
      <w:pPr>
        <w:pStyle w:val="67"/>
        <w:numPr>
          <w:ilvl w:val="0"/>
          <w:numId w:val="2"/>
        </w:numPr>
        <w:spacing w:line="480" w:lineRule="exact"/>
        <w:ind w:firstLineChars="0"/>
        <w:rPr>
          <w:sz w:val="24"/>
        </w:rPr>
      </w:pPr>
      <w:r>
        <w:rPr>
          <w:rFonts w:hint="eastAsia"/>
          <w:sz w:val="24"/>
        </w:rPr>
        <w:t>《中华人民共和国大气污染防治法》，201</w:t>
      </w:r>
      <w:r>
        <w:rPr>
          <w:sz w:val="24"/>
        </w:rPr>
        <w:t>8</w:t>
      </w:r>
      <w:r>
        <w:rPr>
          <w:rFonts w:hint="eastAsia"/>
          <w:sz w:val="24"/>
        </w:rPr>
        <w:t>.1</w:t>
      </w:r>
      <w:r>
        <w:rPr>
          <w:sz w:val="24"/>
        </w:rPr>
        <w:t>0</w:t>
      </w:r>
      <w:r>
        <w:rPr>
          <w:rFonts w:hint="eastAsia"/>
          <w:sz w:val="24"/>
        </w:rPr>
        <w:t>.</w:t>
      </w:r>
      <w:r>
        <w:rPr>
          <w:sz w:val="24"/>
        </w:rPr>
        <w:t>26</w:t>
      </w:r>
      <w:r>
        <w:rPr>
          <w:rFonts w:hint="eastAsia"/>
          <w:sz w:val="24"/>
        </w:rPr>
        <w:t>；</w:t>
      </w:r>
    </w:p>
    <w:p>
      <w:pPr>
        <w:pStyle w:val="67"/>
        <w:numPr>
          <w:ilvl w:val="0"/>
          <w:numId w:val="2"/>
        </w:numPr>
        <w:spacing w:line="480" w:lineRule="exact"/>
        <w:ind w:firstLineChars="0"/>
        <w:rPr>
          <w:sz w:val="24"/>
        </w:rPr>
      </w:pPr>
      <w:r>
        <w:rPr>
          <w:rFonts w:hint="eastAsia"/>
          <w:sz w:val="24"/>
        </w:rPr>
        <w:t>《中华人民共和国水污染防治法》，2017.6.27；</w:t>
      </w:r>
    </w:p>
    <w:p>
      <w:pPr>
        <w:pStyle w:val="67"/>
        <w:numPr>
          <w:ilvl w:val="0"/>
          <w:numId w:val="2"/>
        </w:numPr>
        <w:spacing w:line="480" w:lineRule="exact"/>
        <w:ind w:firstLineChars="0"/>
        <w:rPr>
          <w:sz w:val="24"/>
        </w:rPr>
      </w:pPr>
      <w:r>
        <w:rPr>
          <w:sz w:val="24"/>
        </w:rPr>
        <w:t>《中华人民共和国土壤污染防治法》</w:t>
      </w:r>
      <w:r>
        <w:rPr>
          <w:rFonts w:hint="eastAsia"/>
          <w:sz w:val="24"/>
        </w:rPr>
        <w:t>，2</w:t>
      </w:r>
      <w:r>
        <w:rPr>
          <w:sz w:val="24"/>
        </w:rPr>
        <w:t>019.1.1</w:t>
      </w:r>
      <w:r>
        <w:rPr>
          <w:rFonts w:hint="eastAsia"/>
          <w:sz w:val="24"/>
        </w:rPr>
        <w:t>；</w:t>
      </w:r>
    </w:p>
    <w:p>
      <w:pPr>
        <w:pStyle w:val="67"/>
        <w:numPr>
          <w:ilvl w:val="0"/>
          <w:numId w:val="2"/>
        </w:numPr>
        <w:spacing w:line="480" w:lineRule="exact"/>
        <w:ind w:firstLineChars="0"/>
        <w:rPr>
          <w:sz w:val="24"/>
        </w:rPr>
      </w:pPr>
      <w:r>
        <w:rPr>
          <w:rFonts w:hint="eastAsia"/>
          <w:sz w:val="24"/>
        </w:rPr>
        <w:t>《中华人民共和国环境噪声污染防治法》，2018.12.29修改</w:t>
      </w:r>
    </w:p>
    <w:p>
      <w:pPr>
        <w:pStyle w:val="67"/>
        <w:numPr>
          <w:ilvl w:val="0"/>
          <w:numId w:val="2"/>
        </w:numPr>
        <w:spacing w:line="480" w:lineRule="exact"/>
        <w:ind w:firstLineChars="0"/>
        <w:rPr>
          <w:sz w:val="24"/>
        </w:rPr>
      </w:pPr>
      <w:r>
        <w:rPr>
          <w:rFonts w:hint="eastAsia"/>
          <w:sz w:val="24"/>
        </w:rPr>
        <w:t>《中华人民共和国固体废物污染环境防治法》，2016年11月7日修订；</w:t>
      </w:r>
    </w:p>
    <w:p>
      <w:pPr>
        <w:pStyle w:val="67"/>
        <w:numPr>
          <w:ilvl w:val="0"/>
          <w:numId w:val="2"/>
        </w:numPr>
        <w:spacing w:line="480" w:lineRule="exact"/>
        <w:ind w:firstLineChars="0"/>
        <w:rPr>
          <w:sz w:val="24"/>
        </w:rPr>
      </w:pPr>
      <w:r>
        <w:rPr>
          <w:rFonts w:hint="eastAsia"/>
          <w:sz w:val="24"/>
        </w:rPr>
        <w:t>《中华人民共和国清洁生产促进法》，2012年7月1日起施行；</w:t>
      </w:r>
    </w:p>
    <w:p>
      <w:pPr>
        <w:pStyle w:val="67"/>
        <w:numPr>
          <w:ilvl w:val="0"/>
          <w:numId w:val="2"/>
        </w:numPr>
        <w:spacing w:line="480" w:lineRule="exact"/>
        <w:ind w:firstLineChars="0"/>
        <w:rPr>
          <w:sz w:val="24"/>
        </w:rPr>
      </w:pPr>
      <w:r>
        <w:rPr>
          <w:snapToGrid w:val="0"/>
          <w:kern w:val="0"/>
          <w:sz w:val="24"/>
          <w:szCs w:val="24"/>
        </w:rPr>
        <w:t>《中华人民共和国畜牧法》，2015年4月24日；</w:t>
      </w:r>
    </w:p>
    <w:p>
      <w:pPr>
        <w:pStyle w:val="67"/>
        <w:numPr>
          <w:ilvl w:val="0"/>
          <w:numId w:val="2"/>
        </w:numPr>
        <w:spacing w:line="480" w:lineRule="exact"/>
        <w:ind w:firstLineChars="0"/>
        <w:rPr>
          <w:sz w:val="24"/>
        </w:rPr>
      </w:pPr>
      <w:r>
        <w:rPr>
          <w:snapToGrid w:val="0"/>
          <w:kern w:val="0"/>
          <w:sz w:val="24"/>
          <w:szCs w:val="24"/>
        </w:rPr>
        <w:t>《中华人民共和国动物防疫法》，2013年6月29日；</w:t>
      </w:r>
    </w:p>
    <w:p>
      <w:pPr>
        <w:pStyle w:val="67"/>
        <w:numPr>
          <w:ilvl w:val="0"/>
          <w:numId w:val="2"/>
        </w:numPr>
        <w:spacing w:line="480" w:lineRule="exact"/>
        <w:ind w:firstLineChars="0"/>
        <w:rPr>
          <w:sz w:val="24"/>
        </w:rPr>
      </w:pPr>
      <w:r>
        <w:rPr>
          <w:rFonts w:hint="eastAsia"/>
          <w:sz w:val="24"/>
        </w:rPr>
        <w:t>《畜禽规模养殖污染防治条例》，2</w:t>
      </w:r>
      <w:r>
        <w:rPr>
          <w:sz w:val="24"/>
        </w:rPr>
        <w:t>014.1.1</w:t>
      </w:r>
      <w:r>
        <w:rPr>
          <w:rFonts w:hint="eastAsia"/>
          <w:sz w:val="24"/>
        </w:rPr>
        <w:t>；</w:t>
      </w:r>
    </w:p>
    <w:p>
      <w:pPr>
        <w:pStyle w:val="67"/>
        <w:numPr>
          <w:ilvl w:val="0"/>
          <w:numId w:val="2"/>
        </w:numPr>
        <w:spacing w:line="480" w:lineRule="exact"/>
        <w:ind w:firstLineChars="0"/>
        <w:rPr>
          <w:sz w:val="24"/>
        </w:rPr>
      </w:pPr>
      <w:r>
        <w:rPr>
          <w:rFonts w:hint="eastAsia"/>
          <w:sz w:val="24"/>
        </w:rPr>
        <w:t>《建设项目环境保护管理条例》， 2017.10.1实施；</w:t>
      </w:r>
    </w:p>
    <w:p>
      <w:pPr>
        <w:pStyle w:val="67"/>
        <w:numPr>
          <w:ilvl w:val="0"/>
          <w:numId w:val="2"/>
        </w:numPr>
        <w:spacing w:line="480" w:lineRule="exact"/>
        <w:ind w:firstLineChars="0"/>
        <w:rPr>
          <w:sz w:val="24"/>
        </w:rPr>
      </w:pPr>
      <w:r>
        <w:rPr>
          <w:rFonts w:hint="eastAsia"/>
          <w:sz w:val="24"/>
        </w:rPr>
        <w:t>《建设项目环境影响评价分类管理名录》，2018.4.28；</w:t>
      </w:r>
    </w:p>
    <w:p>
      <w:pPr>
        <w:pStyle w:val="67"/>
        <w:numPr>
          <w:ilvl w:val="0"/>
          <w:numId w:val="2"/>
        </w:numPr>
        <w:spacing w:line="480" w:lineRule="exact"/>
        <w:ind w:firstLineChars="0"/>
        <w:rPr>
          <w:sz w:val="24"/>
        </w:rPr>
      </w:pPr>
      <w:r>
        <w:rPr>
          <w:rFonts w:hint="eastAsia"/>
          <w:sz w:val="24"/>
        </w:rPr>
        <w:t>《产业结构调整指导目录（2011年本）》，2013年5月1日起施行；</w:t>
      </w:r>
    </w:p>
    <w:p>
      <w:pPr>
        <w:pStyle w:val="67"/>
        <w:numPr>
          <w:ilvl w:val="0"/>
          <w:numId w:val="2"/>
        </w:numPr>
        <w:spacing w:line="480" w:lineRule="exact"/>
        <w:ind w:firstLineChars="0"/>
        <w:rPr>
          <w:sz w:val="24"/>
        </w:rPr>
      </w:pPr>
      <w:r>
        <w:rPr>
          <w:rFonts w:hint="eastAsia"/>
          <w:sz w:val="24"/>
        </w:rPr>
        <w:t>《环境影响评价公众参与暂行办法》，2019.1.1实施</w:t>
      </w:r>
    </w:p>
    <w:p>
      <w:pPr>
        <w:pStyle w:val="67"/>
        <w:numPr>
          <w:ilvl w:val="0"/>
          <w:numId w:val="2"/>
        </w:numPr>
        <w:spacing w:line="480" w:lineRule="exact"/>
        <w:ind w:firstLineChars="0"/>
        <w:rPr>
          <w:sz w:val="24"/>
        </w:rPr>
      </w:pPr>
      <w:r>
        <w:rPr>
          <w:rFonts w:hint="eastAsia"/>
          <w:sz w:val="24"/>
        </w:rPr>
        <w:t>《山西省环境保护条例》（2016修订），2017.3.1实施；</w:t>
      </w:r>
    </w:p>
    <w:p>
      <w:pPr>
        <w:pStyle w:val="67"/>
        <w:numPr>
          <w:ilvl w:val="0"/>
          <w:numId w:val="2"/>
        </w:numPr>
        <w:spacing w:line="480" w:lineRule="exact"/>
        <w:ind w:firstLineChars="0"/>
        <w:rPr>
          <w:sz w:val="24"/>
        </w:rPr>
      </w:pPr>
      <w:r>
        <w:rPr>
          <w:rFonts w:hint="eastAsia"/>
          <w:sz w:val="24"/>
        </w:rPr>
        <w:t>《山西省大气污染防治条例》，2019.1.1实施；</w:t>
      </w:r>
    </w:p>
    <w:p>
      <w:pPr>
        <w:pStyle w:val="67"/>
        <w:numPr>
          <w:ilvl w:val="0"/>
          <w:numId w:val="2"/>
        </w:numPr>
        <w:spacing w:line="480" w:lineRule="exact"/>
        <w:ind w:firstLineChars="0"/>
        <w:rPr>
          <w:sz w:val="24"/>
        </w:rPr>
      </w:pPr>
      <w:r>
        <w:rPr>
          <w:rFonts w:hint="eastAsia"/>
          <w:sz w:val="24"/>
        </w:rPr>
        <w:t>山西省环境保护厅晋环发〔2015〕25号《关于印发山西省环境保护厅建设项目主要污染物排放总量核定办法的通知》，2015.2.28；</w:t>
      </w:r>
    </w:p>
    <w:p>
      <w:pPr>
        <w:pStyle w:val="67"/>
        <w:numPr>
          <w:ilvl w:val="0"/>
          <w:numId w:val="2"/>
        </w:numPr>
        <w:spacing w:line="480" w:lineRule="exact"/>
        <w:ind w:firstLineChars="0"/>
        <w:rPr>
          <w:sz w:val="24"/>
        </w:rPr>
      </w:pPr>
      <w:r>
        <w:rPr>
          <w:rFonts w:hint="eastAsia"/>
          <w:sz w:val="24"/>
        </w:rPr>
        <w:t>《山西省地表水水环境功能区划》（DB14/67-2014）2014.1.20；</w:t>
      </w:r>
    </w:p>
    <w:p>
      <w:pPr>
        <w:pStyle w:val="67"/>
        <w:numPr>
          <w:ilvl w:val="0"/>
          <w:numId w:val="2"/>
        </w:numPr>
        <w:spacing w:line="480" w:lineRule="exact"/>
        <w:ind w:firstLineChars="0"/>
        <w:rPr>
          <w:sz w:val="24"/>
        </w:rPr>
      </w:pPr>
      <w:r>
        <w:rPr>
          <w:rFonts w:hint="eastAsia"/>
          <w:sz w:val="24"/>
        </w:rPr>
        <w:t>《大气污染防治行动计划》，2013.9.10；</w:t>
      </w:r>
    </w:p>
    <w:p>
      <w:pPr>
        <w:pStyle w:val="67"/>
        <w:numPr>
          <w:ilvl w:val="0"/>
          <w:numId w:val="2"/>
        </w:numPr>
        <w:spacing w:line="480" w:lineRule="exact"/>
        <w:ind w:firstLineChars="0"/>
        <w:rPr>
          <w:sz w:val="24"/>
        </w:rPr>
      </w:pPr>
      <w:r>
        <w:rPr>
          <w:rFonts w:hint="eastAsia"/>
          <w:sz w:val="24"/>
        </w:rPr>
        <w:t>《水污染防治行动计划》，2015.4.16；</w:t>
      </w:r>
    </w:p>
    <w:p>
      <w:pPr>
        <w:pStyle w:val="67"/>
        <w:numPr>
          <w:ilvl w:val="0"/>
          <w:numId w:val="2"/>
        </w:numPr>
        <w:spacing w:line="480" w:lineRule="exact"/>
        <w:ind w:firstLineChars="0"/>
        <w:rPr>
          <w:sz w:val="24"/>
        </w:rPr>
      </w:pPr>
      <w:r>
        <w:rPr>
          <w:rFonts w:hint="eastAsia"/>
          <w:sz w:val="24"/>
        </w:rPr>
        <w:t>《国家危险废物名录》，2016年8月1日起施行；</w:t>
      </w:r>
    </w:p>
    <w:p>
      <w:pPr>
        <w:pStyle w:val="67"/>
        <w:numPr>
          <w:ilvl w:val="0"/>
          <w:numId w:val="2"/>
        </w:numPr>
        <w:spacing w:line="480" w:lineRule="exact"/>
        <w:ind w:firstLineChars="0"/>
        <w:rPr>
          <w:sz w:val="24"/>
        </w:rPr>
      </w:pPr>
      <w:r>
        <w:rPr>
          <w:rFonts w:hint="eastAsia"/>
          <w:sz w:val="24"/>
        </w:rPr>
        <w:t>《突发环境事件应急管理办法》，环保部令第34号，2015年6月5日；</w:t>
      </w:r>
    </w:p>
    <w:p>
      <w:pPr>
        <w:pStyle w:val="67"/>
        <w:numPr>
          <w:ilvl w:val="0"/>
          <w:numId w:val="2"/>
        </w:numPr>
        <w:spacing w:line="480" w:lineRule="exact"/>
        <w:ind w:firstLineChars="0"/>
        <w:rPr>
          <w:sz w:val="24"/>
        </w:rPr>
      </w:pPr>
      <w:r>
        <w:rPr>
          <w:rFonts w:hint="eastAsia"/>
          <w:sz w:val="24"/>
        </w:rPr>
        <w:t>“国务院关于印发“十三五”节能减排综合工作方案的通知”，国发[2016]74号，2016年12月20日；</w:t>
      </w:r>
    </w:p>
    <w:p>
      <w:pPr>
        <w:pStyle w:val="67"/>
        <w:numPr>
          <w:ilvl w:val="0"/>
          <w:numId w:val="2"/>
        </w:numPr>
        <w:spacing w:line="480" w:lineRule="exact"/>
        <w:ind w:firstLineChars="0"/>
        <w:rPr>
          <w:sz w:val="24"/>
        </w:rPr>
      </w:pPr>
      <w:r>
        <w:rPr>
          <w:rFonts w:hint="eastAsia"/>
          <w:sz w:val="24"/>
        </w:rPr>
        <w:t>“国家发展改革委关于修改《产业结构调整指导目录（2011年本）》有关条款的的决定”，国家发展改革委第21号令，2013年2月16日；</w:t>
      </w:r>
    </w:p>
    <w:p>
      <w:pPr>
        <w:pStyle w:val="67"/>
        <w:numPr>
          <w:ilvl w:val="0"/>
          <w:numId w:val="2"/>
        </w:numPr>
        <w:spacing w:line="480" w:lineRule="exact"/>
        <w:ind w:firstLineChars="0"/>
        <w:rPr>
          <w:sz w:val="24"/>
        </w:rPr>
      </w:pPr>
      <w:r>
        <w:rPr>
          <w:rFonts w:hint="eastAsia"/>
          <w:sz w:val="24"/>
        </w:rPr>
        <w:t>“关于切实加强风险防范严格环境影响评价管理的通知”，环发[2012]98号，2012年8月8日；</w:t>
      </w:r>
    </w:p>
    <w:p>
      <w:pPr>
        <w:pStyle w:val="67"/>
        <w:numPr>
          <w:ilvl w:val="0"/>
          <w:numId w:val="2"/>
        </w:numPr>
        <w:spacing w:line="480" w:lineRule="exact"/>
        <w:ind w:firstLineChars="0"/>
        <w:rPr>
          <w:sz w:val="24"/>
        </w:rPr>
      </w:pPr>
      <w:r>
        <w:rPr>
          <w:rFonts w:hint="eastAsia"/>
          <w:sz w:val="24"/>
        </w:rPr>
        <w:t>“关于进一步加强环境影响评价管理防范环境风险的通知”环发[2012]77号，2012年7月3日；</w:t>
      </w:r>
    </w:p>
    <w:p>
      <w:pPr>
        <w:pStyle w:val="67"/>
        <w:numPr>
          <w:ilvl w:val="0"/>
          <w:numId w:val="2"/>
        </w:numPr>
        <w:spacing w:line="480" w:lineRule="exact"/>
        <w:ind w:firstLineChars="0"/>
        <w:rPr>
          <w:sz w:val="24"/>
        </w:rPr>
      </w:pPr>
      <w:r>
        <w:rPr>
          <w:rFonts w:hint="eastAsia"/>
          <w:sz w:val="24"/>
        </w:rPr>
        <w:t>“关于印发《建设项目环境影响评价信息公开机制方案》的通知”，环发[2015]162号，2015年12月10日；</w:t>
      </w:r>
    </w:p>
    <w:p>
      <w:pPr>
        <w:pStyle w:val="67"/>
        <w:numPr>
          <w:ilvl w:val="0"/>
          <w:numId w:val="2"/>
        </w:numPr>
        <w:spacing w:line="480" w:lineRule="exact"/>
        <w:ind w:firstLineChars="0"/>
        <w:rPr>
          <w:sz w:val="24"/>
        </w:rPr>
      </w:pPr>
      <w:r>
        <w:rPr>
          <w:rFonts w:hint="eastAsia"/>
          <w:sz w:val="24"/>
        </w:rPr>
        <w:t>“关于印发《京津冀及周边地区2018-2019年秋冬季大气污染综合治理攻坚行动方案》的通知”，环大气[2018]100号；</w:t>
      </w:r>
    </w:p>
    <w:p>
      <w:pPr>
        <w:pStyle w:val="67"/>
        <w:numPr>
          <w:ilvl w:val="0"/>
          <w:numId w:val="2"/>
        </w:numPr>
        <w:spacing w:line="480" w:lineRule="exact"/>
        <w:ind w:firstLineChars="0"/>
        <w:rPr>
          <w:sz w:val="24"/>
        </w:rPr>
      </w:pPr>
      <w:r>
        <w:rPr>
          <w:rFonts w:hint="eastAsia"/>
          <w:sz w:val="24"/>
        </w:rPr>
        <w:t>“关于印发《汾渭平原2018-2019年秋冬季大气污染综合治理攻坚行动方案》的通知”，环大气[2018]132号；</w:t>
      </w:r>
    </w:p>
    <w:p>
      <w:pPr>
        <w:pStyle w:val="67"/>
        <w:numPr>
          <w:ilvl w:val="0"/>
          <w:numId w:val="2"/>
        </w:numPr>
        <w:spacing w:line="480" w:lineRule="exact"/>
        <w:ind w:firstLineChars="0"/>
        <w:rPr>
          <w:sz w:val="24"/>
        </w:rPr>
      </w:pPr>
      <w:r>
        <w:rPr>
          <w:rFonts w:hint="eastAsia"/>
          <w:sz w:val="24"/>
        </w:rPr>
        <w:t>《山西省环境保护条例》，2017年3月1日施行；</w:t>
      </w:r>
    </w:p>
    <w:p>
      <w:pPr>
        <w:pStyle w:val="67"/>
        <w:numPr>
          <w:ilvl w:val="0"/>
          <w:numId w:val="2"/>
        </w:numPr>
        <w:spacing w:line="480" w:lineRule="exact"/>
        <w:ind w:firstLineChars="0"/>
        <w:rPr>
          <w:sz w:val="24"/>
        </w:rPr>
      </w:pPr>
      <w:r>
        <w:rPr>
          <w:rFonts w:hint="eastAsia"/>
          <w:sz w:val="24"/>
        </w:rPr>
        <w:t xml:space="preserve">《山西省汾河流域生态修复与保护条例》，2017年3月1日施行； </w:t>
      </w:r>
    </w:p>
    <w:p>
      <w:pPr>
        <w:pStyle w:val="67"/>
        <w:numPr>
          <w:ilvl w:val="0"/>
          <w:numId w:val="2"/>
        </w:numPr>
        <w:spacing w:line="480" w:lineRule="exact"/>
        <w:ind w:firstLineChars="0"/>
        <w:rPr>
          <w:sz w:val="24"/>
        </w:rPr>
      </w:pPr>
      <w:r>
        <w:rPr>
          <w:rFonts w:hint="eastAsia"/>
          <w:sz w:val="24"/>
        </w:rPr>
        <w:t>《山西省实施《中华人民共和国水土保持法》办法》，2015年10月1日施行；</w:t>
      </w:r>
    </w:p>
    <w:p>
      <w:pPr>
        <w:pStyle w:val="67"/>
        <w:numPr>
          <w:ilvl w:val="0"/>
          <w:numId w:val="2"/>
        </w:numPr>
        <w:spacing w:line="480" w:lineRule="exact"/>
        <w:ind w:firstLineChars="0"/>
        <w:rPr>
          <w:sz w:val="24"/>
        </w:rPr>
      </w:pPr>
      <w:r>
        <w:rPr>
          <w:rFonts w:hint="eastAsia"/>
          <w:sz w:val="24"/>
        </w:rPr>
        <w:t>《山西省节约用水条例》，2013年3月1日施行；</w:t>
      </w:r>
    </w:p>
    <w:p>
      <w:pPr>
        <w:pStyle w:val="67"/>
        <w:numPr>
          <w:ilvl w:val="0"/>
          <w:numId w:val="2"/>
        </w:numPr>
        <w:spacing w:line="480" w:lineRule="exact"/>
        <w:ind w:firstLineChars="0"/>
        <w:rPr>
          <w:sz w:val="24"/>
        </w:rPr>
      </w:pPr>
      <w:r>
        <w:rPr>
          <w:rFonts w:hint="eastAsia"/>
          <w:sz w:val="24"/>
        </w:rPr>
        <w:t>《山西省循环经济促进条例》，2012年10月1日施行；</w:t>
      </w:r>
    </w:p>
    <w:p>
      <w:pPr>
        <w:pStyle w:val="67"/>
        <w:numPr>
          <w:ilvl w:val="0"/>
          <w:numId w:val="2"/>
        </w:numPr>
        <w:spacing w:line="480" w:lineRule="exact"/>
        <w:ind w:firstLineChars="0"/>
        <w:rPr>
          <w:sz w:val="24"/>
        </w:rPr>
      </w:pPr>
      <w:r>
        <w:rPr>
          <w:rFonts w:hint="eastAsia"/>
          <w:sz w:val="24"/>
        </w:rPr>
        <w:t>《山西省减少污染物排放条例》，2011年1月1日施行；</w:t>
      </w:r>
    </w:p>
    <w:p>
      <w:pPr>
        <w:pStyle w:val="67"/>
        <w:numPr>
          <w:ilvl w:val="0"/>
          <w:numId w:val="2"/>
        </w:numPr>
        <w:spacing w:line="480" w:lineRule="exact"/>
        <w:ind w:firstLineChars="0"/>
        <w:rPr>
          <w:sz w:val="24"/>
        </w:rPr>
      </w:pPr>
      <w:r>
        <w:rPr>
          <w:rFonts w:hint="eastAsia"/>
          <w:sz w:val="24"/>
        </w:rPr>
        <w:t>“山西省人民政府办公厅关于印发山西省节能减排实施方案的通知”，晋政办发[2017]178号，2018年1月19号发布；</w:t>
      </w:r>
    </w:p>
    <w:p>
      <w:pPr>
        <w:pStyle w:val="67"/>
        <w:numPr>
          <w:ilvl w:val="0"/>
          <w:numId w:val="2"/>
        </w:numPr>
        <w:spacing w:line="480" w:lineRule="exact"/>
        <w:ind w:firstLineChars="0"/>
        <w:rPr>
          <w:sz w:val="24"/>
        </w:rPr>
      </w:pPr>
      <w:r>
        <w:rPr>
          <w:rFonts w:hint="eastAsia"/>
          <w:sz w:val="24"/>
        </w:rPr>
        <w:t>“山西省人民政府办公厅关于印发控制污染物排放许可制实施计划的通知”，晋政办发[2017]74号，2017年6月29号发布；</w:t>
      </w:r>
    </w:p>
    <w:p>
      <w:pPr>
        <w:pStyle w:val="67"/>
        <w:numPr>
          <w:ilvl w:val="0"/>
          <w:numId w:val="2"/>
        </w:numPr>
        <w:spacing w:line="480" w:lineRule="exact"/>
        <w:ind w:firstLineChars="0"/>
        <w:rPr>
          <w:sz w:val="24"/>
        </w:rPr>
      </w:pPr>
      <w:r>
        <w:rPr>
          <w:rFonts w:hint="eastAsia"/>
          <w:sz w:val="24"/>
        </w:rPr>
        <w:t>“山西省人民政府办公厅关于进一步控制燃煤污染改善空气质量的通知”，晋政办发[2017]37号，2017年4月21号发布；</w:t>
      </w:r>
    </w:p>
    <w:p>
      <w:pPr>
        <w:pStyle w:val="67"/>
        <w:numPr>
          <w:ilvl w:val="0"/>
          <w:numId w:val="2"/>
        </w:numPr>
        <w:spacing w:line="480" w:lineRule="exact"/>
        <w:ind w:firstLineChars="0"/>
        <w:rPr>
          <w:sz w:val="24"/>
        </w:rPr>
      </w:pPr>
      <w:r>
        <w:rPr>
          <w:rFonts w:hint="eastAsia"/>
          <w:sz w:val="24"/>
        </w:rPr>
        <w:t>“山西省人民政府办公厅关于印发山西省水污染防治2018年行动计划的通知”，晋政办发[2018]55号，2018年6月21号发布；</w:t>
      </w:r>
    </w:p>
    <w:p>
      <w:pPr>
        <w:pStyle w:val="67"/>
        <w:numPr>
          <w:ilvl w:val="0"/>
          <w:numId w:val="2"/>
        </w:numPr>
        <w:spacing w:line="480" w:lineRule="exact"/>
        <w:ind w:firstLineChars="0"/>
        <w:rPr>
          <w:sz w:val="24"/>
        </w:rPr>
      </w:pPr>
      <w:r>
        <w:rPr>
          <w:rFonts w:hint="eastAsia"/>
          <w:sz w:val="24"/>
        </w:rPr>
        <w:t>“山西省人民政府办公厅关于印发山西省大气污染防治2018年行动计划的通知”，晋政办发[2018]52号，2018年6月21号发布；</w:t>
      </w:r>
    </w:p>
    <w:p>
      <w:pPr>
        <w:pStyle w:val="67"/>
        <w:numPr>
          <w:ilvl w:val="0"/>
          <w:numId w:val="2"/>
        </w:numPr>
        <w:spacing w:line="480" w:lineRule="exact"/>
        <w:ind w:firstLineChars="0"/>
        <w:rPr>
          <w:sz w:val="24"/>
        </w:rPr>
      </w:pPr>
      <w:r>
        <w:rPr>
          <w:rFonts w:hint="eastAsia"/>
          <w:sz w:val="24"/>
        </w:rPr>
        <w:t>“山西省人民政府关于印发山西省“十三五”环境保护规划的通知”，晋政发[2016]66号，2016年12月21日发布；</w:t>
      </w:r>
    </w:p>
    <w:p>
      <w:pPr>
        <w:pStyle w:val="67"/>
        <w:numPr>
          <w:ilvl w:val="0"/>
          <w:numId w:val="2"/>
        </w:numPr>
        <w:spacing w:line="480" w:lineRule="exact"/>
        <w:ind w:firstLineChars="0"/>
        <w:rPr>
          <w:sz w:val="24"/>
        </w:rPr>
      </w:pPr>
      <w:r>
        <w:rPr>
          <w:rFonts w:hint="eastAsia"/>
          <w:sz w:val="24"/>
        </w:rPr>
        <w:t>“山西省人民政府办公厅关于印发山西省地下水污染防治实施方案的通知”，晋政办发[2013]6号，2013年3月1号发布；</w:t>
      </w:r>
    </w:p>
    <w:p>
      <w:pPr>
        <w:pStyle w:val="67"/>
        <w:numPr>
          <w:ilvl w:val="0"/>
          <w:numId w:val="2"/>
        </w:numPr>
        <w:spacing w:line="480" w:lineRule="exact"/>
        <w:ind w:firstLineChars="0"/>
        <w:rPr>
          <w:sz w:val="24"/>
        </w:rPr>
      </w:pPr>
      <w:r>
        <w:rPr>
          <w:rFonts w:hint="eastAsia"/>
          <w:sz w:val="24"/>
        </w:rPr>
        <w:t>“关于印发《山西省环境保护厅建设项目主要污染物排放总量核定办法》”的通知，晋环发[2015]25号，2015年2月28日；</w:t>
      </w:r>
    </w:p>
    <w:p>
      <w:pPr>
        <w:pStyle w:val="67"/>
        <w:numPr>
          <w:ilvl w:val="0"/>
          <w:numId w:val="2"/>
        </w:numPr>
        <w:spacing w:line="480" w:lineRule="exact"/>
        <w:ind w:firstLineChars="0"/>
        <w:rPr>
          <w:sz w:val="24"/>
        </w:rPr>
      </w:pPr>
      <w:r>
        <w:rPr>
          <w:rFonts w:hint="eastAsia"/>
          <w:sz w:val="24"/>
        </w:rPr>
        <w:t xml:space="preserve"> “国务院关于印发打赢蓝天保卫战三年行动计划的通知”2018</w:t>
      </w:r>
      <w:r>
        <w:rPr>
          <w:rFonts w:hint="eastAsia"/>
          <w:sz w:val="24"/>
          <w:lang w:val="en-US" w:eastAsia="zh-CN"/>
        </w:rPr>
        <w:t>年</w:t>
      </w:r>
      <w:bookmarkStart w:id="163" w:name="_GoBack"/>
      <w:bookmarkEnd w:id="163"/>
      <w:r>
        <w:rPr>
          <w:rFonts w:hint="eastAsia"/>
          <w:sz w:val="24"/>
        </w:rPr>
        <w:t>7月3日发布</w:t>
      </w:r>
    </w:p>
    <w:p>
      <w:pPr>
        <w:pStyle w:val="67"/>
        <w:numPr>
          <w:ilvl w:val="0"/>
          <w:numId w:val="2"/>
        </w:numPr>
        <w:spacing w:line="480" w:lineRule="exact"/>
        <w:ind w:firstLineChars="0"/>
        <w:rPr>
          <w:sz w:val="24"/>
        </w:rPr>
      </w:pPr>
      <w:r>
        <w:rPr>
          <w:rFonts w:hint="eastAsia"/>
          <w:sz w:val="24"/>
        </w:rPr>
        <w:t>山西省人民政府“关于印发山西省打赢蓝天保卫战三年行动计划的通知”，晋政发[2018]30号；</w:t>
      </w:r>
    </w:p>
    <w:p>
      <w:pPr>
        <w:pStyle w:val="67"/>
        <w:numPr>
          <w:ilvl w:val="0"/>
          <w:numId w:val="2"/>
        </w:numPr>
        <w:spacing w:line="480" w:lineRule="exact"/>
        <w:ind w:firstLineChars="0"/>
        <w:rPr>
          <w:spacing w:val="4"/>
          <w:sz w:val="24"/>
        </w:rPr>
      </w:pPr>
      <w:r>
        <w:rPr>
          <w:rFonts w:hint="eastAsia"/>
          <w:sz w:val="24"/>
        </w:rPr>
        <w:t>吕梁市人民政府“关于印发吕梁市打赢蓝天保卫战三年行动计划的通知”，吕政发〔2018〕14号。</w:t>
      </w:r>
    </w:p>
    <w:p>
      <w:pPr>
        <w:pStyle w:val="67"/>
        <w:numPr>
          <w:ilvl w:val="0"/>
          <w:numId w:val="2"/>
        </w:numPr>
        <w:spacing w:line="480" w:lineRule="exact"/>
        <w:ind w:firstLineChars="0"/>
        <w:rPr>
          <w:sz w:val="24"/>
        </w:rPr>
      </w:pPr>
      <w:r>
        <w:rPr>
          <w:rFonts w:hint="eastAsia"/>
          <w:sz w:val="24"/>
        </w:rPr>
        <w:t>山西省人民政府办公厅关于印发山西省畜禽粪污处理和资源化利用工作方案（2017-2020年）的通知，晋政办发〔2017〕158号，2</w:t>
      </w:r>
      <w:r>
        <w:rPr>
          <w:sz w:val="24"/>
        </w:rPr>
        <w:t>017.12.9</w:t>
      </w:r>
      <w:r>
        <w:rPr>
          <w:rFonts w:hint="eastAsia"/>
          <w:sz w:val="24"/>
        </w:rPr>
        <w:t>；</w:t>
      </w:r>
    </w:p>
    <w:bookmarkEnd w:id="31"/>
    <w:bookmarkEnd w:id="32"/>
    <w:p>
      <w:pPr>
        <w:pStyle w:val="57"/>
        <w:keepNext/>
        <w:keepLines/>
        <w:spacing w:before="0" w:after="0" w:line="480" w:lineRule="exact"/>
        <w:ind w:firstLine="0" w:firstLineChars="0"/>
        <w:outlineLvl w:val="2"/>
        <w:rPr>
          <w:b/>
        </w:rPr>
      </w:pPr>
      <w:r>
        <w:rPr>
          <w:rFonts w:hint="eastAsia"/>
          <w:b/>
        </w:rPr>
        <w:t>2</w:t>
      </w:r>
      <w:r>
        <w:rPr>
          <w:b/>
        </w:rPr>
        <w:t>.</w:t>
      </w:r>
      <w:r>
        <w:rPr>
          <w:rFonts w:hint="eastAsia"/>
          <w:b/>
        </w:rPr>
        <w:t>1</w:t>
      </w:r>
      <w:r>
        <w:rPr>
          <w:b/>
        </w:rPr>
        <w:t>.</w:t>
      </w:r>
      <w:r>
        <w:rPr>
          <w:rFonts w:hint="eastAsia"/>
          <w:b/>
        </w:rPr>
        <w:t>3</w:t>
      </w:r>
      <w:r>
        <w:rPr>
          <w:rFonts w:hint="eastAsia" w:ascii="宋体" w:hAnsi="宋体"/>
          <w:b/>
          <w:bCs/>
          <w:kern w:val="0"/>
        </w:rPr>
        <w:t>技术依据</w:t>
      </w:r>
    </w:p>
    <w:p>
      <w:pPr>
        <w:pStyle w:val="67"/>
        <w:numPr>
          <w:ilvl w:val="0"/>
          <w:numId w:val="3"/>
        </w:numPr>
        <w:spacing w:line="480" w:lineRule="exact"/>
        <w:ind w:firstLineChars="0"/>
        <w:rPr>
          <w:sz w:val="24"/>
        </w:rPr>
      </w:pPr>
      <w:r>
        <w:rPr>
          <w:sz w:val="24"/>
        </w:rPr>
        <w:t>《建设项目环境影响评价技术导则  总纲》（HJ2.1-2016）；</w:t>
      </w:r>
    </w:p>
    <w:p>
      <w:pPr>
        <w:pStyle w:val="67"/>
        <w:numPr>
          <w:ilvl w:val="0"/>
          <w:numId w:val="3"/>
        </w:numPr>
        <w:spacing w:line="480" w:lineRule="exact"/>
        <w:ind w:firstLineChars="0"/>
        <w:rPr>
          <w:sz w:val="24"/>
        </w:rPr>
      </w:pPr>
      <w:r>
        <w:rPr>
          <w:sz w:val="24"/>
        </w:rPr>
        <w:t>《环境影响评价技术导则  大气环境》（HJ2.2-2018）；</w:t>
      </w:r>
    </w:p>
    <w:p>
      <w:pPr>
        <w:pStyle w:val="67"/>
        <w:numPr>
          <w:ilvl w:val="0"/>
          <w:numId w:val="3"/>
        </w:numPr>
        <w:spacing w:line="480" w:lineRule="exact"/>
        <w:ind w:firstLineChars="0"/>
        <w:rPr>
          <w:sz w:val="24"/>
        </w:rPr>
      </w:pPr>
      <w:r>
        <w:rPr>
          <w:sz w:val="24"/>
        </w:rPr>
        <w:t>《环境影响评价技术导则  地表水环境》（HJ 2.3-</w:t>
      </w:r>
      <w:r>
        <w:rPr>
          <w:rFonts w:hint="eastAsia"/>
          <w:sz w:val="24"/>
        </w:rPr>
        <w:t>2018</w:t>
      </w:r>
      <w:r>
        <w:rPr>
          <w:sz w:val="24"/>
        </w:rPr>
        <w:t>）；</w:t>
      </w:r>
    </w:p>
    <w:p>
      <w:pPr>
        <w:pStyle w:val="67"/>
        <w:numPr>
          <w:ilvl w:val="0"/>
          <w:numId w:val="3"/>
        </w:numPr>
        <w:spacing w:line="480" w:lineRule="exact"/>
        <w:ind w:firstLineChars="0"/>
        <w:rPr>
          <w:sz w:val="24"/>
        </w:rPr>
      </w:pPr>
      <w:r>
        <w:rPr>
          <w:sz w:val="24"/>
        </w:rPr>
        <w:t xml:space="preserve">《环境影响评价技术导则 </w:t>
      </w:r>
      <w:r>
        <w:rPr>
          <w:rFonts w:hint="eastAsia"/>
          <w:sz w:val="24"/>
        </w:rPr>
        <w:t xml:space="preserve"> </w:t>
      </w:r>
      <w:r>
        <w:rPr>
          <w:sz w:val="24"/>
        </w:rPr>
        <w:t>地下水环境》（HJ610-2016）</w:t>
      </w:r>
      <w:r>
        <w:rPr>
          <w:rFonts w:hint="eastAsia"/>
          <w:sz w:val="24"/>
        </w:rPr>
        <w:t>；</w:t>
      </w:r>
    </w:p>
    <w:p>
      <w:pPr>
        <w:pStyle w:val="67"/>
        <w:numPr>
          <w:ilvl w:val="0"/>
          <w:numId w:val="3"/>
        </w:numPr>
        <w:spacing w:line="480" w:lineRule="exact"/>
        <w:ind w:firstLineChars="0"/>
        <w:rPr>
          <w:sz w:val="24"/>
        </w:rPr>
      </w:pPr>
      <w:r>
        <w:rPr>
          <w:rFonts w:hint="eastAsia"/>
          <w:sz w:val="24"/>
        </w:rPr>
        <w:t>《环境影响评价技术导则 土壤环境（试行）》（HJ 964—2018）；</w:t>
      </w:r>
    </w:p>
    <w:p>
      <w:pPr>
        <w:pStyle w:val="67"/>
        <w:numPr>
          <w:ilvl w:val="0"/>
          <w:numId w:val="3"/>
        </w:numPr>
        <w:spacing w:line="480" w:lineRule="exact"/>
        <w:ind w:firstLineChars="0"/>
        <w:rPr>
          <w:sz w:val="24"/>
        </w:rPr>
      </w:pPr>
      <w:r>
        <w:rPr>
          <w:sz w:val="24"/>
        </w:rPr>
        <w:t>《建设项目环境风险评价技术导则》（HJ169-20</w:t>
      </w:r>
      <w:r>
        <w:rPr>
          <w:rFonts w:hint="eastAsia"/>
          <w:sz w:val="24"/>
        </w:rPr>
        <w:t>18</w:t>
      </w:r>
      <w:r>
        <w:rPr>
          <w:sz w:val="24"/>
        </w:rPr>
        <w:t>）；</w:t>
      </w:r>
    </w:p>
    <w:p>
      <w:pPr>
        <w:pStyle w:val="67"/>
        <w:numPr>
          <w:ilvl w:val="0"/>
          <w:numId w:val="3"/>
        </w:numPr>
        <w:spacing w:line="480" w:lineRule="exact"/>
        <w:ind w:firstLineChars="0"/>
        <w:rPr>
          <w:sz w:val="24"/>
        </w:rPr>
      </w:pPr>
      <w:r>
        <w:rPr>
          <w:sz w:val="24"/>
        </w:rPr>
        <w:t>《环境影响评价技术导则  声环境》（HJ2.4-2009）；</w:t>
      </w:r>
    </w:p>
    <w:p>
      <w:pPr>
        <w:pStyle w:val="67"/>
        <w:numPr>
          <w:ilvl w:val="0"/>
          <w:numId w:val="3"/>
        </w:numPr>
        <w:spacing w:line="480" w:lineRule="exact"/>
        <w:ind w:firstLineChars="0"/>
        <w:rPr>
          <w:sz w:val="24"/>
        </w:rPr>
      </w:pPr>
      <w:r>
        <w:rPr>
          <w:sz w:val="24"/>
        </w:rPr>
        <w:t>《环境影响评价技术导则  生态影响》（HJ19-2011）；</w:t>
      </w:r>
    </w:p>
    <w:p>
      <w:pPr>
        <w:pStyle w:val="67"/>
        <w:numPr>
          <w:ilvl w:val="0"/>
          <w:numId w:val="3"/>
        </w:numPr>
        <w:spacing w:line="480" w:lineRule="exact"/>
        <w:ind w:firstLineChars="0"/>
        <w:rPr>
          <w:sz w:val="24"/>
        </w:rPr>
      </w:pPr>
      <w:r>
        <w:rPr>
          <w:sz w:val="24"/>
        </w:rPr>
        <w:t>《大气污染治理工程技术导则》(HJ2000-2010)；</w:t>
      </w:r>
    </w:p>
    <w:p>
      <w:pPr>
        <w:pStyle w:val="67"/>
        <w:numPr>
          <w:ilvl w:val="0"/>
          <w:numId w:val="3"/>
        </w:numPr>
        <w:spacing w:line="480" w:lineRule="exact"/>
        <w:ind w:firstLineChars="0"/>
        <w:rPr>
          <w:sz w:val="24"/>
        </w:rPr>
      </w:pPr>
      <w:r>
        <w:rPr>
          <w:sz w:val="24"/>
        </w:rPr>
        <w:t>《危险化学品重大危险源辨识》(GB18218-2009)；</w:t>
      </w:r>
    </w:p>
    <w:p>
      <w:pPr>
        <w:pStyle w:val="67"/>
        <w:numPr>
          <w:ilvl w:val="0"/>
          <w:numId w:val="3"/>
        </w:numPr>
        <w:spacing w:line="480" w:lineRule="exact"/>
        <w:ind w:firstLineChars="0"/>
        <w:rPr>
          <w:sz w:val="24"/>
        </w:rPr>
      </w:pPr>
      <w:r>
        <w:rPr>
          <w:sz w:val="24"/>
        </w:rPr>
        <w:t>《危险废物鉴别标准》（GB5085.1~7-2007）；</w:t>
      </w:r>
    </w:p>
    <w:p>
      <w:pPr>
        <w:pStyle w:val="67"/>
        <w:numPr>
          <w:ilvl w:val="0"/>
          <w:numId w:val="3"/>
        </w:numPr>
        <w:spacing w:line="480" w:lineRule="exact"/>
        <w:ind w:firstLineChars="0"/>
        <w:rPr>
          <w:sz w:val="24"/>
        </w:rPr>
      </w:pPr>
      <w:r>
        <w:rPr>
          <w:sz w:val="24"/>
        </w:rPr>
        <w:t>《危险废物收集 贮存 运输技术规范》（HJ2025-2012）；</w:t>
      </w:r>
    </w:p>
    <w:p>
      <w:pPr>
        <w:pStyle w:val="67"/>
        <w:numPr>
          <w:ilvl w:val="0"/>
          <w:numId w:val="3"/>
        </w:numPr>
        <w:spacing w:line="480" w:lineRule="exact"/>
        <w:ind w:firstLineChars="0"/>
        <w:rPr>
          <w:sz w:val="24"/>
        </w:rPr>
      </w:pPr>
      <w:r>
        <w:rPr>
          <w:snapToGrid w:val="0"/>
          <w:kern w:val="0"/>
          <w:sz w:val="24"/>
          <w:szCs w:val="24"/>
        </w:rPr>
        <w:t>《畜禽养殖产地环境评价规范》（HJ568-2010）；</w:t>
      </w:r>
    </w:p>
    <w:p>
      <w:pPr>
        <w:pStyle w:val="67"/>
        <w:numPr>
          <w:ilvl w:val="0"/>
          <w:numId w:val="3"/>
        </w:numPr>
        <w:spacing w:line="480" w:lineRule="exact"/>
        <w:ind w:firstLineChars="0"/>
        <w:rPr>
          <w:sz w:val="24"/>
        </w:rPr>
      </w:pPr>
      <w:r>
        <w:rPr>
          <w:snapToGrid w:val="0"/>
          <w:kern w:val="0"/>
          <w:sz w:val="24"/>
          <w:szCs w:val="24"/>
        </w:rPr>
        <w:t>《畜禽养殖业污染治理工程技术规范》（HJ497-2009）；</w:t>
      </w:r>
    </w:p>
    <w:p>
      <w:pPr>
        <w:pStyle w:val="67"/>
        <w:numPr>
          <w:ilvl w:val="0"/>
          <w:numId w:val="3"/>
        </w:numPr>
        <w:spacing w:line="480" w:lineRule="exact"/>
        <w:ind w:firstLineChars="0"/>
        <w:rPr>
          <w:sz w:val="24"/>
        </w:rPr>
      </w:pPr>
      <w:r>
        <w:rPr>
          <w:sz w:val="24"/>
        </w:rPr>
        <w:t>《畜禽养殖业污染防治技术规范》（HJ/T81-2001）；</w:t>
      </w:r>
    </w:p>
    <w:p>
      <w:pPr>
        <w:pStyle w:val="67"/>
        <w:numPr>
          <w:ilvl w:val="0"/>
          <w:numId w:val="3"/>
        </w:numPr>
        <w:spacing w:line="480" w:lineRule="exact"/>
        <w:ind w:firstLineChars="0"/>
        <w:rPr>
          <w:sz w:val="24"/>
        </w:rPr>
      </w:pPr>
      <w:r>
        <w:rPr>
          <w:sz w:val="24"/>
        </w:rPr>
        <w:t>《畜禽粪便无害化处理技术规范》（NY/T1168-2006）；</w:t>
      </w:r>
    </w:p>
    <w:p>
      <w:pPr>
        <w:pStyle w:val="67"/>
        <w:numPr>
          <w:ilvl w:val="0"/>
          <w:numId w:val="3"/>
        </w:numPr>
        <w:spacing w:line="480" w:lineRule="exact"/>
        <w:ind w:firstLineChars="0"/>
        <w:rPr>
          <w:sz w:val="24"/>
        </w:rPr>
      </w:pPr>
      <w:r>
        <w:rPr>
          <w:sz w:val="24"/>
        </w:rPr>
        <w:t>《畜禽粪便还田技术规范》（GB/T25246-2010)；</w:t>
      </w:r>
    </w:p>
    <w:p>
      <w:pPr>
        <w:pStyle w:val="67"/>
        <w:numPr>
          <w:ilvl w:val="0"/>
          <w:numId w:val="3"/>
        </w:numPr>
        <w:spacing w:line="480" w:lineRule="exact"/>
        <w:ind w:firstLineChars="0"/>
        <w:rPr>
          <w:sz w:val="24"/>
        </w:rPr>
      </w:pPr>
      <w:r>
        <w:rPr>
          <w:sz w:val="24"/>
        </w:rPr>
        <w:t>《病死及病害动物无害化处理技术规范》（农医发[2017]25号）；</w:t>
      </w:r>
    </w:p>
    <w:p>
      <w:pPr>
        <w:pStyle w:val="67"/>
        <w:numPr>
          <w:ilvl w:val="0"/>
          <w:numId w:val="3"/>
        </w:numPr>
        <w:spacing w:line="480" w:lineRule="exact"/>
        <w:ind w:firstLineChars="0"/>
        <w:rPr>
          <w:sz w:val="24"/>
        </w:rPr>
      </w:pPr>
      <w:r>
        <w:rPr>
          <w:sz w:val="24"/>
        </w:rPr>
        <w:t>《污染源源强核算技术指南 准则》（HJ884-2018）</w:t>
      </w:r>
      <w:r>
        <w:rPr>
          <w:rFonts w:hint="eastAsia"/>
          <w:sz w:val="24"/>
        </w:rPr>
        <w:t>；</w:t>
      </w:r>
    </w:p>
    <w:p>
      <w:pPr>
        <w:pStyle w:val="67"/>
        <w:numPr>
          <w:ilvl w:val="0"/>
          <w:numId w:val="3"/>
        </w:numPr>
        <w:spacing w:line="480" w:lineRule="exact"/>
        <w:ind w:firstLineChars="0"/>
        <w:rPr>
          <w:sz w:val="24"/>
        </w:rPr>
      </w:pPr>
      <w:r>
        <w:rPr>
          <w:rFonts w:hint="eastAsia"/>
          <w:sz w:val="24"/>
        </w:rPr>
        <w:t>《排污许可证申请与核发技术规范 畜禽养殖行业》（H</w:t>
      </w:r>
      <w:r>
        <w:rPr>
          <w:sz w:val="24"/>
        </w:rPr>
        <w:t>J1029-2019</w:t>
      </w:r>
      <w:r>
        <w:rPr>
          <w:rFonts w:hint="eastAsia"/>
          <w:sz w:val="24"/>
        </w:rPr>
        <w:t>）。</w:t>
      </w:r>
    </w:p>
    <w:p>
      <w:pPr>
        <w:pStyle w:val="56"/>
        <w:spacing w:before="156"/>
      </w:pPr>
      <w:bookmarkStart w:id="33" w:name="_Toc19105449"/>
      <w:r>
        <w:t>2.</w:t>
      </w:r>
      <w:r>
        <w:rPr>
          <w:rFonts w:hint="eastAsia"/>
        </w:rPr>
        <w:t>2</w:t>
      </w:r>
      <w:r>
        <w:t>环境影响因素识别及评价因子筛选</w:t>
      </w:r>
      <w:bookmarkEnd w:id="33"/>
    </w:p>
    <w:p>
      <w:pPr>
        <w:pStyle w:val="57"/>
        <w:keepNext/>
        <w:keepLines/>
        <w:spacing w:before="0" w:after="0" w:line="480" w:lineRule="exact"/>
        <w:ind w:firstLine="0" w:firstLineChars="0"/>
        <w:outlineLvl w:val="2"/>
        <w:rPr>
          <w:b/>
        </w:rPr>
      </w:pPr>
      <w:r>
        <w:rPr>
          <w:rFonts w:hint="eastAsia"/>
          <w:b/>
        </w:rPr>
        <w:t>2</w:t>
      </w:r>
      <w:r>
        <w:rPr>
          <w:b/>
        </w:rPr>
        <w:t>.</w:t>
      </w:r>
      <w:r>
        <w:rPr>
          <w:rFonts w:hint="eastAsia"/>
          <w:b/>
        </w:rPr>
        <w:t>2</w:t>
      </w:r>
      <w:r>
        <w:rPr>
          <w:b/>
        </w:rPr>
        <w:t>.</w:t>
      </w:r>
      <w:r>
        <w:rPr>
          <w:rFonts w:hint="eastAsia"/>
          <w:b/>
        </w:rPr>
        <w:t>1</w:t>
      </w:r>
      <w:r>
        <w:rPr>
          <w:rFonts w:ascii="宋体" w:hAnsi="宋体"/>
          <w:b/>
          <w:bCs/>
          <w:kern w:val="0"/>
        </w:rPr>
        <w:t>环境影响因素识别</w:t>
      </w:r>
    </w:p>
    <w:p>
      <w:pPr>
        <w:pStyle w:val="85"/>
        <w:spacing w:line="480" w:lineRule="exact"/>
        <w:ind w:firstLine="496"/>
        <w:rPr>
          <w:rFonts w:ascii="Times New Roman" w:hAnsi="Times New Roman" w:cs="Times New Roman"/>
          <w:spacing w:val="4"/>
          <w:sz w:val="24"/>
          <w:szCs w:val="24"/>
        </w:rPr>
      </w:pPr>
      <w:r>
        <w:rPr>
          <w:rFonts w:ascii="Times New Roman" w:hAnsi="Times New Roman" w:cs="Times New Roman"/>
          <w:spacing w:val="4"/>
          <w:sz w:val="24"/>
          <w:szCs w:val="24"/>
        </w:rPr>
        <w:t>根据本工程特点和主要环境问题识别结果，采用矩阵法对可能受本工程影响的环境要素进行识别和筛选，其结果见表</w:t>
      </w:r>
      <w:r>
        <w:rPr>
          <w:rFonts w:hint="eastAsia" w:ascii="Times New Roman" w:hAnsi="Times New Roman" w:cs="Times New Roman"/>
          <w:spacing w:val="4"/>
          <w:sz w:val="24"/>
          <w:szCs w:val="24"/>
        </w:rPr>
        <w:t>2.2-1</w:t>
      </w:r>
      <w:r>
        <w:rPr>
          <w:rFonts w:ascii="Times New Roman" w:hAnsi="Times New Roman" w:cs="Times New Roman"/>
          <w:spacing w:val="4"/>
          <w:sz w:val="24"/>
          <w:szCs w:val="24"/>
        </w:rPr>
        <w:t>。</w:t>
      </w:r>
    </w:p>
    <w:p>
      <w:pPr>
        <w:spacing w:line="480" w:lineRule="exact"/>
        <w:jc w:val="center"/>
        <w:rPr>
          <w:rFonts w:ascii="黑体" w:hAnsi="黑体" w:eastAsia="黑体"/>
          <w:spacing w:val="4"/>
          <w:sz w:val="24"/>
          <w:szCs w:val="24"/>
        </w:rPr>
      </w:pPr>
      <w:r>
        <w:rPr>
          <w:rFonts w:ascii="黑体" w:hAnsi="黑体" w:eastAsia="黑体"/>
          <w:spacing w:val="4"/>
          <w:sz w:val="24"/>
          <w:szCs w:val="24"/>
        </w:rPr>
        <w:t>表</w:t>
      </w:r>
      <w:r>
        <w:rPr>
          <w:rFonts w:hint="eastAsia" w:ascii="黑体" w:hAnsi="黑体" w:eastAsia="黑体"/>
          <w:spacing w:val="4"/>
          <w:sz w:val="24"/>
          <w:szCs w:val="24"/>
        </w:rPr>
        <w:t xml:space="preserve">2.2-1  </w:t>
      </w:r>
      <w:r>
        <w:rPr>
          <w:rFonts w:ascii="黑体" w:hAnsi="黑体" w:eastAsia="黑体"/>
          <w:spacing w:val="4"/>
          <w:sz w:val="24"/>
          <w:szCs w:val="24"/>
        </w:rPr>
        <w:t>环境影响识别一览表</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27"/>
        <w:gridCol w:w="1560"/>
        <w:gridCol w:w="1080"/>
        <w:gridCol w:w="1080"/>
        <w:gridCol w:w="1080"/>
        <w:gridCol w:w="1080"/>
        <w:gridCol w:w="1080"/>
        <w:gridCol w:w="10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0" w:hRule="atLeast"/>
          <w:tblHeader/>
        </w:trPr>
        <w:tc>
          <w:tcPr>
            <w:tcW w:w="567" w:type="pct"/>
            <w:vMerge w:val="restart"/>
            <w:vAlign w:val="center"/>
          </w:tcPr>
          <w:p>
            <w:pPr>
              <w:jc w:val="center"/>
            </w:pPr>
            <w:bookmarkStart w:id="34" w:name="_Hlk8219978"/>
            <w:r>
              <w:t>阶段</w:t>
            </w:r>
          </w:p>
        </w:tc>
        <w:tc>
          <w:tcPr>
            <w:tcW w:w="861" w:type="pct"/>
            <w:vMerge w:val="restart"/>
            <w:vAlign w:val="center"/>
          </w:tcPr>
          <w:p>
            <w:pPr>
              <w:jc w:val="center"/>
            </w:pPr>
            <w:r>
              <w:t>污染</w:t>
            </w:r>
            <w:r>
              <w:rPr>
                <w:rFonts w:hint="eastAsia"/>
              </w:rPr>
              <w:t>源</w:t>
            </w:r>
          </w:p>
        </w:tc>
        <w:tc>
          <w:tcPr>
            <w:tcW w:w="3572" w:type="pct"/>
            <w:gridSpan w:val="6"/>
            <w:vAlign w:val="center"/>
          </w:tcPr>
          <w:p>
            <w:pPr>
              <w:jc w:val="center"/>
            </w:pPr>
            <w:r>
              <w:t>环境要素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5" w:hRule="atLeast"/>
          <w:tblHeader/>
        </w:trPr>
        <w:tc>
          <w:tcPr>
            <w:tcW w:w="567" w:type="pct"/>
            <w:vMerge w:val="continue"/>
            <w:vAlign w:val="center"/>
          </w:tcPr>
          <w:p>
            <w:pPr>
              <w:jc w:val="center"/>
            </w:pPr>
          </w:p>
        </w:tc>
        <w:tc>
          <w:tcPr>
            <w:tcW w:w="861" w:type="pct"/>
            <w:vMerge w:val="continue"/>
            <w:vAlign w:val="center"/>
          </w:tcPr>
          <w:p>
            <w:pPr>
              <w:jc w:val="center"/>
            </w:pPr>
          </w:p>
        </w:tc>
        <w:tc>
          <w:tcPr>
            <w:tcW w:w="596" w:type="pct"/>
            <w:vAlign w:val="center"/>
          </w:tcPr>
          <w:p>
            <w:pPr>
              <w:jc w:val="center"/>
            </w:pPr>
            <w:r>
              <w:t>大气</w:t>
            </w:r>
          </w:p>
        </w:tc>
        <w:tc>
          <w:tcPr>
            <w:tcW w:w="596" w:type="pct"/>
            <w:vAlign w:val="center"/>
          </w:tcPr>
          <w:p>
            <w:pPr>
              <w:jc w:val="center"/>
            </w:pPr>
            <w:r>
              <w:t>地表水</w:t>
            </w:r>
          </w:p>
        </w:tc>
        <w:tc>
          <w:tcPr>
            <w:tcW w:w="596" w:type="pct"/>
            <w:vAlign w:val="center"/>
          </w:tcPr>
          <w:p>
            <w:pPr>
              <w:jc w:val="center"/>
            </w:pPr>
            <w:r>
              <w:t>地下水</w:t>
            </w:r>
          </w:p>
        </w:tc>
        <w:tc>
          <w:tcPr>
            <w:tcW w:w="596" w:type="pct"/>
            <w:vAlign w:val="center"/>
          </w:tcPr>
          <w:p>
            <w:pPr>
              <w:jc w:val="center"/>
            </w:pPr>
            <w:r>
              <w:t>声</w:t>
            </w:r>
          </w:p>
        </w:tc>
        <w:tc>
          <w:tcPr>
            <w:tcW w:w="596" w:type="pct"/>
            <w:vAlign w:val="center"/>
          </w:tcPr>
          <w:p>
            <w:pPr>
              <w:jc w:val="center"/>
            </w:pPr>
            <w:r>
              <w:t>生态</w:t>
            </w:r>
          </w:p>
        </w:tc>
        <w:tc>
          <w:tcPr>
            <w:tcW w:w="593" w:type="pct"/>
            <w:vAlign w:val="center"/>
          </w:tcPr>
          <w:p>
            <w:pPr>
              <w:jc w:val="center"/>
            </w:pPr>
            <w:r>
              <w:t>居民生活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 w:hRule="atLeast"/>
        </w:trPr>
        <w:tc>
          <w:tcPr>
            <w:tcW w:w="567" w:type="pct"/>
            <w:vMerge w:val="restart"/>
            <w:vAlign w:val="center"/>
          </w:tcPr>
          <w:p>
            <w:pPr>
              <w:jc w:val="center"/>
            </w:pPr>
            <w:r>
              <w:t>施工期</w:t>
            </w:r>
          </w:p>
        </w:tc>
        <w:tc>
          <w:tcPr>
            <w:tcW w:w="861" w:type="pct"/>
            <w:vAlign w:val="center"/>
          </w:tcPr>
          <w:p>
            <w:pPr>
              <w:jc w:val="center"/>
            </w:pPr>
            <w:r>
              <w:t>施工噪声</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3" w:type="pct"/>
            <w:vAlign w:val="center"/>
          </w:tcPr>
          <w:p>
            <w:pPr>
              <w:jc w:val="center"/>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67" w:type="pct"/>
            <w:vMerge w:val="continue"/>
            <w:vAlign w:val="center"/>
          </w:tcPr>
          <w:p>
            <w:pPr>
              <w:jc w:val="center"/>
            </w:pPr>
          </w:p>
        </w:tc>
        <w:tc>
          <w:tcPr>
            <w:tcW w:w="861" w:type="pct"/>
            <w:vAlign w:val="center"/>
          </w:tcPr>
          <w:p>
            <w:pPr>
              <w:jc w:val="center"/>
            </w:pPr>
            <w:r>
              <w:t>施工扬尘</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3" w:type="pct"/>
            <w:vAlign w:val="center"/>
          </w:tcPr>
          <w:p>
            <w:pPr>
              <w:jc w:val="center"/>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567" w:type="pct"/>
            <w:vMerge w:val="continue"/>
            <w:vAlign w:val="center"/>
          </w:tcPr>
          <w:p>
            <w:pPr>
              <w:jc w:val="center"/>
            </w:pPr>
          </w:p>
        </w:tc>
        <w:tc>
          <w:tcPr>
            <w:tcW w:w="861" w:type="pct"/>
            <w:vAlign w:val="center"/>
          </w:tcPr>
          <w:p>
            <w:pPr>
              <w:jc w:val="center"/>
            </w:pPr>
            <w:r>
              <w:t>施工废水</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3" w:type="pct"/>
            <w:vAlign w:val="center"/>
          </w:tcPr>
          <w:p>
            <w:pPr>
              <w:jc w:val="center"/>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567" w:type="pct"/>
            <w:vMerge w:val="continue"/>
            <w:vAlign w:val="center"/>
          </w:tcPr>
          <w:p>
            <w:pPr>
              <w:jc w:val="center"/>
            </w:pPr>
          </w:p>
        </w:tc>
        <w:tc>
          <w:tcPr>
            <w:tcW w:w="861" w:type="pct"/>
            <w:vAlign w:val="center"/>
          </w:tcPr>
          <w:p>
            <w:pPr>
              <w:jc w:val="center"/>
            </w:pPr>
            <w:r>
              <w:t>车辆运输</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6" w:type="pct"/>
            <w:vAlign w:val="center"/>
          </w:tcPr>
          <w:p>
            <w:pPr>
              <w:jc w:val="center"/>
            </w:pPr>
            <w:r>
              <w:t>△</w:t>
            </w:r>
          </w:p>
        </w:tc>
        <w:tc>
          <w:tcPr>
            <w:tcW w:w="593" w:type="pct"/>
            <w:vAlign w:val="center"/>
          </w:tcPr>
          <w:p>
            <w:pPr>
              <w:jc w:val="center"/>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567" w:type="pct"/>
            <w:vMerge w:val="restart"/>
            <w:vAlign w:val="center"/>
          </w:tcPr>
          <w:p>
            <w:pPr>
              <w:jc w:val="center"/>
            </w:pPr>
            <w:r>
              <w:t>营运期</w:t>
            </w:r>
          </w:p>
        </w:tc>
        <w:tc>
          <w:tcPr>
            <w:tcW w:w="861" w:type="pct"/>
            <w:vAlign w:val="center"/>
          </w:tcPr>
          <w:p>
            <w:pPr>
              <w:snapToGrid w:val="0"/>
              <w:jc w:val="center"/>
              <w:rPr>
                <w:bCs/>
                <w:szCs w:val="21"/>
              </w:rPr>
            </w:pPr>
            <w:r>
              <w:rPr>
                <w:rFonts w:hint="eastAsia"/>
                <w:bCs/>
                <w:color w:val="000000"/>
                <w:szCs w:val="21"/>
              </w:rPr>
              <w:t>鸡舍</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3" w:type="pct"/>
            <w:vAlign w:val="center"/>
          </w:tcPr>
          <w:p>
            <w:pPr>
              <w:jc w:val="center"/>
            </w:pPr>
            <w:r>
              <w:rPr>
                <w:rFonts w:ascii="Cambria Math" w:hAnsi="Cambria Math" w:cs="Cambria Math"/>
                <w:color w:val="00000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78" w:hRule="atLeast"/>
        </w:trPr>
        <w:tc>
          <w:tcPr>
            <w:tcW w:w="567" w:type="pct"/>
            <w:vMerge w:val="continue"/>
            <w:vAlign w:val="center"/>
          </w:tcPr>
          <w:p>
            <w:pPr>
              <w:jc w:val="center"/>
            </w:pPr>
          </w:p>
        </w:tc>
        <w:tc>
          <w:tcPr>
            <w:tcW w:w="861" w:type="pct"/>
            <w:vAlign w:val="center"/>
          </w:tcPr>
          <w:p>
            <w:pPr>
              <w:snapToGrid w:val="0"/>
              <w:jc w:val="center"/>
              <w:rPr>
                <w:bCs/>
                <w:szCs w:val="21"/>
              </w:rPr>
            </w:pPr>
            <w:r>
              <w:rPr>
                <w:rFonts w:hint="eastAsia"/>
                <w:bCs/>
                <w:szCs w:val="21"/>
              </w:rPr>
              <w:t>锅炉房</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3" w:type="pct"/>
            <w:vAlign w:val="center"/>
          </w:tcPr>
          <w:p>
            <w:pPr>
              <w:jc w:val="center"/>
            </w:pPr>
            <w:r>
              <w:rPr>
                <w:rFonts w:ascii="Cambria Math" w:hAnsi="Cambria Math" w:cs="Cambria Math"/>
                <w:color w:val="00000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567" w:type="pct"/>
            <w:vMerge w:val="continue"/>
            <w:vAlign w:val="center"/>
          </w:tcPr>
          <w:p>
            <w:pPr>
              <w:jc w:val="center"/>
            </w:pPr>
          </w:p>
        </w:tc>
        <w:tc>
          <w:tcPr>
            <w:tcW w:w="861" w:type="pct"/>
            <w:vAlign w:val="center"/>
          </w:tcPr>
          <w:p>
            <w:pPr>
              <w:snapToGrid w:val="0"/>
              <w:jc w:val="center"/>
              <w:rPr>
                <w:bCs/>
                <w:szCs w:val="21"/>
              </w:rPr>
            </w:pPr>
            <w:r>
              <w:rPr>
                <w:rFonts w:hint="eastAsia"/>
                <w:bCs/>
                <w:szCs w:val="21"/>
              </w:rPr>
              <w:t>污水处理站</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6" w:type="pct"/>
            <w:vAlign w:val="center"/>
          </w:tcPr>
          <w:p>
            <w:pPr>
              <w:jc w:val="center"/>
            </w:pPr>
            <w:r>
              <w:t>▲</w:t>
            </w:r>
          </w:p>
        </w:tc>
        <w:tc>
          <w:tcPr>
            <w:tcW w:w="596" w:type="pct"/>
            <w:vAlign w:val="center"/>
          </w:tcPr>
          <w:p>
            <w:pPr>
              <w:jc w:val="center"/>
            </w:pPr>
            <w:r>
              <w:rPr>
                <w:color w:val="000000"/>
                <w:szCs w:val="21"/>
              </w:rPr>
              <w:t>▲</w:t>
            </w:r>
          </w:p>
        </w:tc>
        <w:tc>
          <w:tcPr>
            <w:tcW w:w="596" w:type="pct"/>
            <w:vAlign w:val="center"/>
          </w:tcPr>
          <w:p>
            <w:pPr>
              <w:jc w:val="center"/>
            </w:pPr>
            <w:r>
              <w:rPr>
                <w:color w:val="000000"/>
                <w:szCs w:val="21"/>
              </w:rPr>
              <w:t>○</w:t>
            </w:r>
          </w:p>
        </w:tc>
        <w:tc>
          <w:tcPr>
            <w:tcW w:w="593" w:type="pct"/>
            <w:vAlign w:val="center"/>
          </w:tcPr>
          <w:p>
            <w:pPr>
              <w:jc w:val="center"/>
            </w:pPr>
            <w:r>
              <w:rPr>
                <w:rFonts w:ascii="Cambria Math" w:hAnsi="Cambria Math" w:cs="Cambria Math"/>
                <w:color w:val="00000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1" w:hRule="atLeast"/>
        </w:trPr>
        <w:tc>
          <w:tcPr>
            <w:tcW w:w="5000" w:type="pct"/>
            <w:gridSpan w:val="8"/>
            <w:vAlign w:val="center"/>
          </w:tcPr>
          <w:p>
            <w:pPr>
              <w:jc w:val="center"/>
            </w:pPr>
            <w:r>
              <w:t>● 有影响，▲有轻微影响，△可能有影响，○ 没有影响。</w:t>
            </w:r>
          </w:p>
        </w:tc>
      </w:tr>
      <w:bookmarkEnd w:id="34"/>
    </w:tbl>
    <w:p>
      <w:pPr>
        <w:pStyle w:val="57"/>
        <w:keepNext/>
        <w:keepLines/>
        <w:spacing w:before="0" w:after="0" w:line="480" w:lineRule="exact"/>
        <w:ind w:firstLine="0" w:firstLineChars="0"/>
        <w:outlineLvl w:val="2"/>
        <w:rPr>
          <w:b/>
        </w:rPr>
      </w:pPr>
      <w:r>
        <w:rPr>
          <w:rFonts w:hint="eastAsia"/>
          <w:b/>
        </w:rPr>
        <w:t>2</w:t>
      </w:r>
      <w:r>
        <w:rPr>
          <w:b/>
        </w:rPr>
        <w:t>.</w:t>
      </w:r>
      <w:r>
        <w:rPr>
          <w:rFonts w:hint="eastAsia"/>
          <w:b/>
        </w:rPr>
        <w:t>2</w:t>
      </w:r>
      <w:r>
        <w:rPr>
          <w:b/>
        </w:rPr>
        <w:t>.</w:t>
      </w:r>
      <w:r>
        <w:rPr>
          <w:rFonts w:hint="eastAsia"/>
          <w:b/>
        </w:rPr>
        <w:t>2</w:t>
      </w:r>
      <w:r>
        <w:rPr>
          <w:rFonts w:ascii="宋体" w:hAnsi="宋体"/>
          <w:b/>
          <w:bCs/>
          <w:kern w:val="0"/>
        </w:rPr>
        <w:t>评价因子筛选</w:t>
      </w:r>
    </w:p>
    <w:p>
      <w:pPr>
        <w:pStyle w:val="85"/>
        <w:spacing w:line="480" w:lineRule="exact"/>
        <w:ind w:firstLine="496"/>
        <w:rPr>
          <w:rFonts w:ascii="Times New Roman" w:hAnsi="Times New Roman" w:cs="Times New Roman"/>
          <w:spacing w:val="4"/>
          <w:sz w:val="24"/>
          <w:szCs w:val="24"/>
        </w:rPr>
      </w:pPr>
      <w:r>
        <w:rPr>
          <w:rFonts w:ascii="Times New Roman" w:hAnsi="Times New Roman" w:cs="Times New Roman"/>
          <w:spacing w:val="4"/>
          <w:sz w:val="24"/>
          <w:szCs w:val="24"/>
        </w:rPr>
        <w:t>根据工程各类特征污染物产生情况，结合周围区域环境，确定本项目的评价因子见表</w:t>
      </w:r>
      <w:r>
        <w:rPr>
          <w:rFonts w:hint="eastAsia" w:ascii="Times New Roman" w:hAnsi="Times New Roman" w:cs="Times New Roman"/>
          <w:spacing w:val="4"/>
          <w:sz w:val="24"/>
          <w:szCs w:val="24"/>
        </w:rPr>
        <w:t>2.2-2</w:t>
      </w:r>
      <w:r>
        <w:rPr>
          <w:rFonts w:ascii="Times New Roman" w:hAnsi="Times New Roman" w:cs="Times New Roman"/>
          <w:spacing w:val="4"/>
          <w:sz w:val="24"/>
          <w:szCs w:val="24"/>
        </w:rPr>
        <w:t>。</w:t>
      </w:r>
    </w:p>
    <w:p>
      <w:pPr>
        <w:spacing w:line="480" w:lineRule="exact"/>
        <w:jc w:val="center"/>
        <w:rPr>
          <w:rFonts w:ascii="黑体" w:hAnsi="黑体" w:eastAsia="黑体"/>
          <w:spacing w:val="4"/>
          <w:sz w:val="24"/>
          <w:szCs w:val="24"/>
        </w:rPr>
      </w:pPr>
      <w:r>
        <w:rPr>
          <w:rFonts w:ascii="黑体" w:hAnsi="黑体" w:eastAsia="黑体"/>
          <w:spacing w:val="4"/>
          <w:sz w:val="24"/>
          <w:szCs w:val="24"/>
        </w:rPr>
        <w:t>表</w:t>
      </w:r>
      <w:r>
        <w:rPr>
          <w:rFonts w:hint="eastAsia" w:ascii="黑体" w:hAnsi="黑体" w:eastAsia="黑体"/>
          <w:spacing w:val="4"/>
          <w:sz w:val="24"/>
          <w:szCs w:val="24"/>
        </w:rPr>
        <w:t xml:space="preserve">2.2-2  </w:t>
      </w:r>
      <w:r>
        <w:rPr>
          <w:rFonts w:ascii="黑体" w:hAnsi="黑体" w:eastAsia="黑体"/>
          <w:spacing w:val="4"/>
          <w:sz w:val="24"/>
          <w:szCs w:val="24"/>
        </w:rPr>
        <w:t>本项目环境评价因子</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04"/>
        <w:gridCol w:w="4735"/>
        <w:gridCol w:w="29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75" w:type="pct"/>
            <w:vAlign w:val="center"/>
          </w:tcPr>
          <w:p>
            <w:pPr>
              <w:jc w:val="center"/>
            </w:pPr>
            <w:r>
              <w:t>项目</w:t>
            </w:r>
          </w:p>
        </w:tc>
        <w:tc>
          <w:tcPr>
            <w:tcW w:w="2613" w:type="pct"/>
            <w:shd w:val="clear" w:color="auto" w:fill="auto"/>
            <w:vAlign w:val="center"/>
          </w:tcPr>
          <w:p>
            <w:pPr>
              <w:jc w:val="center"/>
            </w:pPr>
            <w:r>
              <w:t>现状评价因子</w:t>
            </w:r>
          </w:p>
        </w:tc>
        <w:tc>
          <w:tcPr>
            <w:tcW w:w="1612" w:type="pct"/>
            <w:vAlign w:val="center"/>
          </w:tcPr>
          <w:p>
            <w:pPr>
              <w:jc w:val="center"/>
            </w:pPr>
            <w:r>
              <w:t>预测因子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5" w:type="pct"/>
            <w:vAlign w:val="center"/>
          </w:tcPr>
          <w:p>
            <w:pPr>
              <w:jc w:val="center"/>
            </w:pPr>
            <w:r>
              <w:t>大气环境</w:t>
            </w:r>
          </w:p>
        </w:tc>
        <w:tc>
          <w:tcPr>
            <w:tcW w:w="2613" w:type="pct"/>
            <w:vAlign w:val="center"/>
          </w:tcPr>
          <w:p>
            <w:pPr>
              <w:jc w:val="center"/>
            </w:pPr>
            <w:r>
              <w:rPr>
                <w:rFonts w:hint="eastAsia"/>
                <w:szCs w:val="21"/>
              </w:rPr>
              <w:t>NO</w:t>
            </w:r>
            <w:r>
              <w:rPr>
                <w:rFonts w:hint="eastAsia"/>
                <w:szCs w:val="21"/>
                <w:vertAlign w:val="subscript"/>
              </w:rPr>
              <w:t>2</w:t>
            </w:r>
            <w:r>
              <w:rPr>
                <w:rFonts w:hint="eastAsia"/>
                <w:szCs w:val="21"/>
              </w:rPr>
              <w:t>、SO</w:t>
            </w:r>
            <w:r>
              <w:rPr>
                <w:rFonts w:hint="eastAsia"/>
                <w:szCs w:val="21"/>
                <w:vertAlign w:val="subscript"/>
              </w:rPr>
              <w:t>2</w:t>
            </w:r>
            <w:r>
              <w:rPr>
                <w:rFonts w:hint="eastAsia"/>
                <w:szCs w:val="21"/>
              </w:rPr>
              <w:t>、PM</w:t>
            </w:r>
            <w:r>
              <w:rPr>
                <w:rFonts w:hint="eastAsia"/>
                <w:szCs w:val="21"/>
                <w:vertAlign w:val="subscript"/>
              </w:rPr>
              <w:t>10</w:t>
            </w:r>
            <w:r>
              <w:rPr>
                <w:rFonts w:hint="eastAsia"/>
                <w:szCs w:val="21"/>
              </w:rPr>
              <w:t>、CO、PM</w:t>
            </w:r>
            <w:r>
              <w:rPr>
                <w:rFonts w:hint="eastAsia"/>
                <w:szCs w:val="21"/>
                <w:vertAlign w:val="subscript"/>
              </w:rPr>
              <w:t xml:space="preserve"> 2.5</w:t>
            </w:r>
            <w:r>
              <w:rPr>
                <w:rFonts w:hint="eastAsia"/>
                <w:szCs w:val="21"/>
              </w:rPr>
              <w:t>、O</w:t>
            </w:r>
            <w:r>
              <w:rPr>
                <w:rFonts w:hint="eastAsia"/>
                <w:szCs w:val="21"/>
                <w:vertAlign w:val="subscript"/>
              </w:rPr>
              <w:t>3</w:t>
            </w:r>
            <w:r>
              <w:rPr>
                <w:rFonts w:hint="eastAsia"/>
                <w:szCs w:val="21"/>
              </w:rPr>
              <w:t>、H</w:t>
            </w:r>
            <w:r>
              <w:rPr>
                <w:rFonts w:hint="eastAsia"/>
                <w:szCs w:val="21"/>
                <w:vertAlign w:val="subscript"/>
              </w:rPr>
              <w:t>2</w:t>
            </w:r>
            <w:r>
              <w:rPr>
                <w:rFonts w:hint="eastAsia"/>
                <w:szCs w:val="21"/>
              </w:rPr>
              <w:t>S、N</w:t>
            </w:r>
            <w:r>
              <w:rPr>
                <w:szCs w:val="21"/>
              </w:rPr>
              <w:t>H</w:t>
            </w:r>
            <w:r>
              <w:rPr>
                <w:szCs w:val="21"/>
                <w:vertAlign w:val="subscript"/>
              </w:rPr>
              <w:t>3</w:t>
            </w:r>
          </w:p>
        </w:tc>
        <w:tc>
          <w:tcPr>
            <w:tcW w:w="1612" w:type="pct"/>
            <w:vAlign w:val="center"/>
          </w:tcPr>
          <w:p>
            <w:pPr>
              <w:jc w:val="center"/>
            </w:pPr>
            <w:r>
              <w:rPr>
                <w:rFonts w:hint="eastAsia"/>
                <w:szCs w:val="21"/>
              </w:rPr>
              <w:t>NO</w:t>
            </w:r>
            <w:r>
              <w:rPr>
                <w:rFonts w:hint="eastAsia"/>
                <w:szCs w:val="21"/>
                <w:vertAlign w:val="subscript"/>
              </w:rPr>
              <w:t>2</w:t>
            </w:r>
            <w:r>
              <w:rPr>
                <w:rFonts w:hint="eastAsia"/>
                <w:szCs w:val="21"/>
              </w:rPr>
              <w:t>、PM</w:t>
            </w:r>
            <w:r>
              <w:rPr>
                <w:rFonts w:hint="eastAsia"/>
                <w:szCs w:val="21"/>
                <w:vertAlign w:val="subscript"/>
              </w:rPr>
              <w:t>10</w:t>
            </w:r>
            <w:r>
              <w:rPr>
                <w:rFonts w:hint="eastAsia"/>
                <w:szCs w:val="21"/>
              </w:rPr>
              <w:t>、H</w:t>
            </w:r>
            <w:r>
              <w:rPr>
                <w:rFonts w:hint="eastAsia"/>
                <w:szCs w:val="21"/>
                <w:vertAlign w:val="subscript"/>
              </w:rPr>
              <w:t>2</w:t>
            </w:r>
            <w:r>
              <w:rPr>
                <w:rFonts w:hint="eastAsia"/>
                <w:szCs w:val="21"/>
              </w:rPr>
              <w:t>S、N</w:t>
            </w:r>
            <w:r>
              <w:rPr>
                <w:szCs w:val="21"/>
              </w:rPr>
              <w:t>H</w:t>
            </w:r>
            <w:r>
              <w:rPr>
                <w:szCs w:val="21"/>
                <w:vertAlign w:val="sub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5" w:type="pct"/>
            <w:vAlign w:val="center"/>
          </w:tcPr>
          <w:p>
            <w:pPr>
              <w:jc w:val="center"/>
            </w:pPr>
            <w:r>
              <w:t>地下水环境</w:t>
            </w:r>
          </w:p>
        </w:tc>
        <w:tc>
          <w:tcPr>
            <w:tcW w:w="2613" w:type="pct"/>
            <w:vAlign w:val="center"/>
          </w:tcPr>
          <w:p>
            <w:pPr>
              <w:jc w:val="center"/>
              <w:rPr>
                <w:szCs w:val="21"/>
              </w:rPr>
            </w:pPr>
            <w:r>
              <w:rPr>
                <w:szCs w:val="21"/>
              </w:rPr>
              <w:t>pH</w:t>
            </w:r>
            <w:r>
              <w:rPr>
                <w:rFonts w:hint="eastAsia"/>
                <w:szCs w:val="21"/>
              </w:rPr>
              <w:t>、氨氮、硝酸盐、亚硝酸盐、挥发酚、氰化物、砷、汞、六价铬、总硬度、铅、氟、镉、铁、锰、溶解性总固体、高锰酸指数、硫酸盐、氯化物、总大肠菌群、细菌总数、</w:t>
            </w:r>
            <w:r>
              <w:rPr>
                <w:szCs w:val="21"/>
              </w:rPr>
              <w:t>K</w:t>
            </w:r>
            <w:r>
              <w:rPr>
                <w:szCs w:val="21"/>
                <w:vertAlign w:val="superscript"/>
              </w:rPr>
              <w:t>+</w:t>
            </w:r>
            <w:r>
              <w:rPr>
                <w:rFonts w:hint="eastAsia"/>
                <w:szCs w:val="21"/>
              </w:rPr>
              <w:t>、</w:t>
            </w:r>
            <w:r>
              <w:rPr>
                <w:szCs w:val="21"/>
              </w:rPr>
              <w:t>Na</w:t>
            </w:r>
            <w:r>
              <w:rPr>
                <w:szCs w:val="21"/>
                <w:vertAlign w:val="superscript"/>
              </w:rPr>
              <w:t>+</w:t>
            </w:r>
            <w:r>
              <w:rPr>
                <w:rFonts w:hint="eastAsia"/>
                <w:szCs w:val="21"/>
              </w:rPr>
              <w:t>、</w:t>
            </w:r>
            <w:r>
              <w:rPr>
                <w:szCs w:val="21"/>
              </w:rPr>
              <w:t>Ca</w:t>
            </w:r>
            <w:r>
              <w:rPr>
                <w:szCs w:val="21"/>
                <w:vertAlign w:val="superscript"/>
              </w:rPr>
              <w:t>2+</w:t>
            </w:r>
            <w:r>
              <w:rPr>
                <w:rFonts w:hint="eastAsia"/>
                <w:szCs w:val="21"/>
              </w:rPr>
              <w:t>、</w:t>
            </w:r>
            <w:r>
              <w:rPr>
                <w:szCs w:val="21"/>
              </w:rPr>
              <w:t>Mg</w:t>
            </w:r>
            <w:r>
              <w:rPr>
                <w:szCs w:val="21"/>
                <w:vertAlign w:val="superscript"/>
              </w:rPr>
              <w:t>2+</w:t>
            </w:r>
            <w:r>
              <w:rPr>
                <w:rFonts w:hint="eastAsia"/>
                <w:szCs w:val="21"/>
              </w:rPr>
              <w:t>、</w:t>
            </w:r>
            <w:r>
              <w:rPr>
                <w:szCs w:val="21"/>
              </w:rPr>
              <w:t>CO</w:t>
            </w:r>
            <w:r>
              <w:rPr>
                <w:szCs w:val="21"/>
                <w:vertAlign w:val="subscript"/>
              </w:rPr>
              <w:t>3</w:t>
            </w:r>
            <w:r>
              <w:rPr>
                <w:szCs w:val="21"/>
                <w:vertAlign w:val="superscript"/>
              </w:rPr>
              <w:t>-</w:t>
            </w:r>
            <w:r>
              <w:rPr>
                <w:rFonts w:hint="eastAsia"/>
                <w:szCs w:val="21"/>
              </w:rPr>
              <w:t>、</w:t>
            </w:r>
            <w:r>
              <w:rPr>
                <w:szCs w:val="21"/>
              </w:rPr>
              <w:t>HCO</w:t>
            </w:r>
            <w:r>
              <w:rPr>
                <w:szCs w:val="21"/>
                <w:vertAlign w:val="subscript"/>
              </w:rPr>
              <w:t>3</w:t>
            </w:r>
            <w:r>
              <w:rPr>
                <w:szCs w:val="21"/>
                <w:vertAlign w:val="superscript"/>
              </w:rPr>
              <w:t>-</w:t>
            </w:r>
            <w:r>
              <w:rPr>
                <w:rFonts w:hint="eastAsia"/>
                <w:szCs w:val="21"/>
              </w:rPr>
              <w:t>、CL</w:t>
            </w:r>
            <w:r>
              <w:rPr>
                <w:rFonts w:hint="eastAsia"/>
                <w:szCs w:val="21"/>
                <w:vertAlign w:val="superscript"/>
              </w:rPr>
              <w:t>-</w:t>
            </w:r>
            <w:r>
              <w:rPr>
                <w:rFonts w:hint="eastAsia"/>
                <w:szCs w:val="21"/>
              </w:rPr>
              <w:t>、SO</w:t>
            </w:r>
            <w:r>
              <w:rPr>
                <w:rFonts w:hint="eastAsia"/>
                <w:szCs w:val="21"/>
                <w:vertAlign w:val="subscript"/>
              </w:rPr>
              <w:t>4</w:t>
            </w:r>
            <w:r>
              <w:rPr>
                <w:rFonts w:hint="eastAsia"/>
                <w:szCs w:val="21"/>
                <w:vertAlign w:val="superscript"/>
              </w:rPr>
              <w:t>2-</w:t>
            </w:r>
          </w:p>
        </w:tc>
        <w:tc>
          <w:tcPr>
            <w:tcW w:w="1612" w:type="pct"/>
            <w:vAlign w:val="center"/>
          </w:tcPr>
          <w:p>
            <w:pPr>
              <w:jc w:val="center"/>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5" w:type="pct"/>
            <w:vAlign w:val="center"/>
          </w:tcPr>
          <w:p>
            <w:pPr>
              <w:jc w:val="center"/>
            </w:pPr>
            <w:r>
              <w:t>固体废物</w:t>
            </w:r>
          </w:p>
        </w:tc>
        <w:tc>
          <w:tcPr>
            <w:tcW w:w="2613" w:type="pct"/>
            <w:vAlign w:val="center"/>
          </w:tcPr>
          <w:p>
            <w:pPr>
              <w:jc w:val="center"/>
            </w:pPr>
            <w:r>
              <w:t>/</w:t>
            </w:r>
          </w:p>
        </w:tc>
        <w:tc>
          <w:tcPr>
            <w:tcW w:w="1612" w:type="pct"/>
            <w:vAlign w:val="center"/>
          </w:tcPr>
          <w:p>
            <w:pPr>
              <w:jc w:val="center"/>
            </w:pPr>
            <w:r>
              <w:rPr>
                <w:rFonts w:hint="eastAsia"/>
              </w:rPr>
              <w:t>一般固体废物、危险废物处置方式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5" w:type="pct"/>
            <w:vAlign w:val="center"/>
          </w:tcPr>
          <w:p>
            <w:pPr>
              <w:jc w:val="center"/>
            </w:pPr>
            <w:r>
              <w:t>声环境</w:t>
            </w:r>
          </w:p>
        </w:tc>
        <w:tc>
          <w:tcPr>
            <w:tcW w:w="2613" w:type="pct"/>
            <w:vAlign w:val="center"/>
          </w:tcPr>
          <w:p>
            <w:pPr>
              <w:jc w:val="center"/>
            </w:pPr>
            <w:r>
              <w:t>等效连续A声级（Le</w:t>
            </w:r>
            <w:r>
              <w:rPr>
                <w:rFonts w:hint="eastAsia"/>
              </w:rPr>
              <w:t>q</w:t>
            </w:r>
            <w:r>
              <w:t>）</w:t>
            </w:r>
          </w:p>
        </w:tc>
        <w:tc>
          <w:tcPr>
            <w:tcW w:w="1612" w:type="pct"/>
            <w:vAlign w:val="center"/>
          </w:tcPr>
          <w:p>
            <w:pPr>
              <w:jc w:val="center"/>
            </w:pPr>
            <w:r>
              <w:t>等效连续A声级（Le</w:t>
            </w:r>
            <w:r>
              <w:rPr>
                <w:rFonts w:hint="eastAsia"/>
              </w:rPr>
              <w:t>q</w:t>
            </w:r>
            <w:r>
              <w:t>）</w:t>
            </w:r>
          </w:p>
        </w:tc>
      </w:tr>
    </w:tbl>
    <w:p>
      <w:pPr>
        <w:pStyle w:val="56"/>
        <w:spacing w:before="156"/>
      </w:pPr>
      <w:bookmarkStart w:id="35" w:name="_Toc19105450"/>
      <w:r>
        <w:t>2.</w:t>
      </w:r>
      <w:r>
        <w:rPr>
          <w:rFonts w:hint="eastAsia"/>
        </w:rPr>
        <w:t>3相关规划及环境功能区划</w:t>
      </w:r>
      <w:bookmarkEnd w:id="35"/>
    </w:p>
    <w:p>
      <w:pPr>
        <w:pStyle w:val="57"/>
        <w:keepNext/>
        <w:keepLines/>
        <w:spacing w:before="0" w:after="0" w:line="480" w:lineRule="exact"/>
        <w:ind w:firstLine="0" w:firstLineChars="0"/>
        <w:outlineLvl w:val="2"/>
        <w:rPr>
          <w:b/>
        </w:rPr>
      </w:pPr>
      <w:r>
        <w:rPr>
          <w:rFonts w:hint="eastAsia"/>
          <w:b/>
        </w:rPr>
        <w:t>2</w:t>
      </w:r>
      <w:r>
        <w:rPr>
          <w:b/>
        </w:rPr>
        <w:t>.</w:t>
      </w:r>
      <w:r>
        <w:rPr>
          <w:rFonts w:hint="eastAsia"/>
          <w:b/>
        </w:rPr>
        <w:t>3</w:t>
      </w:r>
      <w:r>
        <w:rPr>
          <w:b/>
        </w:rPr>
        <w:t>.</w:t>
      </w:r>
      <w:r>
        <w:rPr>
          <w:rFonts w:hint="eastAsia"/>
          <w:b/>
        </w:rPr>
        <w:t>1</w:t>
      </w:r>
      <w:r>
        <w:rPr>
          <w:rFonts w:hint="eastAsia" w:ascii="宋体" w:hAnsi="宋体"/>
          <w:b/>
          <w:bCs/>
          <w:kern w:val="0"/>
        </w:rPr>
        <w:t>汾阳市城市总体规划</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汾阳市城市总体规划（2011-2030）》于2011年修订编制完成。根据规划，汾阳市的发展战略目标为：充分利用区位交通优势，以及汾酒产业、历史人文资源等经济社会发展条件，积极配合全省转型发展战略，引领区域转型发展，通过优化城市结构，整合城区资源，构筑汾介孝中心城市，培育并发扬汾酒之都的产业和历史文化特色。</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城市规划范围：指汾阳市城区，东至307国道改线，西至夏汾高速公路，南至307国道连接线，北至贾家庄北，面积约为58.3平方公里，其中城市建设用地面积29平方公里。</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中心城区规划形成</w:t>
      </w:r>
      <w:r>
        <w:rPr>
          <w:rFonts w:hint="eastAsia" w:ascii="Times New Roman" w:hAnsi="Times New Roman" w:cs="Times New Roman"/>
          <w:sz w:val="24"/>
          <w:szCs w:val="24"/>
        </w:rPr>
        <w:t>“</w:t>
      </w:r>
      <w:r>
        <w:rPr>
          <w:rFonts w:ascii="Times New Roman" w:hAnsi="Times New Roman" w:cs="Times New Roman"/>
          <w:sz w:val="24"/>
          <w:szCs w:val="24"/>
        </w:rPr>
        <w:t>一环、两轴、两心、四组团</w:t>
      </w:r>
      <w:r>
        <w:rPr>
          <w:rFonts w:hint="eastAsia" w:ascii="Times New Roman" w:hAnsi="Times New Roman" w:cs="Times New Roman"/>
          <w:sz w:val="24"/>
          <w:szCs w:val="24"/>
        </w:rPr>
        <w:t>”</w:t>
      </w:r>
      <w:r>
        <w:rPr>
          <w:rFonts w:ascii="Times New Roman" w:hAnsi="Times New Roman" w:cs="Times New Roman"/>
          <w:sz w:val="24"/>
          <w:szCs w:val="24"/>
        </w:rPr>
        <w:t>的整体结构。</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一环指城市生态绿环，由禹门河、董寺河沿线绿化带和高速公路生态隔离所形成的城区外围环状绿化屏障和生态背景。</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两轴指汾酒大道——英雄路发展轴和文峰街发展轴。</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两心：北部综合城市中心：在城区北部禹门河两岸、汾酒大道两侧建设汾阳市城区北部综合城市中心。南部综合城市中心：位于汾阳城区南部，英雄路、文峰街交叉口周边区域。</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四组团：包括老城组团、城北组团、城东组团和城南组团。</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汾阳市市域产业布局规划为：要形成</w:t>
      </w:r>
      <w:r>
        <w:rPr>
          <w:rFonts w:hint="eastAsia" w:ascii="Times New Roman" w:hAnsi="Times New Roman" w:cs="Times New Roman"/>
          <w:sz w:val="24"/>
          <w:szCs w:val="24"/>
        </w:rPr>
        <w:t>“</w:t>
      </w:r>
      <w:r>
        <w:rPr>
          <w:rFonts w:ascii="Times New Roman" w:hAnsi="Times New Roman" w:cs="Times New Roman"/>
          <w:sz w:val="24"/>
          <w:szCs w:val="24"/>
        </w:rPr>
        <w:t>一带、四区、五园</w:t>
      </w:r>
      <w:r>
        <w:rPr>
          <w:rFonts w:hint="eastAsia" w:ascii="Times New Roman" w:hAnsi="Times New Roman" w:cs="Times New Roman"/>
          <w:sz w:val="24"/>
          <w:szCs w:val="24"/>
        </w:rPr>
        <w:t>”</w:t>
      </w:r>
      <w:r>
        <w:rPr>
          <w:rFonts w:ascii="Times New Roman" w:hAnsi="Times New Roman" w:cs="Times New Roman"/>
          <w:sz w:val="24"/>
          <w:szCs w:val="24"/>
        </w:rPr>
        <w:t>的产业布局结构。</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一带：杏花村——中心城区——阳城经济发展带；</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两轴：307国道发展轴和222省道发展轴；</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四区：市域中部城镇产业集聚区、东部平原农业区、北部山林生态区、西部煤炭资源利用区。（1）中部城镇产业集聚区：包括杏花村镇、原贾家庄镇、汾阳中心城区的全境及阳城镇、肖家庄镇、峪道河镇、栗家庄镇的部分区域。是市域城镇化和产业发展的核心区域，强调中心城区、杏花村酒业集中区和阳城商贸物流经济开发区的统筹发展；（2）东部平原农业区：包括冀村、肖家庄、阳城和演武四个乡镇。规划建设以粮棉为主的现代农业生产基地和蔬菜基地。工业发展以高端装备制造、新材料等先进制造业为主，相应发展新型建材、特色轻工业、橡胶循环产业；（3）北部山林生态区：包括峪道河镇、栗家庄镇青银高速以西的全部区域。规划以建设林果牧业生产基地为重点，相应发展农副产品加工业和建材业；大力开展山林保护和峪道河风景旅游区开发；（4）西部煤炭资源利用区：包括杨家庄镇、石庄镇和三泉镇的全部区域。规划以三泉焦化工业园区为重点，以煤炭、煤化工为主要发展产业方向，适度发展林果产品加工业。</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本项目建设厂址位于</w:t>
      </w:r>
      <w:r>
        <w:rPr>
          <w:rFonts w:ascii="Times New Roman" w:hAnsi="Times New Roman" w:cs="Times New Roman"/>
          <w:bCs/>
          <w:sz w:val="24"/>
          <w:szCs w:val="24"/>
        </w:rPr>
        <w:t>汾阳市</w:t>
      </w:r>
      <w:r>
        <w:rPr>
          <w:rFonts w:hint="eastAsia" w:ascii="Times New Roman" w:hAnsi="Times New Roman" w:cs="Times New Roman"/>
          <w:bCs/>
          <w:sz w:val="24"/>
          <w:szCs w:val="24"/>
        </w:rPr>
        <w:t>峪道河</w:t>
      </w:r>
      <w:r>
        <w:rPr>
          <w:rFonts w:ascii="Times New Roman" w:hAnsi="Times New Roman" w:cs="Times New Roman"/>
          <w:bCs/>
          <w:sz w:val="24"/>
          <w:szCs w:val="24"/>
        </w:rPr>
        <w:t>镇</w:t>
      </w:r>
      <w:r>
        <w:rPr>
          <w:rFonts w:hint="eastAsia" w:ascii="Times New Roman" w:hAnsi="Times New Roman" w:cs="Times New Roman"/>
          <w:bCs/>
          <w:sz w:val="24"/>
          <w:szCs w:val="24"/>
        </w:rPr>
        <w:t>田褚村西侧约1km处，</w:t>
      </w:r>
      <w:r>
        <w:rPr>
          <w:rFonts w:ascii="Times New Roman" w:hAnsi="Times New Roman" w:cs="Times New Roman"/>
          <w:sz w:val="24"/>
          <w:szCs w:val="24"/>
        </w:rPr>
        <w:t>不在规划的中心城区内，属于北部山林生态区；本项目</w:t>
      </w:r>
      <w:r>
        <w:rPr>
          <w:rFonts w:hint="eastAsia" w:ascii="Times New Roman" w:hAnsi="Times New Roman" w:cs="Times New Roman"/>
          <w:sz w:val="24"/>
          <w:szCs w:val="24"/>
        </w:rPr>
        <w:t>采取先进的生产工艺与污染治理措施，对周围环境影响较小</w:t>
      </w:r>
      <w:r>
        <w:rPr>
          <w:rFonts w:ascii="Times New Roman" w:hAnsi="Times New Roman" w:cs="Times New Roman"/>
          <w:sz w:val="24"/>
          <w:szCs w:val="24"/>
        </w:rPr>
        <w:t>；</w:t>
      </w:r>
      <w:r>
        <w:rPr>
          <w:rFonts w:hint="eastAsia" w:ascii="Times New Roman" w:hAnsi="Times New Roman" w:cs="Times New Roman"/>
          <w:sz w:val="24"/>
          <w:szCs w:val="24"/>
        </w:rPr>
        <w:t>与</w:t>
      </w:r>
      <w:r>
        <w:rPr>
          <w:rFonts w:ascii="Times New Roman" w:hAnsi="Times New Roman" w:cs="Times New Roman"/>
          <w:sz w:val="24"/>
          <w:szCs w:val="24"/>
        </w:rPr>
        <w:t>以建设林果牧业生产基地为重点，相应发展农副产品加工业和建材业</w:t>
      </w:r>
      <w:r>
        <w:rPr>
          <w:rFonts w:hint="eastAsia" w:ascii="Times New Roman" w:hAnsi="Times New Roman" w:cs="Times New Roman"/>
          <w:sz w:val="24"/>
          <w:szCs w:val="24"/>
        </w:rPr>
        <w:t>规划相符；</w:t>
      </w:r>
      <w:r>
        <w:rPr>
          <w:rFonts w:ascii="Times New Roman" w:hAnsi="Times New Roman" w:cs="Times New Roman"/>
          <w:sz w:val="24"/>
          <w:szCs w:val="24"/>
        </w:rPr>
        <w:t>因此本项目的建设</w:t>
      </w:r>
      <w:r>
        <w:rPr>
          <w:rFonts w:hint="eastAsia" w:ascii="Times New Roman" w:hAnsi="Times New Roman" w:cs="Times New Roman"/>
          <w:sz w:val="24"/>
          <w:szCs w:val="24"/>
        </w:rPr>
        <w:t>符合</w:t>
      </w:r>
      <w:r>
        <w:rPr>
          <w:rFonts w:ascii="Times New Roman" w:hAnsi="Times New Roman" w:cs="Times New Roman"/>
          <w:sz w:val="24"/>
          <w:szCs w:val="24"/>
        </w:rPr>
        <w:t>汾阳市城市总体规划。</w:t>
      </w:r>
    </w:p>
    <w:p>
      <w:pPr>
        <w:pStyle w:val="85"/>
        <w:spacing w:line="480" w:lineRule="exact"/>
        <w:ind w:firstLine="496"/>
        <w:rPr>
          <w:rFonts w:ascii="Times New Roman" w:hAnsi="Times New Roman" w:cs="Times New Roman"/>
          <w:spacing w:val="4"/>
          <w:sz w:val="24"/>
          <w:szCs w:val="24"/>
        </w:rPr>
      </w:pPr>
      <w:r>
        <w:rPr>
          <w:rFonts w:hint="eastAsia" w:ascii="Times New Roman" w:hAnsi="Times New Roman" w:cs="Times New Roman"/>
          <w:spacing w:val="4"/>
          <w:sz w:val="24"/>
          <w:szCs w:val="24"/>
        </w:rPr>
        <w:t>汾阳市城市总体规划见图2.3-1。</w:t>
      </w:r>
    </w:p>
    <w:p>
      <w:pPr>
        <w:pStyle w:val="57"/>
        <w:keepNext/>
        <w:keepLines/>
        <w:spacing w:before="0" w:after="0" w:line="480" w:lineRule="exact"/>
        <w:ind w:firstLine="0" w:firstLineChars="0"/>
        <w:outlineLvl w:val="2"/>
        <w:rPr>
          <w:b/>
        </w:rPr>
      </w:pPr>
      <w:r>
        <w:rPr>
          <w:rFonts w:hint="eastAsia"/>
          <w:b/>
        </w:rPr>
        <w:t>2</w:t>
      </w:r>
      <w:r>
        <w:rPr>
          <w:b/>
        </w:rPr>
        <w:t>.</w:t>
      </w:r>
      <w:r>
        <w:rPr>
          <w:rFonts w:hint="eastAsia"/>
          <w:b/>
        </w:rPr>
        <w:t>3</w:t>
      </w:r>
      <w:r>
        <w:rPr>
          <w:b/>
        </w:rPr>
        <w:t>.</w:t>
      </w:r>
      <w:r>
        <w:rPr>
          <w:rFonts w:hint="eastAsia"/>
          <w:b/>
        </w:rPr>
        <w:t>2</w:t>
      </w:r>
      <w:r>
        <w:rPr>
          <w:rFonts w:hint="eastAsia" w:ascii="宋体" w:hAnsi="宋体"/>
          <w:b/>
          <w:bCs/>
          <w:kern w:val="0"/>
        </w:rPr>
        <w:t>汾阳市</w:t>
      </w:r>
      <w:r>
        <w:rPr>
          <w:rFonts w:ascii="宋体" w:hAnsi="宋体"/>
          <w:b/>
          <w:bCs/>
          <w:kern w:val="0"/>
        </w:rPr>
        <w:t>生态功能区划</w:t>
      </w:r>
    </w:p>
    <w:p>
      <w:pPr>
        <w:pStyle w:val="85"/>
        <w:spacing w:line="480" w:lineRule="exact"/>
        <w:ind w:firstLine="480"/>
        <w:rPr>
          <w:sz w:val="24"/>
          <w:szCs w:val="24"/>
        </w:rPr>
      </w:pPr>
      <w:r>
        <w:rPr>
          <w:rFonts w:ascii="Times New Roman" w:hAnsi="Times New Roman" w:cs="Times New Roman"/>
          <w:sz w:val="24"/>
          <w:szCs w:val="24"/>
        </w:rPr>
        <w:t>本项目建设厂址位于</w:t>
      </w:r>
      <w:r>
        <w:rPr>
          <w:rFonts w:ascii="Times New Roman" w:hAnsi="Times New Roman" w:cs="Times New Roman"/>
          <w:bCs/>
          <w:sz w:val="24"/>
          <w:szCs w:val="24"/>
        </w:rPr>
        <w:t>汾阳市</w:t>
      </w:r>
      <w:r>
        <w:rPr>
          <w:rFonts w:hint="eastAsia" w:ascii="Times New Roman" w:hAnsi="Times New Roman" w:cs="Times New Roman"/>
          <w:bCs/>
          <w:sz w:val="24"/>
          <w:szCs w:val="24"/>
        </w:rPr>
        <w:t>峪道河</w:t>
      </w:r>
      <w:r>
        <w:rPr>
          <w:rFonts w:ascii="Times New Roman" w:hAnsi="Times New Roman" w:cs="Times New Roman"/>
          <w:bCs/>
          <w:sz w:val="24"/>
          <w:szCs w:val="24"/>
        </w:rPr>
        <w:t>镇</w:t>
      </w:r>
      <w:r>
        <w:rPr>
          <w:rFonts w:hint="eastAsia" w:ascii="Times New Roman" w:hAnsi="Times New Roman" w:cs="Times New Roman"/>
          <w:bCs/>
          <w:sz w:val="24"/>
          <w:szCs w:val="24"/>
        </w:rPr>
        <w:t>田褚村西侧约1km处，</w:t>
      </w:r>
      <w:r>
        <w:rPr>
          <w:rFonts w:ascii="Times New Roman" w:hAnsi="Times New Roman" w:cs="Times New Roman"/>
          <w:sz w:val="24"/>
          <w:szCs w:val="24"/>
        </w:rPr>
        <w:t>根据《汾阳市生态功能区划》（汾阳市人民政府，2009年12月），</w:t>
      </w:r>
      <w:r>
        <w:rPr>
          <w:rFonts w:hint="eastAsia"/>
          <w:sz w:val="24"/>
          <w:szCs w:val="24"/>
        </w:rPr>
        <w:t>本项目厂址所在区域属于ⅣA夏汾高速西北部土壤保持与营养物质保持生态功能类单元。</w:t>
      </w:r>
    </w:p>
    <w:p>
      <w:pPr>
        <w:pStyle w:val="85"/>
        <w:spacing w:line="480" w:lineRule="exact"/>
        <w:ind w:firstLine="480"/>
        <w:rPr>
          <w:sz w:val="24"/>
          <w:szCs w:val="24"/>
        </w:rPr>
      </w:pPr>
      <w:r>
        <w:rPr>
          <w:rFonts w:hint="eastAsia"/>
          <w:sz w:val="24"/>
          <w:szCs w:val="24"/>
        </w:rPr>
        <w:t>该区位于汾阳市的中东部地区，包括杏花村镇和贾家庄镇的北部地区，峪道河镇的南部地区以及粟家庄乡除北部小部分区域以外的其它全部地区，总面和272平方公里。该区年平均气温8.2℃，年平均降水最460mm，无霜期170天左右。区域地貌比较单一，绝大部分地区为丘陵，只在该区的北部一带有小部分的中山地貌，海拔高度在800-1500米之间。区域地层主要以古生界奥陶系和新生界第四系为主，新生界新近系面积较小，呈零星分布。土壤类型以淡褐土性土为主，粗骨性土、碳酸盐褐土与山地褐土有少量分布。流经该区的河流有峪道河、禹门河、向阳河、董寺河，但多为季节性河流，只在夏季汛期有水</w:t>
      </w:r>
      <w:r>
        <w:rPr>
          <w:sz w:val="24"/>
          <w:szCs w:val="24"/>
        </w:rPr>
        <w:t>。</w:t>
      </w:r>
    </w:p>
    <w:p>
      <w:pPr>
        <w:pStyle w:val="85"/>
        <w:spacing w:line="480" w:lineRule="exact"/>
        <w:ind w:firstLine="480"/>
        <w:rPr>
          <w:sz w:val="24"/>
          <w:szCs w:val="24"/>
        </w:rPr>
      </w:pPr>
      <w:r>
        <w:rPr>
          <w:sz w:val="24"/>
          <w:szCs w:val="24"/>
        </w:rPr>
        <w:t>该区主要的生态服务功能是土壤保持与营养物质保持。</w:t>
      </w:r>
    </w:p>
    <w:p>
      <w:pPr>
        <w:pStyle w:val="85"/>
        <w:spacing w:line="480" w:lineRule="exact"/>
        <w:ind w:firstLine="480"/>
        <w:rPr>
          <w:sz w:val="24"/>
          <w:szCs w:val="24"/>
        </w:rPr>
      </w:pPr>
      <w:r>
        <w:rPr>
          <w:rFonts w:hint="eastAsia"/>
          <w:sz w:val="24"/>
          <w:szCs w:val="24"/>
        </w:rPr>
        <w:t>主要生态环境问题及其成因：①该区植被一般，且地处低山丘陵区，地面坡度相对较大，致使该区大部分区域水土流失较为严重。②区域内畜牧业稳步发展，牛、羊、鸡、兔等畜禽的饲养量大且多采用传统散养方式，规模化、标准化程度较低，冬春季草场返青期放牧，影响草场嫩草的长势，破坏草场的生态环境，引起草地退化。①神头泉、协和堡、北垣底水源地附近有水泥、铸造、酿造企业，其在生产过程中排放的生产废水对水源地的水质造成了一定的影响；由于地下本补给有限，加之长期的不合理开采，造成水源地附近区域的地下水位下降。</w:t>
      </w:r>
    </w:p>
    <w:p>
      <w:pPr>
        <w:pStyle w:val="85"/>
        <w:spacing w:line="480" w:lineRule="exact"/>
        <w:ind w:firstLine="480"/>
        <w:rPr>
          <w:sz w:val="24"/>
          <w:szCs w:val="24"/>
        </w:rPr>
      </w:pPr>
      <w:r>
        <w:rPr>
          <w:rFonts w:hint="eastAsia"/>
          <w:sz w:val="24"/>
          <w:szCs w:val="24"/>
        </w:rPr>
        <w:t>保护措施：①加大该区域水土流失的治理力度，一方面加大田地、村庄、道路周边区域林带建设以及山坡少林地带与峪道河、禹门河、向阳河、董寺河沿岸两侧区域的植树种草力度，提高植被覆盖率，防治水土流失；另一</w:t>
      </w:r>
      <w:r>
        <w:rPr>
          <w:rFonts w:hint="eastAsia"/>
          <w:sz w:val="24"/>
          <w:szCs w:val="24"/>
          <w:lang w:eastAsia="zh-CN"/>
        </w:rPr>
        <w:t>方面</w:t>
      </w:r>
      <w:r>
        <w:rPr>
          <w:rFonts w:hint="eastAsia"/>
          <w:sz w:val="24"/>
          <w:szCs w:val="24"/>
        </w:rPr>
        <w:t>要以保持水土为基础，做好退耕还林还草工作，切实把25度以上的坡耕地纳入退耕还林还草的范围。②加强规模圈舍养殖场和养殖业生产基地的建设，改变当前养殖业以放牧为主、科技含量低、综合效益差的局面，逐步实现畜禽养殖由传统散养向集约化舍饲的战略转移，同时加强该区草地生态系统的建设，努力做到种养结合，实行季节性休牧，保护冬春脆弱期的草地资瀑。①加强水源地一级保护区及二级保护区的保护工作，严格控制水源地保护区周边企业污染物的排放，对水源地造成严重影响的污染性企业有计划实施关停或搬迁，推动水源地保护区各项规章制度的落实。</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发是方向：继续加强栗家庄食品工业园的建设，做大做强农副产品加工这一主导产业；建设以峪道河镇为中心的优质小米种植基地、建设以该区为重点、以核桃为主的成片经济林的林果基地，大力发展核桃种植业，提高植被覆盖度，增强土壤保持能力。</w:t>
      </w:r>
    </w:p>
    <w:p>
      <w:pPr>
        <w:pStyle w:val="85"/>
        <w:spacing w:line="480" w:lineRule="exact"/>
        <w:ind w:firstLine="480"/>
        <w:rPr>
          <w:rFonts w:ascii="Times New Roman" w:hAnsi="Times New Roman" w:cs="Times New Roman"/>
          <w:sz w:val="24"/>
          <w:szCs w:val="24"/>
        </w:rPr>
      </w:pPr>
      <w:r>
        <w:rPr>
          <w:rFonts w:hint="eastAsia"/>
          <w:bCs/>
          <w:sz w:val="24"/>
          <w:szCs w:val="24"/>
        </w:rPr>
        <w:t>本项目符合国家产业政策要求，项目采取了源头污染控制的工程措施切实可行，可实现污水零排放、粪污得到资源化综合利用的环境保护技术要求，在认真落实报告书所述各项污染防治措施后，可实现污染物稳定达标排放，通过加强环境管理和环境监测，杜绝事故发生，本项目建设可被周围环境所接受。</w:t>
      </w:r>
      <w:r>
        <w:rPr>
          <w:rFonts w:hint="eastAsia" w:ascii="Times New Roman" w:hAnsi="Times New Roman" w:cs="Times New Roman"/>
          <w:sz w:val="24"/>
          <w:szCs w:val="24"/>
        </w:rPr>
        <w:t>因此本项目的建设不违背ⅣA夏汾高速西北部土壤保持与营养物质保持生态功能类单元的保护要求。</w:t>
      </w:r>
    </w:p>
    <w:p>
      <w:pPr>
        <w:pStyle w:val="85"/>
        <w:spacing w:line="480" w:lineRule="exact"/>
        <w:ind w:firstLine="496"/>
        <w:rPr>
          <w:rFonts w:ascii="Times New Roman" w:hAnsi="Times New Roman" w:cs="Times New Roman"/>
          <w:spacing w:val="4"/>
          <w:sz w:val="24"/>
          <w:szCs w:val="24"/>
        </w:rPr>
      </w:pPr>
      <w:r>
        <w:rPr>
          <w:rFonts w:hint="eastAsia" w:ascii="Times New Roman" w:hAnsi="Times New Roman" w:cs="Times New Roman"/>
          <w:spacing w:val="4"/>
          <w:sz w:val="24"/>
          <w:szCs w:val="24"/>
        </w:rPr>
        <w:t>汾阳市生态功能区划图见图2.3-2。</w:t>
      </w:r>
    </w:p>
    <w:p>
      <w:pPr>
        <w:pStyle w:val="57"/>
        <w:keepNext/>
        <w:keepLines/>
        <w:spacing w:before="0" w:after="0" w:line="480" w:lineRule="exact"/>
        <w:ind w:firstLine="0" w:firstLineChars="0"/>
        <w:outlineLvl w:val="2"/>
        <w:rPr>
          <w:b/>
        </w:rPr>
      </w:pPr>
      <w:r>
        <w:rPr>
          <w:rFonts w:hint="eastAsia"/>
          <w:b/>
        </w:rPr>
        <w:t>2</w:t>
      </w:r>
      <w:r>
        <w:rPr>
          <w:b/>
        </w:rPr>
        <w:t>.</w:t>
      </w:r>
      <w:r>
        <w:rPr>
          <w:rFonts w:hint="eastAsia"/>
          <w:b/>
        </w:rPr>
        <w:t>3</w:t>
      </w:r>
      <w:r>
        <w:rPr>
          <w:b/>
        </w:rPr>
        <w:t>.</w:t>
      </w:r>
      <w:r>
        <w:rPr>
          <w:rFonts w:hint="eastAsia"/>
          <w:b/>
        </w:rPr>
        <w:t>3</w:t>
      </w:r>
      <w:r>
        <w:rPr>
          <w:rFonts w:hint="eastAsia" w:ascii="宋体" w:hAnsi="宋体"/>
          <w:b/>
          <w:bCs/>
          <w:kern w:val="0"/>
        </w:rPr>
        <w:t>汾阳市</w:t>
      </w:r>
      <w:r>
        <w:rPr>
          <w:rFonts w:ascii="宋体" w:hAnsi="宋体"/>
          <w:b/>
          <w:bCs/>
          <w:kern w:val="0"/>
        </w:rPr>
        <w:t>生态</w:t>
      </w:r>
      <w:r>
        <w:rPr>
          <w:rFonts w:hint="eastAsia" w:ascii="宋体" w:hAnsi="宋体"/>
          <w:b/>
          <w:bCs/>
          <w:kern w:val="0"/>
        </w:rPr>
        <w:t>经济</w:t>
      </w:r>
      <w:r>
        <w:rPr>
          <w:rFonts w:ascii="宋体" w:hAnsi="宋体"/>
          <w:b/>
          <w:bCs/>
          <w:kern w:val="0"/>
        </w:rPr>
        <w:t>区划</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本项目建设厂址位于</w:t>
      </w:r>
      <w:r>
        <w:rPr>
          <w:rFonts w:ascii="Times New Roman" w:hAnsi="Times New Roman" w:cs="Times New Roman"/>
          <w:bCs/>
          <w:sz w:val="24"/>
          <w:szCs w:val="24"/>
        </w:rPr>
        <w:t>汾阳市</w:t>
      </w:r>
      <w:r>
        <w:rPr>
          <w:rFonts w:hint="eastAsia" w:ascii="Times New Roman" w:hAnsi="Times New Roman" w:cs="Times New Roman"/>
          <w:bCs/>
          <w:sz w:val="24"/>
          <w:szCs w:val="24"/>
        </w:rPr>
        <w:t>峪道河</w:t>
      </w:r>
      <w:r>
        <w:rPr>
          <w:rFonts w:ascii="Times New Roman" w:hAnsi="Times New Roman" w:cs="Times New Roman"/>
          <w:bCs/>
          <w:sz w:val="24"/>
          <w:szCs w:val="24"/>
        </w:rPr>
        <w:t>镇</w:t>
      </w:r>
      <w:r>
        <w:rPr>
          <w:rFonts w:hint="eastAsia" w:ascii="Times New Roman" w:hAnsi="Times New Roman" w:cs="Times New Roman"/>
          <w:bCs/>
          <w:sz w:val="24"/>
          <w:szCs w:val="24"/>
        </w:rPr>
        <w:t>田褚村西侧约1km处，</w:t>
      </w:r>
      <w:r>
        <w:rPr>
          <w:rFonts w:ascii="Times New Roman" w:hAnsi="Times New Roman" w:cs="Times New Roman"/>
          <w:sz w:val="24"/>
          <w:szCs w:val="24"/>
        </w:rPr>
        <w:t>根据《汾阳市生态经济区划》（汾阳市人民政府，2009年12月），本项目厂址位于</w:t>
      </w:r>
      <w:bookmarkStart w:id="36" w:name="_Hlk16494343"/>
      <w:r>
        <w:rPr>
          <w:rFonts w:ascii="Times New Roman" w:hAnsi="Times New Roman" w:cs="Times New Roman"/>
          <w:sz w:val="24"/>
          <w:szCs w:val="24"/>
        </w:rPr>
        <w:t>ⅣA-3汾阳</w:t>
      </w:r>
      <w:r>
        <w:rPr>
          <w:rFonts w:hint="eastAsia" w:ascii="Times New Roman" w:hAnsi="Times New Roman" w:cs="Times New Roman"/>
          <w:sz w:val="24"/>
          <w:szCs w:val="24"/>
        </w:rPr>
        <w:t>中</w:t>
      </w:r>
      <w:r>
        <w:rPr>
          <w:rFonts w:ascii="Times New Roman" w:hAnsi="Times New Roman" w:cs="Times New Roman"/>
          <w:sz w:val="24"/>
          <w:szCs w:val="24"/>
        </w:rPr>
        <w:t>部</w:t>
      </w:r>
      <w:r>
        <w:rPr>
          <w:rFonts w:hint="eastAsia" w:ascii="Times New Roman" w:hAnsi="Times New Roman" w:cs="Times New Roman"/>
          <w:sz w:val="24"/>
          <w:szCs w:val="24"/>
        </w:rPr>
        <w:t>特色农业及食品生态经济区</w:t>
      </w:r>
      <w:bookmarkEnd w:id="36"/>
      <w:r>
        <w:rPr>
          <w:rFonts w:ascii="Times New Roman" w:hAnsi="Times New Roman" w:cs="Times New Roman"/>
          <w:sz w:val="24"/>
          <w:szCs w:val="24"/>
        </w:rPr>
        <w:t>；属于Ⅳ重点开发区，ⅣA</w:t>
      </w:r>
      <w:r>
        <w:rPr>
          <w:rFonts w:hint="eastAsia" w:ascii="Times New Roman" w:hAnsi="Times New Roman" w:cs="Times New Roman"/>
          <w:sz w:val="24"/>
          <w:szCs w:val="24"/>
        </w:rPr>
        <w:t>夏汾高速西北部</w:t>
      </w:r>
      <w:r>
        <w:rPr>
          <w:rFonts w:ascii="Times New Roman" w:hAnsi="Times New Roman" w:cs="Times New Roman"/>
          <w:sz w:val="24"/>
          <w:szCs w:val="24"/>
        </w:rPr>
        <w:t>重点开发区。</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ⅣA-3汾阳中部特色农业及食品生态经济区位于汾阳中部，地跨4个乡镇，包括峪道河镇的南部、栗家庄乡南部、杏花村镇北部及贾家庄镇北部边界区域，总面积120.03平方公里。该区的生态系统类型主要为农田生态系统。该区天然植被较少，以草灌丛、茜类为主，农作物主要有高粱、玉米、谷子、小麦、薯类等粮食作物和蔬菜、豆类、药材、苹果、核桃等经济作物。</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主要生态环境问题及成因：①该区自然植被稀少，地表植被主要以农作物和经济林为主，土壤侵蚀较重，尤以石老、应上、霍头、山庄头一带和万户侯、石盘山、南垣底一带及河流两岸最为严重。②农业现代化水平低，农膜、化肥、农药的使用，导致土壤肥力下降，造成农田生态系统退化；秸轩利用率底，禽畜粪便及生活垃圾得不到合理处置，造成资源浪费，影响农村环境。③铸造和洗煤企业在生产和生活过程中排放的废弃物对周边水体及大气环境造成了不同程度的污染。</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生态环境保护要求为：①加大石老、庄上、霍头、山庄头一蒂和万户侯、石盘山、南垣底一带的植树造林力度，对不适宜耕种的土地，采取退耕还林还草措施；加强村庄、河岸、路边的绿化和田间林网的建设，提高该区的林草覆盖率，防治水土流失，营造良好的区域生态环境。②推广高效、低毒、低残留的化学农药、有机农药，减少化学污染和面源污染，保证在产品安全；加强农业基础</w:t>
      </w:r>
      <w:r>
        <w:rPr>
          <w:rFonts w:hint="eastAsia" w:ascii="Times New Roman" w:hAnsi="Times New Roman" w:cs="Times New Roman"/>
          <w:sz w:val="24"/>
          <w:szCs w:val="24"/>
          <w:lang w:eastAsia="zh-CN"/>
        </w:rPr>
        <w:t>设施</w:t>
      </w:r>
      <w:r>
        <w:rPr>
          <w:rFonts w:hint="eastAsia" w:ascii="Times New Roman" w:hAnsi="Times New Roman" w:cs="Times New Roman"/>
          <w:sz w:val="24"/>
          <w:szCs w:val="24"/>
        </w:rPr>
        <w:t>建设，进行农村环境综合整治及环境优美乡镇和生态文明村的建设。③对现有的铸造、洗煤类企业进行生产工艺改革等技术升级，淘汰污染严重的落后生产工艺及设备，严格清洁生产审核。</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发展方向：①利用当地天然优势，加强以核桃为主的成片经济林的林果基地的建设，大力发展核桃和水果种植业及其他土特产品产业。②发展农副土特产品加工业，继续加强栗家庄食品工业园的建设，重点引进和发展绿色农副产品、食品、饮品生产加工业。发挥栗家庄山西特达土特产品有限公司等大型龙头企业的带动作用，继续做大做强农副产品加工这一主导产业。③对于现有工业企业，推行“补链”战略，延伸产业链条，构建生态型工业体系，发展循环经济。④适当的限制导致土壤肥力下降和地表水富营养化的化肥、农药的大量使用；限制污染严重、生产工艺落后的铸造、洗煤类企业的建设。</w:t>
      </w:r>
    </w:p>
    <w:p>
      <w:pPr>
        <w:pStyle w:val="85"/>
        <w:spacing w:line="480" w:lineRule="exact"/>
        <w:ind w:firstLine="480"/>
        <w:rPr>
          <w:rFonts w:ascii="Times New Roman" w:hAnsi="Times New Roman" w:cs="Times New Roman"/>
          <w:color w:val="FF0000"/>
          <w:sz w:val="24"/>
          <w:szCs w:val="24"/>
        </w:rPr>
      </w:pPr>
      <w:r>
        <w:rPr>
          <w:rFonts w:hint="eastAsia"/>
          <w:bCs/>
          <w:sz w:val="24"/>
          <w:szCs w:val="24"/>
        </w:rPr>
        <w:t>本项目符合国家产业政策要求，项目采取了源头污染控制的工程措施切实可行，可实现污水零排放、粪污得到资源化综合利用的环境保护技术要求，在认真落实报告书所述各项污染防治措施后，可实现污染物稳定达标排放，通过加强环境管理和环境监测，杜绝事故发生，本项目建设可被周围环境所接受。</w:t>
      </w:r>
      <w:r>
        <w:rPr>
          <w:rFonts w:hint="eastAsia" w:ascii="Times New Roman" w:hAnsi="Times New Roman" w:cs="Times New Roman"/>
          <w:sz w:val="24"/>
          <w:szCs w:val="24"/>
        </w:rPr>
        <w:t>因此本项目的建设不违背</w:t>
      </w:r>
      <w:r>
        <w:rPr>
          <w:rFonts w:ascii="Times New Roman" w:hAnsi="Times New Roman" w:cs="Times New Roman"/>
          <w:sz w:val="24"/>
          <w:szCs w:val="24"/>
        </w:rPr>
        <w:t>ⅣA-3汾阳</w:t>
      </w:r>
      <w:r>
        <w:rPr>
          <w:rFonts w:hint="eastAsia" w:ascii="Times New Roman" w:hAnsi="Times New Roman" w:cs="Times New Roman"/>
          <w:sz w:val="24"/>
          <w:szCs w:val="24"/>
        </w:rPr>
        <w:t>中</w:t>
      </w:r>
      <w:r>
        <w:rPr>
          <w:rFonts w:ascii="Times New Roman" w:hAnsi="Times New Roman" w:cs="Times New Roman"/>
          <w:sz w:val="24"/>
          <w:szCs w:val="24"/>
        </w:rPr>
        <w:t>部</w:t>
      </w:r>
      <w:r>
        <w:rPr>
          <w:rFonts w:hint="eastAsia" w:ascii="Times New Roman" w:hAnsi="Times New Roman" w:cs="Times New Roman"/>
          <w:sz w:val="24"/>
          <w:szCs w:val="24"/>
        </w:rPr>
        <w:t>特色农业及食品生态经济区的保护要求。</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汾阳市生态经济区划图见图2.3-</w:t>
      </w:r>
      <w:r>
        <w:rPr>
          <w:rFonts w:ascii="Times New Roman" w:hAnsi="Times New Roman" w:cs="Times New Roman"/>
          <w:sz w:val="24"/>
          <w:szCs w:val="24"/>
        </w:rPr>
        <w:t>3</w:t>
      </w:r>
      <w:r>
        <w:rPr>
          <w:rFonts w:hint="eastAsia" w:ascii="Times New Roman" w:hAnsi="Times New Roman" w:cs="Times New Roman"/>
          <w:sz w:val="24"/>
          <w:szCs w:val="24"/>
        </w:rPr>
        <w:t>。</w:t>
      </w:r>
    </w:p>
    <w:p>
      <w:pPr>
        <w:pStyle w:val="57"/>
        <w:keepNext/>
        <w:keepLines/>
        <w:spacing w:before="0" w:after="0" w:line="480" w:lineRule="exact"/>
        <w:ind w:firstLine="0" w:firstLineChars="0"/>
        <w:outlineLvl w:val="2"/>
        <w:rPr>
          <w:b/>
        </w:rPr>
      </w:pPr>
      <w:r>
        <w:rPr>
          <w:rFonts w:hint="eastAsia"/>
          <w:b/>
        </w:rPr>
        <w:t>2</w:t>
      </w:r>
      <w:r>
        <w:rPr>
          <w:b/>
        </w:rPr>
        <w:t>.</w:t>
      </w:r>
      <w:r>
        <w:rPr>
          <w:rFonts w:hint="eastAsia"/>
          <w:b/>
        </w:rPr>
        <w:t>3</w:t>
      </w:r>
      <w:r>
        <w:rPr>
          <w:b/>
        </w:rPr>
        <w:t>.</w:t>
      </w:r>
      <w:r>
        <w:rPr>
          <w:rFonts w:hint="eastAsia"/>
          <w:b/>
        </w:rPr>
        <w:t>4</w:t>
      </w:r>
      <w:r>
        <w:rPr>
          <w:rFonts w:hint="eastAsia" w:ascii="宋体" w:hAnsi="宋体"/>
          <w:b/>
          <w:bCs/>
          <w:kern w:val="0"/>
        </w:rPr>
        <w:t>环境功能区划</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评价区</w:t>
      </w:r>
      <w:r>
        <w:rPr>
          <w:rFonts w:ascii="Times New Roman" w:hAnsi="Times New Roman" w:cs="Times New Roman"/>
          <w:sz w:val="24"/>
          <w:szCs w:val="24"/>
        </w:rPr>
        <w:t>位于</w:t>
      </w:r>
      <w:r>
        <w:rPr>
          <w:rFonts w:ascii="Times New Roman" w:hAnsi="Times New Roman" w:cs="Times New Roman"/>
          <w:bCs/>
          <w:sz w:val="24"/>
          <w:szCs w:val="24"/>
        </w:rPr>
        <w:t>汾阳市</w:t>
      </w:r>
      <w:r>
        <w:rPr>
          <w:rFonts w:hint="eastAsia" w:ascii="Times New Roman" w:hAnsi="Times New Roman" w:cs="Times New Roman"/>
          <w:bCs/>
          <w:sz w:val="24"/>
          <w:szCs w:val="24"/>
        </w:rPr>
        <w:t>峪道河</w:t>
      </w:r>
      <w:r>
        <w:rPr>
          <w:rFonts w:ascii="Times New Roman" w:hAnsi="Times New Roman" w:cs="Times New Roman"/>
          <w:bCs/>
          <w:sz w:val="24"/>
          <w:szCs w:val="24"/>
        </w:rPr>
        <w:t>镇</w:t>
      </w:r>
      <w:r>
        <w:rPr>
          <w:rFonts w:hint="eastAsia" w:ascii="Times New Roman" w:hAnsi="Times New Roman" w:cs="Times New Roman"/>
          <w:bCs/>
          <w:sz w:val="24"/>
          <w:szCs w:val="24"/>
        </w:rPr>
        <w:t>田褚村西侧约1km处，</w:t>
      </w:r>
      <w:r>
        <w:rPr>
          <w:rFonts w:hint="eastAsia" w:ascii="Times New Roman" w:hAnsi="Times New Roman" w:cs="Times New Roman"/>
          <w:sz w:val="24"/>
          <w:szCs w:val="24"/>
        </w:rPr>
        <w:t>确定环境功能区划为：</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环境空气</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项目厂址处于工业、农业、商业、居住混合区，根据《环境空气质量标准》（GB3095-2012）中的环境空气质量功能区分类规定，评价区域属于二类区，结合本区域的具体情况，评价区域环境空气质量执行《环境空气质量标准》（GB3095-2012）中二级标准。</w:t>
      </w:r>
    </w:p>
    <w:p>
      <w:pPr>
        <w:pStyle w:val="85"/>
        <w:spacing w:line="480" w:lineRule="exact"/>
        <w:ind w:firstLine="496"/>
        <w:rPr>
          <w:rFonts w:ascii="Times New Roman" w:hAnsi="Times New Roman" w:cs="Times New Roman"/>
          <w:spacing w:val="4"/>
          <w:sz w:val="24"/>
          <w:szCs w:val="24"/>
        </w:rPr>
      </w:pPr>
      <w:bookmarkStart w:id="37" w:name="_Toc105460700"/>
      <w:r>
        <w:rPr>
          <w:rFonts w:hint="eastAsia" w:ascii="Times New Roman" w:hAnsi="Times New Roman" w:cs="Times New Roman"/>
          <w:spacing w:val="4"/>
          <w:sz w:val="24"/>
          <w:szCs w:val="24"/>
        </w:rPr>
        <w:t>（2）</w:t>
      </w:r>
      <w:bookmarkEnd w:id="37"/>
      <w:r>
        <w:rPr>
          <w:rFonts w:hint="eastAsia" w:ascii="Times New Roman" w:hAnsi="Times New Roman" w:cs="Times New Roman"/>
          <w:spacing w:val="4"/>
          <w:sz w:val="24"/>
          <w:szCs w:val="24"/>
        </w:rPr>
        <w:t>地表水</w:t>
      </w:r>
    </w:p>
    <w:p>
      <w:pPr>
        <w:pStyle w:val="85"/>
        <w:spacing w:line="480" w:lineRule="exact"/>
        <w:ind w:firstLine="496"/>
        <w:rPr>
          <w:rFonts w:ascii="Times New Roman" w:hAnsi="Times New Roman" w:cs="Times New Roman"/>
          <w:spacing w:val="4"/>
          <w:sz w:val="24"/>
          <w:szCs w:val="24"/>
        </w:rPr>
      </w:pPr>
      <w:r>
        <w:rPr>
          <w:rFonts w:ascii="Times New Roman" w:hAnsi="Times New Roman" w:cs="Times New Roman"/>
          <w:spacing w:val="4"/>
          <w:sz w:val="24"/>
          <w:szCs w:val="24"/>
        </w:rPr>
        <w:t>根据《山西省地表水水环境功能区划》DB14/67-2014，</w:t>
      </w:r>
      <w:r>
        <w:rPr>
          <w:rFonts w:ascii="Times New Roman" w:hAnsi="Times New Roman" w:cs="Times New Roman"/>
          <w:bCs/>
          <w:spacing w:val="4"/>
          <w:sz w:val="24"/>
          <w:szCs w:val="24"/>
        </w:rPr>
        <w:t>文峪河汾阳段水环境功能区划为农业用水保护，</w:t>
      </w:r>
      <w:r>
        <w:rPr>
          <w:rFonts w:ascii="Times New Roman" w:hAnsi="Times New Roman" w:cs="Times New Roman"/>
          <w:spacing w:val="4"/>
          <w:sz w:val="24"/>
          <w:szCs w:val="24"/>
        </w:rPr>
        <w:t>磁窑河</w:t>
      </w:r>
      <w:r>
        <w:rPr>
          <w:rFonts w:hint="eastAsia" w:ascii="Times New Roman" w:hAnsi="Times New Roman" w:cs="Times New Roman"/>
          <w:spacing w:val="4"/>
          <w:sz w:val="24"/>
          <w:szCs w:val="24"/>
        </w:rPr>
        <w:t>“</w:t>
      </w:r>
      <w:r>
        <w:rPr>
          <w:rFonts w:ascii="Times New Roman" w:hAnsi="Times New Roman" w:cs="Times New Roman"/>
          <w:spacing w:val="4"/>
          <w:sz w:val="24"/>
          <w:szCs w:val="24"/>
        </w:rPr>
        <w:t>坡底—入汾河</w:t>
      </w:r>
      <w:r>
        <w:rPr>
          <w:rFonts w:hint="eastAsia" w:ascii="Times New Roman" w:hAnsi="Times New Roman" w:cs="Times New Roman"/>
          <w:spacing w:val="4"/>
          <w:sz w:val="24"/>
          <w:szCs w:val="24"/>
        </w:rPr>
        <w:t>”段</w:t>
      </w:r>
      <w:r>
        <w:rPr>
          <w:rFonts w:ascii="Times New Roman" w:hAnsi="Times New Roman" w:cs="Times New Roman"/>
          <w:spacing w:val="4"/>
          <w:sz w:val="24"/>
          <w:szCs w:val="24"/>
        </w:rPr>
        <w:t>水环境功能为农业用水保护，执行《地表水环境质量标准》（GB38382-2002）V类标准。</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（3）地下水</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根据</w:t>
      </w:r>
      <w:r>
        <w:rPr>
          <w:rFonts w:hint="eastAsia" w:ascii="Times New Roman" w:hAnsi="Times New Roman" w:cs="Times New Roman"/>
          <w:sz w:val="24"/>
          <w:szCs w:val="24"/>
        </w:rPr>
        <w:t>《地下水质量标准》（GB/T14848-2017）</w:t>
      </w:r>
      <w:r>
        <w:rPr>
          <w:rFonts w:ascii="Times New Roman" w:hAnsi="Times New Roman" w:cs="Times New Roman"/>
          <w:sz w:val="24"/>
          <w:szCs w:val="24"/>
        </w:rPr>
        <w:t>中地下水的分类要求：</w:t>
      </w:r>
      <w:r>
        <w:rPr>
          <w:rFonts w:hint="eastAsia" w:ascii="Times New Roman" w:hAnsi="Times New Roman" w:cs="Times New Roman"/>
          <w:sz w:val="24"/>
          <w:szCs w:val="24"/>
        </w:rPr>
        <w:t>“地下水化学组分含量中等，以G</w:t>
      </w:r>
      <w:r>
        <w:rPr>
          <w:rFonts w:ascii="Times New Roman" w:hAnsi="Times New Roman" w:cs="Times New Roman"/>
          <w:sz w:val="24"/>
          <w:szCs w:val="24"/>
        </w:rPr>
        <w:t>B5749-2006</w:t>
      </w:r>
      <w:r>
        <w:rPr>
          <w:rFonts w:hint="eastAsia" w:ascii="Times New Roman" w:hAnsi="Times New Roman" w:cs="Times New Roman"/>
          <w:sz w:val="24"/>
          <w:szCs w:val="24"/>
        </w:rPr>
        <w:t>为依据，主要适用于集中式生活饮用水水源及工农业用水”</w:t>
      </w:r>
      <w:r>
        <w:rPr>
          <w:rFonts w:ascii="Times New Roman" w:hAnsi="Times New Roman" w:cs="Times New Roman"/>
          <w:sz w:val="24"/>
          <w:szCs w:val="24"/>
        </w:rPr>
        <w:t>，本区域地下水应执行</w:t>
      </w:r>
      <w:r>
        <w:rPr>
          <w:rFonts w:hint="eastAsia" w:ascii="Times New Roman" w:hAnsi="Times New Roman" w:cs="Times New Roman"/>
          <w:sz w:val="24"/>
          <w:szCs w:val="24"/>
        </w:rPr>
        <w:t>III</w:t>
      </w:r>
      <w:r>
        <w:rPr>
          <w:rFonts w:ascii="Times New Roman" w:hAnsi="Times New Roman" w:cs="Times New Roman"/>
          <w:sz w:val="24"/>
          <w:szCs w:val="24"/>
        </w:rPr>
        <w:t>类标准。</w:t>
      </w:r>
    </w:p>
    <w:p>
      <w:pPr>
        <w:pStyle w:val="85"/>
        <w:spacing w:line="480" w:lineRule="exact"/>
        <w:ind w:firstLine="480"/>
        <w:rPr>
          <w:rFonts w:ascii="Times New Roman" w:hAnsi="Times New Roman" w:cs="Times New Roman"/>
          <w:sz w:val="24"/>
          <w:szCs w:val="24"/>
        </w:rPr>
      </w:pPr>
      <w:bookmarkStart w:id="38" w:name="_Toc105460701"/>
      <w:r>
        <w:rPr>
          <w:rFonts w:hint="eastAsia" w:ascii="Times New Roman" w:hAnsi="Times New Roman" w:cs="Times New Roman"/>
          <w:sz w:val="24"/>
          <w:szCs w:val="24"/>
        </w:rPr>
        <w:t>（4）</w:t>
      </w:r>
      <w:r>
        <w:rPr>
          <w:rFonts w:ascii="Times New Roman" w:hAnsi="Times New Roman" w:cs="Times New Roman"/>
          <w:sz w:val="24"/>
          <w:szCs w:val="24"/>
        </w:rPr>
        <w:t>声环境</w:t>
      </w:r>
      <w:bookmarkEnd w:id="38"/>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根据《声环境质量标准》（GB3096-2008）和《环境影响评价技术导则 声环境》（HJ2.4-2009）规定，</w:t>
      </w:r>
      <w:r>
        <w:rPr>
          <w:rFonts w:hint="eastAsia" w:ascii="Times New Roman" w:hAnsi="Times New Roman" w:cs="Times New Roman"/>
          <w:sz w:val="24"/>
          <w:szCs w:val="24"/>
        </w:rPr>
        <w:t>厂界范围</w:t>
      </w:r>
      <w:r>
        <w:rPr>
          <w:rFonts w:ascii="Times New Roman" w:hAnsi="Times New Roman" w:cs="Times New Roman"/>
          <w:sz w:val="24"/>
          <w:szCs w:val="24"/>
        </w:rPr>
        <w:t>属于</w:t>
      </w:r>
      <w:r>
        <w:rPr>
          <w:rFonts w:hint="eastAsia" w:ascii="Times New Roman" w:hAnsi="Times New Roman" w:cs="Times New Roman"/>
          <w:sz w:val="24"/>
          <w:szCs w:val="24"/>
        </w:rPr>
        <w:t>2</w:t>
      </w:r>
      <w:r>
        <w:rPr>
          <w:rFonts w:ascii="Times New Roman" w:hAnsi="Times New Roman" w:cs="Times New Roman"/>
          <w:sz w:val="24"/>
          <w:szCs w:val="24"/>
        </w:rPr>
        <w:t>类区，执行《声环境质量标准》（GB3096-2008）</w:t>
      </w:r>
      <w:r>
        <w:rPr>
          <w:rFonts w:hint="eastAsia" w:ascii="Times New Roman" w:hAnsi="Times New Roman" w:cs="Times New Roman"/>
          <w:sz w:val="24"/>
          <w:szCs w:val="24"/>
        </w:rPr>
        <w:t>2</w:t>
      </w:r>
      <w:r>
        <w:rPr>
          <w:rFonts w:ascii="Times New Roman" w:hAnsi="Times New Roman" w:cs="Times New Roman"/>
          <w:sz w:val="24"/>
          <w:szCs w:val="24"/>
        </w:rPr>
        <w:t>类标准。</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（5）土壤环境</w:t>
      </w:r>
    </w:p>
    <w:p>
      <w:pPr>
        <w:pStyle w:val="85"/>
        <w:spacing w:line="480" w:lineRule="exact"/>
        <w:ind w:firstLine="480"/>
        <w:rPr>
          <w:rFonts w:ascii="Times New Roman" w:hAnsi="Times New Roman" w:cs="Times New Roman"/>
          <w:sz w:val="24"/>
          <w:szCs w:val="24"/>
        </w:rPr>
      </w:pPr>
      <w:r>
        <w:rPr>
          <w:rFonts w:ascii="Times New Roman" w:hAnsi="Times New Roman" w:cs="Times New Roman"/>
          <w:kern w:val="0"/>
          <w:sz w:val="24"/>
        </w:rPr>
        <w:t>根据《中华人民共和国国家标准 城乡用地分类与规划建设用地标准》（GB50137）中建设用地分类，本项目建设用地为镇建设用地B类商业服务业设施用地中B2类公用设施营业网点用地。根据《土壤环境质量 建设用地土壤污染风险管控标准》（试行）中建设用地分类，本项目属于第二类用地，执行第二类用地建设用地土壤污染风险筛选值和管制值。</w:t>
      </w:r>
    </w:p>
    <w:p>
      <w:pPr>
        <w:pStyle w:val="56"/>
        <w:spacing w:before="156"/>
      </w:pPr>
      <w:bookmarkStart w:id="39" w:name="_Toc19105451"/>
      <w:r>
        <w:t>2.</w:t>
      </w:r>
      <w:r>
        <w:rPr>
          <w:rFonts w:hint="eastAsia"/>
        </w:rPr>
        <w:t>4评价标准</w:t>
      </w:r>
      <w:bookmarkEnd w:id="39"/>
    </w:p>
    <w:p>
      <w:pPr>
        <w:pStyle w:val="57"/>
        <w:keepNext/>
        <w:keepLines/>
        <w:spacing w:before="0" w:after="0" w:line="480" w:lineRule="exact"/>
        <w:ind w:firstLine="0" w:firstLineChars="0"/>
        <w:outlineLvl w:val="2"/>
        <w:rPr>
          <w:b/>
        </w:rPr>
      </w:pPr>
      <w:r>
        <w:rPr>
          <w:rFonts w:hint="eastAsia"/>
          <w:b/>
        </w:rPr>
        <w:t>2</w:t>
      </w:r>
      <w:r>
        <w:rPr>
          <w:b/>
        </w:rPr>
        <w:t>.</w:t>
      </w:r>
      <w:r>
        <w:rPr>
          <w:rFonts w:hint="eastAsia"/>
          <w:b/>
        </w:rPr>
        <w:t>4</w:t>
      </w:r>
      <w:r>
        <w:rPr>
          <w:b/>
        </w:rPr>
        <w:t>.</w:t>
      </w:r>
      <w:r>
        <w:rPr>
          <w:rFonts w:hint="eastAsia"/>
          <w:b/>
        </w:rPr>
        <w:t>1</w:t>
      </w:r>
      <w:r>
        <w:rPr>
          <w:rFonts w:hint="eastAsia" w:ascii="宋体" w:hAnsi="宋体"/>
          <w:b/>
          <w:bCs/>
          <w:kern w:val="0"/>
        </w:rPr>
        <w:t>环境质量标准</w:t>
      </w:r>
    </w:p>
    <w:p>
      <w:pPr>
        <w:pStyle w:val="57"/>
        <w:keepNext/>
        <w:keepLines/>
        <w:spacing w:before="0" w:after="0" w:line="480" w:lineRule="exact"/>
        <w:ind w:firstLine="0" w:firstLineChars="0"/>
        <w:outlineLvl w:val="3"/>
        <w:rPr>
          <w:b/>
        </w:rPr>
      </w:pPr>
      <w:r>
        <w:rPr>
          <w:rFonts w:hint="eastAsia"/>
          <w:b/>
        </w:rPr>
        <w:t>2</w:t>
      </w:r>
      <w:r>
        <w:rPr>
          <w:b/>
        </w:rPr>
        <w:t>.</w:t>
      </w:r>
      <w:r>
        <w:rPr>
          <w:rFonts w:hint="eastAsia"/>
          <w:b/>
        </w:rPr>
        <w:t>4</w:t>
      </w:r>
      <w:r>
        <w:rPr>
          <w:b/>
        </w:rPr>
        <w:t>.</w:t>
      </w:r>
      <w:r>
        <w:rPr>
          <w:rFonts w:hint="eastAsia"/>
          <w:b/>
        </w:rPr>
        <w:t>1.1</w:t>
      </w:r>
      <w:r>
        <w:rPr>
          <w:rFonts w:hint="eastAsia" w:ascii="宋体" w:hAnsi="宋体"/>
          <w:b/>
          <w:bCs/>
          <w:kern w:val="0"/>
        </w:rPr>
        <w:t>环境空气</w:t>
      </w:r>
    </w:p>
    <w:p>
      <w:pPr>
        <w:spacing w:line="480" w:lineRule="exact"/>
        <w:ind w:firstLine="496" w:firstLineChars="200"/>
        <w:rPr>
          <w:bCs/>
          <w:sz w:val="24"/>
        </w:rPr>
      </w:pPr>
      <w:r>
        <w:rPr>
          <w:spacing w:val="4"/>
          <w:sz w:val="24"/>
        </w:rPr>
        <w:t>据评价区域环境功能区划，厂址周围环境属于农村地区，</w:t>
      </w:r>
      <w:r>
        <w:rPr>
          <w:bCs/>
          <w:spacing w:val="4"/>
          <w:sz w:val="24"/>
        </w:rPr>
        <w:t>执行《环境空气质量标准》（GB3095-</w:t>
      </w:r>
      <w:r>
        <w:rPr>
          <w:rFonts w:hint="eastAsia"/>
          <w:bCs/>
          <w:spacing w:val="4"/>
          <w:sz w:val="24"/>
        </w:rPr>
        <w:t>2012</w:t>
      </w:r>
      <w:r>
        <w:rPr>
          <w:bCs/>
          <w:spacing w:val="4"/>
          <w:sz w:val="24"/>
        </w:rPr>
        <w:t>）中二级标准</w:t>
      </w:r>
      <w:r>
        <w:rPr>
          <w:rFonts w:hint="eastAsia"/>
          <w:bCs/>
          <w:sz w:val="24"/>
        </w:rPr>
        <w:t>；N</w:t>
      </w:r>
      <w:r>
        <w:rPr>
          <w:bCs/>
          <w:sz w:val="24"/>
        </w:rPr>
        <w:t>H</w:t>
      </w:r>
      <w:r>
        <w:rPr>
          <w:bCs/>
          <w:sz w:val="24"/>
          <w:vertAlign w:val="subscript"/>
        </w:rPr>
        <w:t>3</w:t>
      </w:r>
      <w:r>
        <w:rPr>
          <w:rFonts w:hint="eastAsia"/>
          <w:bCs/>
          <w:sz w:val="24"/>
        </w:rPr>
        <w:t>、</w:t>
      </w:r>
      <w:r>
        <w:rPr>
          <w:rFonts w:hint="eastAsia"/>
          <w:sz w:val="24"/>
        </w:rPr>
        <w:t>H</w:t>
      </w:r>
      <w:r>
        <w:rPr>
          <w:rFonts w:hint="eastAsia"/>
          <w:sz w:val="24"/>
          <w:vertAlign w:val="subscript"/>
        </w:rPr>
        <w:t>2</w:t>
      </w:r>
      <w:r>
        <w:rPr>
          <w:rFonts w:hint="eastAsia"/>
          <w:sz w:val="24"/>
        </w:rPr>
        <w:t>S</w:t>
      </w:r>
      <w:r>
        <w:rPr>
          <w:rFonts w:hint="eastAsia"/>
          <w:spacing w:val="4"/>
          <w:sz w:val="24"/>
        </w:rPr>
        <w:t>执行《环境影响评价技术导则 大气环境》（HJ2.2-2018）附录D中其他污染物空气质量浓度限值。</w:t>
      </w:r>
      <w:r>
        <w:rPr>
          <w:spacing w:val="4"/>
          <w:sz w:val="24"/>
        </w:rPr>
        <w:t>环境空气执行标准具体见表</w:t>
      </w:r>
      <w:r>
        <w:rPr>
          <w:rFonts w:hint="eastAsia"/>
          <w:spacing w:val="4"/>
          <w:sz w:val="24"/>
        </w:rPr>
        <w:t>2.4-1、2</w:t>
      </w:r>
      <w:r>
        <w:rPr>
          <w:spacing w:val="4"/>
          <w:sz w:val="24"/>
        </w:rPr>
        <w:t>。</w:t>
      </w:r>
    </w:p>
    <w:p>
      <w:pPr>
        <w:pStyle w:val="6"/>
        <w:spacing w:line="480" w:lineRule="exact"/>
        <w:ind w:firstLine="0"/>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 xml:space="preserve">2.4-1  </w:t>
      </w:r>
      <w:r>
        <w:rPr>
          <w:rFonts w:ascii="黑体" w:hAnsi="黑体" w:eastAsia="黑体"/>
          <w:sz w:val="24"/>
          <w:szCs w:val="21"/>
        </w:rPr>
        <w:t>环境空气质量标准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682"/>
        <w:gridCol w:w="1769"/>
        <w:gridCol w:w="1917"/>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Merge w:val="restart"/>
            <w:vAlign w:val="center"/>
          </w:tcPr>
          <w:p>
            <w:pPr>
              <w:pStyle w:val="47"/>
              <w:snapToGrid/>
              <w:rPr>
                <w:b/>
                <w:color w:val="000000"/>
              </w:rPr>
            </w:pPr>
            <w:r>
              <w:rPr>
                <w:color w:val="000000"/>
              </w:rPr>
              <w:t>因子</w:t>
            </w:r>
          </w:p>
        </w:tc>
        <w:tc>
          <w:tcPr>
            <w:tcW w:w="2962" w:type="pct"/>
            <w:gridSpan w:val="3"/>
            <w:vAlign w:val="center"/>
          </w:tcPr>
          <w:p>
            <w:pPr>
              <w:pStyle w:val="47"/>
              <w:snapToGrid/>
              <w:rPr>
                <w:b/>
                <w:color w:val="000000"/>
              </w:rPr>
            </w:pPr>
            <w:r>
              <w:rPr>
                <w:color w:val="000000"/>
              </w:rPr>
              <w:t>环境质量标准</w:t>
            </w:r>
          </w:p>
        </w:tc>
        <w:tc>
          <w:tcPr>
            <w:tcW w:w="1588" w:type="pct"/>
            <w:vMerge w:val="restart"/>
            <w:vAlign w:val="center"/>
          </w:tcPr>
          <w:p>
            <w:pPr>
              <w:pStyle w:val="47"/>
              <w:snapToGrid/>
              <w:rPr>
                <w:b/>
                <w:color w:val="000000"/>
              </w:rPr>
            </w:pPr>
            <w:r>
              <w:rPr>
                <w:color w:val="000000"/>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Merge w:val="continue"/>
            <w:vAlign w:val="center"/>
          </w:tcPr>
          <w:p>
            <w:pPr>
              <w:pStyle w:val="47"/>
              <w:snapToGrid/>
              <w:rPr>
                <w:b/>
                <w:color w:val="000000"/>
              </w:rPr>
            </w:pPr>
          </w:p>
        </w:tc>
        <w:tc>
          <w:tcPr>
            <w:tcW w:w="928" w:type="pct"/>
            <w:vAlign w:val="center"/>
          </w:tcPr>
          <w:p>
            <w:pPr>
              <w:pStyle w:val="47"/>
              <w:snapToGrid/>
              <w:rPr>
                <w:b/>
                <w:color w:val="000000"/>
              </w:rPr>
            </w:pPr>
            <w:r>
              <w:rPr>
                <w:color w:val="000000"/>
              </w:rPr>
              <w:t>1小时平均</w:t>
            </w:r>
          </w:p>
        </w:tc>
        <w:tc>
          <w:tcPr>
            <w:tcW w:w="976" w:type="pct"/>
            <w:vAlign w:val="center"/>
          </w:tcPr>
          <w:p>
            <w:pPr>
              <w:pStyle w:val="47"/>
              <w:snapToGrid/>
              <w:rPr>
                <w:b/>
                <w:color w:val="000000"/>
              </w:rPr>
            </w:pPr>
            <w:r>
              <w:rPr>
                <w:color w:val="000000"/>
              </w:rPr>
              <w:t>24小时平均</w:t>
            </w:r>
          </w:p>
        </w:tc>
        <w:tc>
          <w:tcPr>
            <w:tcW w:w="1058" w:type="pct"/>
            <w:vAlign w:val="center"/>
          </w:tcPr>
          <w:p>
            <w:pPr>
              <w:pStyle w:val="47"/>
              <w:snapToGrid/>
              <w:rPr>
                <w:b/>
                <w:color w:val="000000"/>
              </w:rPr>
            </w:pPr>
            <w:r>
              <w:rPr>
                <w:color w:val="000000"/>
              </w:rPr>
              <w:t>年平均</w:t>
            </w:r>
          </w:p>
        </w:tc>
        <w:tc>
          <w:tcPr>
            <w:tcW w:w="1588" w:type="pct"/>
            <w:vMerge w:val="continue"/>
            <w:vAlign w:val="center"/>
          </w:tcPr>
          <w:p>
            <w:pPr>
              <w:pStyle w:val="47"/>
              <w:snapToGrid/>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Align w:val="center"/>
          </w:tcPr>
          <w:p>
            <w:pPr>
              <w:pStyle w:val="47"/>
              <w:snapToGrid/>
              <w:rPr>
                <w:b/>
                <w:color w:val="000000"/>
              </w:rPr>
            </w:pPr>
            <w:r>
              <w:rPr>
                <w:color w:val="000000"/>
              </w:rPr>
              <w:t>SO</w:t>
            </w:r>
            <w:r>
              <w:rPr>
                <w:color w:val="000000"/>
                <w:vertAlign w:val="subscript"/>
              </w:rPr>
              <w:t>2</w:t>
            </w:r>
          </w:p>
        </w:tc>
        <w:tc>
          <w:tcPr>
            <w:tcW w:w="928" w:type="pct"/>
            <w:vAlign w:val="center"/>
          </w:tcPr>
          <w:p>
            <w:pPr>
              <w:pStyle w:val="47"/>
              <w:snapToGrid/>
              <w:rPr>
                <w:b/>
                <w:color w:val="000000"/>
              </w:rPr>
            </w:pPr>
            <w:r>
              <w:rPr>
                <w:color w:val="000000"/>
              </w:rPr>
              <w:t>500μg/m</w:t>
            </w:r>
            <w:r>
              <w:rPr>
                <w:color w:val="000000"/>
                <w:vertAlign w:val="superscript"/>
              </w:rPr>
              <w:t>3</w:t>
            </w:r>
          </w:p>
        </w:tc>
        <w:tc>
          <w:tcPr>
            <w:tcW w:w="976" w:type="pct"/>
            <w:vAlign w:val="center"/>
          </w:tcPr>
          <w:p>
            <w:pPr>
              <w:pStyle w:val="47"/>
              <w:snapToGrid/>
              <w:rPr>
                <w:b/>
                <w:color w:val="000000"/>
              </w:rPr>
            </w:pPr>
            <w:r>
              <w:rPr>
                <w:color w:val="000000"/>
              </w:rPr>
              <w:t>150μg/m</w:t>
            </w:r>
            <w:r>
              <w:rPr>
                <w:color w:val="000000"/>
                <w:vertAlign w:val="superscript"/>
              </w:rPr>
              <w:t>3</w:t>
            </w:r>
          </w:p>
        </w:tc>
        <w:tc>
          <w:tcPr>
            <w:tcW w:w="1058" w:type="pct"/>
            <w:vAlign w:val="center"/>
          </w:tcPr>
          <w:p>
            <w:pPr>
              <w:pStyle w:val="47"/>
              <w:snapToGrid/>
              <w:rPr>
                <w:b/>
                <w:color w:val="000000"/>
              </w:rPr>
            </w:pPr>
            <w:r>
              <w:rPr>
                <w:color w:val="000000"/>
              </w:rPr>
              <w:t>60μg/m</w:t>
            </w:r>
            <w:r>
              <w:rPr>
                <w:color w:val="000000"/>
                <w:vertAlign w:val="superscript"/>
              </w:rPr>
              <w:t>3</w:t>
            </w:r>
          </w:p>
        </w:tc>
        <w:tc>
          <w:tcPr>
            <w:tcW w:w="1588" w:type="pct"/>
            <w:vMerge w:val="restart"/>
            <w:vAlign w:val="center"/>
          </w:tcPr>
          <w:p>
            <w:pPr>
              <w:pStyle w:val="47"/>
              <w:snapToGrid/>
              <w:rPr>
                <w:b/>
                <w:color w:val="000000"/>
              </w:rPr>
            </w:pPr>
            <w:r>
              <w:rPr>
                <w:color w:val="000000"/>
              </w:rPr>
              <w:t>《环境空气质量标准》</w:t>
            </w:r>
          </w:p>
          <w:p>
            <w:pPr>
              <w:pStyle w:val="47"/>
              <w:snapToGrid/>
              <w:rPr>
                <w:b/>
                <w:color w:val="000000"/>
              </w:rPr>
            </w:pPr>
            <w:r>
              <w:rPr>
                <w:color w:val="000000"/>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Align w:val="center"/>
          </w:tcPr>
          <w:p>
            <w:pPr>
              <w:pStyle w:val="47"/>
              <w:snapToGrid/>
              <w:rPr>
                <w:b/>
                <w:color w:val="000000"/>
              </w:rPr>
            </w:pPr>
            <w:r>
              <w:rPr>
                <w:color w:val="000000"/>
              </w:rPr>
              <w:t>NO</w:t>
            </w:r>
            <w:r>
              <w:rPr>
                <w:color w:val="000000"/>
                <w:vertAlign w:val="subscript"/>
              </w:rPr>
              <w:t>2</w:t>
            </w:r>
          </w:p>
        </w:tc>
        <w:tc>
          <w:tcPr>
            <w:tcW w:w="928" w:type="pct"/>
            <w:vAlign w:val="center"/>
          </w:tcPr>
          <w:p>
            <w:pPr>
              <w:pStyle w:val="47"/>
              <w:snapToGrid/>
              <w:rPr>
                <w:b/>
                <w:color w:val="000000"/>
              </w:rPr>
            </w:pPr>
            <w:r>
              <w:rPr>
                <w:color w:val="000000"/>
              </w:rPr>
              <w:t>200μg/m</w:t>
            </w:r>
            <w:r>
              <w:rPr>
                <w:color w:val="000000"/>
                <w:vertAlign w:val="superscript"/>
              </w:rPr>
              <w:t>3</w:t>
            </w:r>
          </w:p>
        </w:tc>
        <w:tc>
          <w:tcPr>
            <w:tcW w:w="976" w:type="pct"/>
            <w:vAlign w:val="center"/>
          </w:tcPr>
          <w:p>
            <w:pPr>
              <w:pStyle w:val="47"/>
              <w:snapToGrid/>
              <w:rPr>
                <w:b/>
                <w:color w:val="000000"/>
              </w:rPr>
            </w:pPr>
            <w:r>
              <w:rPr>
                <w:color w:val="000000"/>
              </w:rPr>
              <w:t>80μg/m</w:t>
            </w:r>
            <w:r>
              <w:rPr>
                <w:color w:val="000000"/>
                <w:vertAlign w:val="superscript"/>
              </w:rPr>
              <w:t>3</w:t>
            </w:r>
          </w:p>
        </w:tc>
        <w:tc>
          <w:tcPr>
            <w:tcW w:w="1058" w:type="pct"/>
            <w:vAlign w:val="center"/>
          </w:tcPr>
          <w:p>
            <w:pPr>
              <w:pStyle w:val="47"/>
              <w:snapToGrid/>
              <w:rPr>
                <w:b/>
                <w:color w:val="000000"/>
              </w:rPr>
            </w:pPr>
            <w:r>
              <w:rPr>
                <w:color w:val="000000"/>
              </w:rPr>
              <w:t>40μg/m</w:t>
            </w:r>
            <w:r>
              <w:rPr>
                <w:color w:val="000000"/>
                <w:vertAlign w:val="superscript"/>
              </w:rPr>
              <w:t>3</w:t>
            </w:r>
          </w:p>
        </w:tc>
        <w:tc>
          <w:tcPr>
            <w:tcW w:w="1588" w:type="pct"/>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Align w:val="center"/>
          </w:tcPr>
          <w:p>
            <w:pPr>
              <w:pStyle w:val="47"/>
              <w:snapToGrid/>
              <w:rPr>
                <w:b/>
                <w:color w:val="000000"/>
              </w:rPr>
            </w:pPr>
            <w:r>
              <w:rPr>
                <w:color w:val="000000"/>
              </w:rPr>
              <w:t>PM</w:t>
            </w:r>
            <w:r>
              <w:rPr>
                <w:color w:val="000000"/>
                <w:vertAlign w:val="subscript"/>
              </w:rPr>
              <w:t>10</w:t>
            </w:r>
          </w:p>
        </w:tc>
        <w:tc>
          <w:tcPr>
            <w:tcW w:w="928" w:type="pct"/>
            <w:vAlign w:val="center"/>
          </w:tcPr>
          <w:p>
            <w:pPr>
              <w:pStyle w:val="47"/>
              <w:snapToGrid/>
              <w:rPr>
                <w:b/>
                <w:color w:val="000000"/>
              </w:rPr>
            </w:pPr>
            <w:r>
              <w:rPr>
                <w:color w:val="000000"/>
              </w:rPr>
              <w:t>－</w:t>
            </w:r>
          </w:p>
        </w:tc>
        <w:tc>
          <w:tcPr>
            <w:tcW w:w="976" w:type="pct"/>
            <w:vAlign w:val="center"/>
          </w:tcPr>
          <w:p>
            <w:pPr>
              <w:pStyle w:val="47"/>
              <w:snapToGrid/>
              <w:rPr>
                <w:b/>
                <w:color w:val="000000"/>
              </w:rPr>
            </w:pPr>
            <w:r>
              <w:rPr>
                <w:color w:val="000000"/>
              </w:rPr>
              <w:t>150μg/m</w:t>
            </w:r>
            <w:r>
              <w:rPr>
                <w:color w:val="000000"/>
                <w:vertAlign w:val="superscript"/>
              </w:rPr>
              <w:t>3</w:t>
            </w:r>
          </w:p>
        </w:tc>
        <w:tc>
          <w:tcPr>
            <w:tcW w:w="1058" w:type="pct"/>
            <w:vAlign w:val="center"/>
          </w:tcPr>
          <w:p>
            <w:pPr>
              <w:pStyle w:val="47"/>
              <w:snapToGrid/>
              <w:rPr>
                <w:b/>
                <w:color w:val="000000"/>
              </w:rPr>
            </w:pPr>
            <w:r>
              <w:rPr>
                <w:color w:val="000000"/>
              </w:rPr>
              <w:t>70μg/m</w:t>
            </w:r>
            <w:r>
              <w:rPr>
                <w:color w:val="000000"/>
                <w:vertAlign w:val="superscript"/>
              </w:rPr>
              <w:t>3</w:t>
            </w:r>
          </w:p>
        </w:tc>
        <w:tc>
          <w:tcPr>
            <w:tcW w:w="1588" w:type="pct"/>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Align w:val="center"/>
          </w:tcPr>
          <w:p>
            <w:pPr>
              <w:pStyle w:val="47"/>
              <w:snapToGrid/>
              <w:rPr>
                <w:b/>
                <w:color w:val="000000"/>
              </w:rPr>
            </w:pPr>
            <w:r>
              <w:rPr>
                <w:color w:val="000000"/>
              </w:rPr>
              <w:t>PM</w:t>
            </w:r>
            <w:r>
              <w:rPr>
                <w:color w:val="000000"/>
                <w:vertAlign w:val="subscript"/>
              </w:rPr>
              <w:t>2.5</w:t>
            </w:r>
          </w:p>
        </w:tc>
        <w:tc>
          <w:tcPr>
            <w:tcW w:w="928" w:type="pct"/>
            <w:vAlign w:val="center"/>
          </w:tcPr>
          <w:p>
            <w:pPr>
              <w:pStyle w:val="47"/>
              <w:snapToGrid/>
              <w:rPr>
                <w:b/>
                <w:color w:val="000000"/>
              </w:rPr>
            </w:pPr>
            <w:r>
              <w:rPr>
                <w:color w:val="000000"/>
              </w:rPr>
              <w:t>－</w:t>
            </w:r>
          </w:p>
        </w:tc>
        <w:tc>
          <w:tcPr>
            <w:tcW w:w="976" w:type="pct"/>
            <w:vAlign w:val="center"/>
          </w:tcPr>
          <w:p>
            <w:pPr>
              <w:pStyle w:val="47"/>
              <w:snapToGrid/>
              <w:rPr>
                <w:b/>
                <w:color w:val="000000"/>
              </w:rPr>
            </w:pPr>
            <w:r>
              <w:rPr>
                <w:rFonts w:hint="eastAsia"/>
                <w:color w:val="000000"/>
              </w:rPr>
              <w:t>7</w:t>
            </w:r>
            <w:r>
              <w:rPr>
                <w:color w:val="000000"/>
              </w:rPr>
              <w:t>5μg/m</w:t>
            </w:r>
            <w:r>
              <w:rPr>
                <w:color w:val="000000"/>
                <w:vertAlign w:val="superscript"/>
              </w:rPr>
              <w:t>3</w:t>
            </w:r>
          </w:p>
        </w:tc>
        <w:tc>
          <w:tcPr>
            <w:tcW w:w="1058" w:type="pct"/>
            <w:vAlign w:val="center"/>
          </w:tcPr>
          <w:p>
            <w:pPr>
              <w:pStyle w:val="47"/>
              <w:snapToGrid/>
              <w:rPr>
                <w:b/>
                <w:color w:val="000000"/>
              </w:rPr>
            </w:pPr>
            <w:r>
              <w:rPr>
                <w:rFonts w:hint="eastAsia"/>
                <w:color w:val="000000"/>
              </w:rPr>
              <w:t>3</w:t>
            </w:r>
            <w:r>
              <w:rPr>
                <w:color w:val="000000"/>
              </w:rPr>
              <w:t>5μg/m</w:t>
            </w:r>
            <w:r>
              <w:rPr>
                <w:color w:val="000000"/>
                <w:vertAlign w:val="superscript"/>
              </w:rPr>
              <w:t>3</w:t>
            </w:r>
          </w:p>
        </w:tc>
        <w:tc>
          <w:tcPr>
            <w:tcW w:w="1588" w:type="pct"/>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Align w:val="center"/>
          </w:tcPr>
          <w:p>
            <w:pPr>
              <w:pStyle w:val="47"/>
              <w:snapToGrid/>
              <w:rPr>
                <w:b/>
                <w:color w:val="000000"/>
              </w:rPr>
            </w:pPr>
            <w:r>
              <w:rPr>
                <w:rFonts w:hint="eastAsia"/>
                <w:color w:val="000000"/>
              </w:rPr>
              <w:t>C</w:t>
            </w:r>
            <w:r>
              <w:rPr>
                <w:color w:val="000000"/>
              </w:rPr>
              <w:t>O</w:t>
            </w:r>
          </w:p>
        </w:tc>
        <w:tc>
          <w:tcPr>
            <w:tcW w:w="928" w:type="pct"/>
            <w:vAlign w:val="center"/>
          </w:tcPr>
          <w:p>
            <w:pPr>
              <w:pStyle w:val="47"/>
              <w:snapToGrid/>
              <w:rPr>
                <w:b/>
                <w:color w:val="000000"/>
              </w:rPr>
            </w:pPr>
            <w:r>
              <w:rPr>
                <w:rFonts w:hint="eastAsia"/>
                <w:color w:val="000000"/>
              </w:rPr>
              <w:t>1</w:t>
            </w:r>
            <w:r>
              <w:rPr>
                <w:color w:val="000000"/>
              </w:rPr>
              <w:t>0mg/m</w:t>
            </w:r>
            <w:r>
              <w:rPr>
                <w:color w:val="000000"/>
                <w:vertAlign w:val="superscript"/>
              </w:rPr>
              <w:t>3</w:t>
            </w:r>
          </w:p>
        </w:tc>
        <w:tc>
          <w:tcPr>
            <w:tcW w:w="976" w:type="pct"/>
            <w:vAlign w:val="center"/>
          </w:tcPr>
          <w:p>
            <w:pPr>
              <w:pStyle w:val="47"/>
              <w:snapToGrid/>
              <w:rPr>
                <w:b/>
                <w:color w:val="000000"/>
              </w:rPr>
            </w:pPr>
            <w:r>
              <w:rPr>
                <w:rFonts w:hint="eastAsia"/>
                <w:color w:val="000000"/>
              </w:rPr>
              <w:t>4</w:t>
            </w:r>
            <w:r>
              <w:rPr>
                <w:color w:val="000000"/>
              </w:rPr>
              <w:t>mg/m</w:t>
            </w:r>
            <w:r>
              <w:rPr>
                <w:color w:val="000000"/>
                <w:vertAlign w:val="superscript"/>
              </w:rPr>
              <w:t>3</w:t>
            </w:r>
          </w:p>
        </w:tc>
        <w:tc>
          <w:tcPr>
            <w:tcW w:w="1058" w:type="pct"/>
            <w:vAlign w:val="center"/>
          </w:tcPr>
          <w:p>
            <w:pPr>
              <w:pStyle w:val="47"/>
              <w:snapToGrid/>
              <w:rPr>
                <w:b/>
                <w:color w:val="000000"/>
              </w:rPr>
            </w:pPr>
            <w:r>
              <w:rPr>
                <w:color w:val="000000"/>
              </w:rPr>
              <w:t>－</w:t>
            </w:r>
          </w:p>
        </w:tc>
        <w:tc>
          <w:tcPr>
            <w:tcW w:w="1588" w:type="pct"/>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Align w:val="center"/>
          </w:tcPr>
          <w:p>
            <w:pPr>
              <w:pStyle w:val="47"/>
              <w:snapToGrid/>
              <w:rPr>
                <w:b/>
                <w:color w:val="000000"/>
              </w:rPr>
            </w:pPr>
            <w:r>
              <w:rPr>
                <w:rFonts w:hint="eastAsia"/>
                <w:color w:val="000000"/>
              </w:rPr>
              <w:t>O</w:t>
            </w:r>
            <w:r>
              <w:rPr>
                <w:color w:val="000000"/>
                <w:vertAlign w:val="subscript"/>
              </w:rPr>
              <w:t>3</w:t>
            </w:r>
          </w:p>
        </w:tc>
        <w:tc>
          <w:tcPr>
            <w:tcW w:w="928" w:type="pct"/>
            <w:vAlign w:val="center"/>
          </w:tcPr>
          <w:p>
            <w:pPr>
              <w:pStyle w:val="47"/>
              <w:snapToGrid/>
              <w:rPr>
                <w:b/>
                <w:color w:val="000000"/>
              </w:rPr>
            </w:pPr>
            <w:r>
              <w:rPr>
                <w:rFonts w:hint="eastAsia"/>
                <w:color w:val="000000"/>
              </w:rPr>
              <w:t>2</w:t>
            </w:r>
            <w:r>
              <w:rPr>
                <w:color w:val="000000"/>
              </w:rPr>
              <w:t>00μg/m</w:t>
            </w:r>
            <w:r>
              <w:rPr>
                <w:color w:val="000000"/>
                <w:vertAlign w:val="superscript"/>
              </w:rPr>
              <w:t>3</w:t>
            </w:r>
          </w:p>
        </w:tc>
        <w:tc>
          <w:tcPr>
            <w:tcW w:w="976" w:type="pct"/>
            <w:vAlign w:val="center"/>
          </w:tcPr>
          <w:p>
            <w:pPr>
              <w:pStyle w:val="47"/>
              <w:snapToGrid/>
              <w:rPr>
                <w:b/>
                <w:color w:val="000000"/>
              </w:rPr>
            </w:pPr>
            <w:r>
              <w:rPr>
                <w:rFonts w:hint="eastAsia"/>
                <w:color w:val="000000"/>
              </w:rPr>
              <w:t>1</w:t>
            </w:r>
            <w:r>
              <w:rPr>
                <w:color w:val="000000"/>
              </w:rPr>
              <w:t>60μg/m</w:t>
            </w:r>
            <w:r>
              <w:rPr>
                <w:color w:val="000000"/>
                <w:vertAlign w:val="superscript"/>
              </w:rPr>
              <w:t>3</w:t>
            </w:r>
          </w:p>
          <w:p>
            <w:pPr>
              <w:pStyle w:val="47"/>
              <w:snapToGrid/>
              <w:rPr>
                <w:b/>
                <w:color w:val="000000"/>
              </w:rPr>
            </w:pPr>
            <w:r>
              <w:rPr>
                <w:rFonts w:hint="eastAsia"/>
                <w:color w:val="000000"/>
              </w:rPr>
              <w:t>日最大8</w:t>
            </w:r>
            <w:r>
              <w:rPr>
                <w:color w:val="000000"/>
              </w:rPr>
              <w:t>h</w:t>
            </w:r>
            <w:r>
              <w:rPr>
                <w:rFonts w:hint="eastAsia"/>
                <w:color w:val="000000"/>
              </w:rPr>
              <w:t>平均</w:t>
            </w:r>
          </w:p>
        </w:tc>
        <w:tc>
          <w:tcPr>
            <w:tcW w:w="1058" w:type="pct"/>
            <w:vAlign w:val="center"/>
          </w:tcPr>
          <w:p>
            <w:pPr>
              <w:pStyle w:val="47"/>
              <w:snapToGrid/>
              <w:rPr>
                <w:b/>
                <w:color w:val="000000"/>
              </w:rPr>
            </w:pPr>
            <w:r>
              <w:rPr>
                <w:color w:val="000000"/>
              </w:rPr>
              <w:t>－</w:t>
            </w:r>
          </w:p>
        </w:tc>
        <w:tc>
          <w:tcPr>
            <w:tcW w:w="1588" w:type="pct"/>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0" w:type="pct"/>
            <w:vAlign w:val="center"/>
          </w:tcPr>
          <w:p>
            <w:pPr>
              <w:pStyle w:val="47"/>
              <w:snapToGrid/>
              <w:rPr>
                <w:b/>
                <w:color w:val="000000"/>
              </w:rPr>
            </w:pPr>
            <w:r>
              <w:rPr>
                <w:color w:val="000000"/>
              </w:rPr>
              <w:t>TSP</w:t>
            </w:r>
          </w:p>
        </w:tc>
        <w:tc>
          <w:tcPr>
            <w:tcW w:w="928" w:type="pct"/>
            <w:vAlign w:val="center"/>
          </w:tcPr>
          <w:p>
            <w:pPr>
              <w:pStyle w:val="47"/>
              <w:snapToGrid/>
              <w:rPr>
                <w:b/>
                <w:color w:val="000000"/>
              </w:rPr>
            </w:pPr>
            <w:r>
              <w:rPr>
                <w:color w:val="000000"/>
              </w:rPr>
              <w:t>－</w:t>
            </w:r>
          </w:p>
        </w:tc>
        <w:tc>
          <w:tcPr>
            <w:tcW w:w="976" w:type="pct"/>
            <w:vAlign w:val="center"/>
          </w:tcPr>
          <w:p>
            <w:pPr>
              <w:pStyle w:val="47"/>
              <w:snapToGrid/>
              <w:rPr>
                <w:b/>
                <w:color w:val="000000"/>
              </w:rPr>
            </w:pPr>
            <w:r>
              <w:rPr>
                <w:color w:val="000000"/>
              </w:rPr>
              <w:t>300μg/m</w:t>
            </w:r>
            <w:r>
              <w:rPr>
                <w:color w:val="000000"/>
                <w:vertAlign w:val="superscript"/>
              </w:rPr>
              <w:t>3</w:t>
            </w:r>
          </w:p>
        </w:tc>
        <w:tc>
          <w:tcPr>
            <w:tcW w:w="1058" w:type="pct"/>
            <w:vAlign w:val="center"/>
          </w:tcPr>
          <w:p>
            <w:pPr>
              <w:pStyle w:val="47"/>
              <w:snapToGrid/>
              <w:rPr>
                <w:b/>
                <w:color w:val="000000"/>
              </w:rPr>
            </w:pPr>
            <w:r>
              <w:rPr>
                <w:color w:val="000000"/>
              </w:rPr>
              <w:t>200μg/m</w:t>
            </w:r>
            <w:r>
              <w:rPr>
                <w:color w:val="000000"/>
                <w:vertAlign w:val="superscript"/>
              </w:rPr>
              <w:t>3</w:t>
            </w:r>
          </w:p>
        </w:tc>
        <w:tc>
          <w:tcPr>
            <w:tcW w:w="1588" w:type="pct"/>
            <w:vMerge w:val="continue"/>
            <w:vAlign w:val="center"/>
          </w:tcPr>
          <w:p>
            <w:pPr>
              <w:jc w:val="center"/>
              <w:rPr>
                <w:color w:val="000000"/>
                <w:szCs w:val="21"/>
              </w:rPr>
            </w:pPr>
          </w:p>
        </w:tc>
      </w:tr>
    </w:tbl>
    <w:p>
      <w:pPr>
        <w:pStyle w:val="6"/>
        <w:spacing w:line="480" w:lineRule="exact"/>
        <w:ind w:firstLine="0"/>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2.4-</w:t>
      </w:r>
      <w:r>
        <w:rPr>
          <w:rFonts w:ascii="黑体" w:hAnsi="黑体" w:eastAsia="黑体"/>
          <w:sz w:val="24"/>
          <w:szCs w:val="21"/>
        </w:rPr>
        <w:t xml:space="preserve">2 </w:t>
      </w:r>
      <w:r>
        <w:rPr>
          <w:rFonts w:hint="eastAsia" w:ascii="黑体" w:hAnsi="黑体" w:eastAsia="黑体"/>
          <w:sz w:val="24"/>
          <w:szCs w:val="21"/>
        </w:rPr>
        <w:t xml:space="preserve"> </w:t>
      </w:r>
      <w:r>
        <w:rPr>
          <w:rFonts w:ascii="黑体" w:hAnsi="黑体" w:eastAsia="黑体"/>
          <w:sz w:val="24"/>
          <w:szCs w:val="21"/>
        </w:rPr>
        <w:t>环境空气质量标准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660"/>
        <w:gridCol w:w="1245"/>
        <w:gridCol w:w="1167"/>
        <w:gridCol w:w="3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47"/>
            </w:pPr>
            <w:r>
              <w:rPr>
                <w:rFonts w:hint="eastAsia"/>
              </w:rPr>
              <w:t>因子</w:t>
            </w:r>
          </w:p>
        </w:tc>
        <w:tc>
          <w:tcPr>
            <w:tcW w:w="916" w:type="pct"/>
            <w:vAlign w:val="center"/>
          </w:tcPr>
          <w:p>
            <w:pPr>
              <w:pStyle w:val="47"/>
            </w:pPr>
            <w:r>
              <w:t>取值时间</w:t>
            </w:r>
          </w:p>
        </w:tc>
        <w:tc>
          <w:tcPr>
            <w:tcW w:w="687" w:type="pct"/>
            <w:vAlign w:val="center"/>
          </w:tcPr>
          <w:p>
            <w:pPr>
              <w:pStyle w:val="47"/>
            </w:pPr>
            <w:r>
              <w:t>浓度限值</w:t>
            </w:r>
          </w:p>
        </w:tc>
        <w:tc>
          <w:tcPr>
            <w:tcW w:w="644" w:type="pct"/>
            <w:vAlign w:val="center"/>
          </w:tcPr>
          <w:p>
            <w:pPr>
              <w:pStyle w:val="47"/>
            </w:pPr>
            <w:r>
              <w:t>浓度单位</w:t>
            </w:r>
          </w:p>
        </w:tc>
        <w:tc>
          <w:tcPr>
            <w:tcW w:w="2008" w:type="pct"/>
            <w:vAlign w:val="center"/>
          </w:tcPr>
          <w:p>
            <w:pPr>
              <w:pStyle w:val="47"/>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47"/>
            </w:pPr>
            <w:r>
              <w:t>N</w:t>
            </w:r>
            <w:r>
              <w:rPr>
                <w:rFonts w:hint="eastAsia"/>
              </w:rPr>
              <w:t>H</w:t>
            </w:r>
            <w:r>
              <w:rPr>
                <w:vertAlign w:val="subscript"/>
              </w:rPr>
              <w:t>3</w:t>
            </w:r>
          </w:p>
        </w:tc>
        <w:tc>
          <w:tcPr>
            <w:tcW w:w="916" w:type="pct"/>
            <w:vAlign w:val="center"/>
          </w:tcPr>
          <w:p>
            <w:pPr>
              <w:pStyle w:val="47"/>
            </w:pPr>
            <w:r>
              <w:rPr>
                <w:rFonts w:hint="eastAsia"/>
              </w:rPr>
              <w:t>1</w:t>
            </w:r>
            <w:r>
              <w:t>小时平均</w:t>
            </w:r>
          </w:p>
        </w:tc>
        <w:tc>
          <w:tcPr>
            <w:tcW w:w="687" w:type="pct"/>
            <w:vAlign w:val="center"/>
          </w:tcPr>
          <w:p>
            <w:pPr>
              <w:pStyle w:val="47"/>
            </w:pPr>
            <w:r>
              <w:t>200</w:t>
            </w:r>
          </w:p>
        </w:tc>
        <w:tc>
          <w:tcPr>
            <w:tcW w:w="644" w:type="pct"/>
            <w:vMerge w:val="restart"/>
            <w:vAlign w:val="center"/>
          </w:tcPr>
          <w:p>
            <w:pPr>
              <w:pStyle w:val="47"/>
            </w:pPr>
            <w:r>
              <w:t>μg/Nm</w:t>
            </w:r>
            <w:r>
              <w:rPr>
                <w:vertAlign w:val="superscript"/>
              </w:rPr>
              <w:t>3</w:t>
            </w:r>
          </w:p>
        </w:tc>
        <w:tc>
          <w:tcPr>
            <w:tcW w:w="2008" w:type="pct"/>
            <w:vMerge w:val="restart"/>
            <w:vAlign w:val="center"/>
          </w:tcPr>
          <w:p>
            <w:pPr>
              <w:pStyle w:val="47"/>
            </w:pPr>
            <w:r>
              <w:rPr>
                <w:rFonts w:hint="eastAsia"/>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47"/>
            </w:pPr>
            <w:r>
              <w:rPr>
                <w:rFonts w:hint="eastAsia"/>
              </w:rPr>
              <w:t>H</w:t>
            </w:r>
            <w:r>
              <w:rPr>
                <w:vertAlign w:val="subscript"/>
              </w:rPr>
              <w:t>2</w:t>
            </w:r>
            <w:r>
              <w:t>S</w:t>
            </w:r>
          </w:p>
        </w:tc>
        <w:tc>
          <w:tcPr>
            <w:tcW w:w="916" w:type="pct"/>
            <w:vAlign w:val="center"/>
          </w:tcPr>
          <w:p>
            <w:pPr>
              <w:pStyle w:val="47"/>
            </w:pPr>
            <w:r>
              <w:rPr>
                <w:rFonts w:hint="eastAsia"/>
              </w:rPr>
              <w:t>1</w:t>
            </w:r>
            <w:r>
              <w:t>小时平均</w:t>
            </w:r>
          </w:p>
        </w:tc>
        <w:tc>
          <w:tcPr>
            <w:tcW w:w="687" w:type="pct"/>
            <w:vAlign w:val="center"/>
          </w:tcPr>
          <w:p>
            <w:pPr>
              <w:pStyle w:val="47"/>
            </w:pPr>
            <w:r>
              <w:rPr>
                <w:rFonts w:hint="eastAsia"/>
              </w:rPr>
              <w:t>1</w:t>
            </w:r>
            <w:r>
              <w:t>0</w:t>
            </w:r>
          </w:p>
        </w:tc>
        <w:tc>
          <w:tcPr>
            <w:tcW w:w="644" w:type="pct"/>
            <w:vMerge w:val="continue"/>
            <w:vAlign w:val="center"/>
          </w:tcPr>
          <w:p>
            <w:pPr>
              <w:pStyle w:val="47"/>
            </w:pPr>
          </w:p>
        </w:tc>
        <w:tc>
          <w:tcPr>
            <w:tcW w:w="2008" w:type="pct"/>
            <w:vMerge w:val="continue"/>
            <w:vAlign w:val="center"/>
          </w:tcPr>
          <w:p>
            <w:pPr>
              <w:pStyle w:val="47"/>
            </w:pPr>
          </w:p>
        </w:tc>
      </w:tr>
    </w:tbl>
    <w:p>
      <w:pPr>
        <w:pStyle w:val="57"/>
        <w:keepNext/>
        <w:keepLines/>
        <w:spacing w:before="0" w:after="0" w:line="480" w:lineRule="exact"/>
        <w:ind w:firstLine="0" w:firstLineChars="0"/>
        <w:outlineLvl w:val="3"/>
        <w:rPr>
          <w:b/>
        </w:rPr>
      </w:pPr>
      <w:r>
        <w:rPr>
          <w:rFonts w:hint="eastAsia"/>
          <w:b/>
        </w:rPr>
        <w:t>2</w:t>
      </w:r>
      <w:r>
        <w:rPr>
          <w:b/>
        </w:rPr>
        <w:t>.</w:t>
      </w:r>
      <w:r>
        <w:rPr>
          <w:rFonts w:hint="eastAsia"/>
          <w:b/>
        </w:rPr>
        <w:t>4</w:t>
      </w:r>
      <w:r>
        <w:rPr>
          <w:b/>
        </w:rPr>
        <w:t>.</w:t>
      </w:r>
      <w:r>
        <w:rPr>
          <w:rFonts w:hint="eastAsia"/>
          <w:b/>
        </w:rPr>
        <w:t>1.2</w:t>
      </w:r>
      <w:r>
        <w:rPr>
          <w:rFonts w:hint="eastAsia" w:ascii="宋体" w:hAnsi="宋体"/>
          <w:b/>
          <w:bCs/>
          <w:kern w:val="0"/>
        </w:rPr>
        <w:t>水环境</w:t>
      </w:r>
    </w:p>
    <w:p>
      <w:pPr>
        <w:pStyle w:val="48"/>
        <w:spacing w:line="480" w:lineRule="exact"/>
      </w:pPr>
      <w:r>
        <w:rPr>
          <w:b/>
          <w:bCs/>
          <w:spacing w:val="4"/>
        </w:rPr>
        <w:t>地表水</w:t>
      </w:r>
      <w:r>
        <w:rPr>
          <w:rFonts w:hint="eastAsia"/>
          <w:b/>
          <w:bCs/>
          <w:spacing w:val="4"/>
        </w:rPr>
        <w:t>：</w:t>
      </w:r>
      <w:r>
        <w:rPr>
          <w:bCs/>
          <w:spacing w:val="4"/>
        </w:rPr>
        <w:t>根据《山西省地表水水环境功能区划》DB14/67-2014，</w:t>
      </w:r>
      <w:r>
        <w:rPr>
          <w:rFonts w:hint="eastAsia"/>
          <w:bCs/>
          <w:spacing w:val="4"/>
        </w:rPr>
        <w:t>文峪河汾阳段水环境功能区划为农业用水保护，磁窑河“坡底—入汾河”段水环境功能为农业用水保护，</w:t>
      </w:r>
      <w:r>
        <w:rPr>
          <w:bCs/>
          <w:spacing w:val="4"/>
        </w:rPr>
        <w:t>执行《地表水环境质量标准》（GB38382-2002）Ⅴ类标准。</w:t>
      </w:r>
    </w:p>
    <w:p>
      <w:pPr>
        <w:pStyle w:val="48"/>
        <w:spacing w:line="480" w:lineRule="exact"/>
      </w:pPr>
      <w:r>
        <w:rPr>
          <w:b/>
        </w:rPr>
        <w:t>地下水</w:t>
      </w:r>
      <w:r>
        <w:rPr>
          <w:rFonts w:hint="eastAsia"/>
          <w:b/>
        </w:rPr>
        <w:t>：</w:t>
      </w:r>
      <w:r>
        <w:t>执行</w:t>
      </w:r>
      <w:r>
        <w:rPr>
          <w:rFonts w:hint="eastAsia"/>
        </w:rPr>
        <w:t>《地下水质量标准》（GB/T14848-2017）中</w:t>
      </w:r>
      <w:r>
        <w:rPr>
          <w:rFonts w:hAnsi="宋体"/>
        </w:rPr>
        <w:t>Ⅲ</w:t>
      </w:r>
      <w:r>
        <w:t>类标准。</w:t>
      </w:r>
    </w:p>
    <w:p>
      <w:pPr>
        <w:spacing w:line="480" w:lineRule="exact"/>
        <w:ind w:firstLine="482"/>
        <w:rPr>
          <w:spacing w:val="4"/>
          <w:sz w:val="24"/>
        </w:rPr>
      </w:pPr>
      <w:r>
        <w:rPr>
          <w:spacing w:val="4"/>
          <w:sz w:val="24"/>
        </w:rPr>
        <w:t>水环境执行标准具体见表</w:t>
      </w:r>
      <w:r>
        <w:rPr>
          <w:rFonts w:hint="eastAsia"/>
          <w:spacing w:val="4"/>
          <w:sz w:val="24"/>
        </w:rPr>
        <w:t>2.4-</w:t>
      </w:r>
      <w:r>
        <w:rPr>
          <w:spacing w:val="4"/>
          <w:sz w:val="24"/>
        </w:rPr>
        <w:t>3和表</w:t>
      </w:r>
      <w:r>
        <w:rPr>
          <w:rFonts w:hint="eastAsia"/>
          <w:spacing w:val="4"/>
          <w:sz w:val="24"/>
        </w:rPr>
        <w:t>2.4-</w:t>
      </w:r>
      <w:r>
        <w:rPr>
          <w:spacing w:val="4"/>
          <w:sz w:val="24"/>
        </w:rPr>
        <w:t>4。</w:t>
      </w:r>
    </w:p>
    <w:p>
      <w:pPr>
        <w:pStyle w:val="6"/>
        <w:spacing w:line="480" w:lineRule="exact"/>
        <w:ind w:firstLine="0"/>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2.4-</w:t>
      </w:r>
      <w:r>
        <w:rPr>
          <w:rFonts w:ascii="黑体" w:hAnsi="黑体" w:eastAsia="黑体"/>
          <w:sz w:val="24"/>
          <w:szCs w:val="21"/>
        </w:rPr>
        <w:t>3</w:t>
      </w:r>
      <w:r>
        <w:rPr>
          <w:rFonts w:hint="eastAsia" w:ascii="黑体" w:hAnsi="黑体" w:eastAsia="黑体"/>
          <w:sz w:val="24"/>
          <w:szCs w:val="21"/>
        </w:rPr>
        <w:t xml:space="preserve">  </w:t>
      </w:r>
      <w:r>
        <w:rPr>
          <w:rFonts w:ascii="黑体" w:hAnsi="黑体" w:eastAsia="黑体"/>
          <w:sz w:val="24"/>
          <w:szCs w:val="21"/>
        </w:rPr>
        <w:t>地表水环境质量标准</w:t>
      </w:r>
      <w:r>
        <w:rPr>
          <w:rFonts w:hint="eastAsia" w:ascii="黑体" w:hAnsi="黑体" w:eastAsia="黑体"/>
          <w:sz w:val="24"/>
          <w:szCs w:val="21"/>
        </w:rPr>
        <w:t>（GB38382-2002）Ⅴ类标准 单位：</w:t>
      </w:r>
      <w:r>
        <w:rPr>
          <w:rFonts w:ascii="黑体" w:hAnsi="黑体" w:eastAsia="黑体"/>
          <w:sz w:val="24"/>
          <w:szCs w:val="21"/>
        </w:rPr>
        <w:t>mg/</w:t>
      </w:r>
      <w:r>
        <w:rPr>
          <w:rFonts w:hint="eastAsia" w:ascii="黑体" w:hAnsi="黑体" w:eastAsia="黑体"/>
          <w:sz w:val="24"/>
          <w:szCs w:val="21"/>
        </w:rPr>
        <w:t>L</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509"/>
        <w:gridCol w:w="1509"/>
        <w:gridCol w:w="1511"/>
        <w:gridCol w:w="1512"/>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jc w:val="center"/>
              <w:rPr>
                <w:spacing w:val="4"/>
                <w:szCs w:val="21"/>
              </w:rPr>
            </w:pPr>
            <w:r>
              <w:rPr>
                <w:spacing w:val="4"/>
                <w:szCs w:val="21"/>
              </w:rPr>
              <w:t>污染物</w:t>
            </w:r>
          </w:p>
        </w:tc>
        <w:tc>
          <w:tcPr>
            <w:tcW w:w="833" w:type="pct"/>
            <w:vAlign w:val="center"/>
          </w:tcPr>
          <w:p>
            <w:pPr>
              <w:jc w:val="center"/>
              <w:rPr>
                <w:spacing w:val="4"/>
                <w:szCs w:val="21"/>
              </w:rPr>
            </w:pPr>
            <w:r>
              <w:rPr>
                <w:spacing w:val="4"/>
                <w:szCs w:val="21"/>
              </w:rPr>
              <w:t>PH</w:t>
            </w:r>
          </w:p>
        </w:tc>
        <w:tc>
          <w:tcPr>
            <w:tcW w:w="833" w:type="pct"/>
            <w:vAlign w:val="center"/>
          </w:tcPr>
          <w:p>
            <w:pPr>
              <w:jc w:val="center"/>
              <w:rPr>
                <w:spacing w:val="4"/>
                <w:szCs w:val="21"/>
              </w:rPr>
            </w:pPr>
            <w:r>
              <w:rPr>
                <w:spacing w:val="4"/>
                <w:szCs w:val="21"/>
              </w:rPr>
              <w:t>COD</w:t>
            </w:r>
            <w:r>
              <w:rPr>
                <w:rFonts w:hint="eastAsia"/>
                <w:spacing w:val="4"/>
                <w:szCs w:val="21"/>
                <w:vertAlign w:val="subscript"/>
              </w:rPr>
              <w:t>Cr</w:t>
            </w:r>
          </w:p>
        </w:tc>
        <w:tc>
          <w:tcPr>
            <w:tcW w:w="834" w:type="pct"/>
            <w:vAlign w:val="center"/>
          </w:tcPr>
          <w:p>
            <w:pPr>
              <w:jc w:val="center"/>
              <w:rPr>
                <w:spacing w:val="4"/>
                <w:szCs w:val="21"/>
              </w:rPr>
            </w:pPr>
            <w:r>
              <w:rPr>
                <w:spacing w:val="4"/>
                <w:szCs w:val="21"/>
              </w:rPr>
              <w:t>BOD</w:t>
            </w:r>
            <w:r>
              <w:rPr>
                <w:rFonts w:hint="eastAsia"/>
                <w:spacing w:val="4"/>
                <w:szCs w:val="21"/>
                <w:vertAlign w:val="subscript"/>
              </w:rPr>
              <w:t>5</w:t>
            </w:r>
          </w:p>
        </w:tc>
        <w:tc>
          <w:tcPr>
            <w:tcW w:w="834" w:type="pct"/>
            <w:vAlign w:val="center"/>
          </w:tcPr>
          <w:p>
            <w:pPr>
              <w:jc w:val="center"/>
              <w:rPr>
                <w:spacing w:val="4"/>
                <w:szCs w:val="21"/>
              </w:rPr>
            </w:pPr>
            <w:r>
              <w:rPr>
                <w:spacing w:val="4"/>
                <w:szCs w:val="21"/>
              </w:rPr>
              <w:t>氨氮</w:t>
            </w:r>
          </w:p>
        </w:tc>
        <w:tc>
          <w:tcPr>
            <w:tcW w:w="833" w:type="pct"/>
            <w:vAlign w:val="center"/>
          </w:tcPr>
          <w:p>
            <w:pPr>
              <w:jc w:val="center"/>
              <w:rPr>
                <w:spacing w:val="4"/>
                <w:szCs w:val="21"/>
              </w:rPr>
            </w:pPr>
            <w:r>
              <w:rPr>
                <w:rFonts w:hint="eastAsia"/>
                <w:spacing w:val="4"/>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jc w:val="center"/>
              <w:rPr>
                <w:spacing w:val="4"/>
                <w:szCs w:val="21"/>
              </w:rPr>
            </w:pPr>
            <w:r>
              <w:rPr>
                <w:spacing w:val="4"/>
                <w:szCs w:val="21"/>
              </w:rPr>
              <w:t>标准值</w:t>
            </w:r>
          </w:p>
        </w:tc>
        <w:tc>
          <w:tcPr>
            <w:tcW w:w="833" w:type="pct"/>
            <w:vAlign w:val="center"/>
          </w:tcPr>
          <w:p>
            <w:pPr>
              <w:jc w:val="center"/>
              <w:rPr>
                <w:spacing w:val="4"/>
                <w:szCs w:val="21"/>
              </w:rPr>
            </w:pPr>
            <w:r>
              <w:rPr>
                <w:spacing w:val="4"/>
                <w:szCs w:val="21"/>
              </w:rPr>
              <w:t>6-9</w:t>
            </w:r>
          </w:p>
        </w:tc>
        <w:tc>
          <w:tcPr>
            <w:tcW w:w="833" w:type="pct"/>
            <w:vAlign w:val="center"/>
          </w:tcPr>
          <w:p>
            <w:pPr>
              <w:jc w:val="center"/>
              <w:rPr>
                <w:spacing w:val="4"/>
                <w:szCs w:val="21"/>
              </w:rPr>
            </w:pPr>
            <w:r>
              <w:rPr>
                <w:rFonts w:hint="eastAsia"/>
                <w:spacing w:val="4"/>
                <w:szCs w:val="21"/>
              </w:rPr>
              <w:t>40</w:t>
            </w:r>
          </w:p>
        </w:tc>
        <w:tc>
          <w:tcPr>
            <w:tcW w:w="834" w:type="pct"/>
            <w:vAlign w:val="center"/>
          </w:tcPr>
          <w:p>
            <w:pPr>
              <w:jc w:val="center"/>
              <w:rPr>
                <w:spacing w:val="4"/>
                <w:szCs w:val="21"/>
              </w:rPr>
            </w:pPr>
            <w:r>
              <w:rPr>
                <w:rFonts w:hint="eastAsia"/>
                <w:spacing w:val="4"/>
                <w:szCs w:val="21"/>
              </w:rPr>
              <w:t>10</w:t>
            </w:r>
          </w:p>
        </w:tc>
        <w:tc>
          <w:tcPr>
            <w:tcW w:w="834" w:type="pct"/>
            <w:vAlign w:val="center"/>
          </w:tcPr>
          <w:p>
            <w:pPr>
              <w:jc w:val="center"/>
              <w:rPr>
                <w:spacing w:val="4"/>
                <w:szCs w:val="21"/>
              </w:rPr>
            </w:pPr>
            <w:r>
              <w:rPr>
                <w:rFonts w:hint="eastAsia"/>
                <w:spacing w:val="4"/>
                <w:szCs w:val="21"/>
              </w:rPr>
              <w:t>2.0</w:t>
            </w:r>
          </w:p>
        </w:tc>
        <w:tc>
          <w:tcPr>
            <w:tcW w:w="833" w:type="pct"/>
            <w:vAlign w:val="center"/>
          </w:tcPr>
          <w:p>
            <w:pPr>
              <w:jc w:val="center"/>
              <w:rPr>
                <w:spacing w:val="4"/>
                <w:szCs w:val="21"/>
              </w:rPr>
            </w:pPr>
            <w:r>
              <w:rPr>
                <w:rFonts w:hint="eastAsia"/>
                <w:spacing w:val="4"/>
                <w:szCs w:val="21"/>
              </w:rPr>
              <w:t>1.0</w:t>
            </w:r>
          </w:p>
        </w:tc>
      </w:tr>
    </w:tbl>
    <w:p>
      <w:pPr>
        <w:pStyle w:val="6"/>
        <w:spacing w:line="480" w:lineRule="exact"/>
        <w:ind w:firstLine="0"/>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2.4-</w:t>
      </w:r>
      <w:r>
        <w:rPr>
          <w:rFonts w:ascii="黑体" w:hAnsi="黑体" w:eastAsia="黑体"/>
          <w:sz w:val="24"/>
          <w:szCs w:val="21"/>
        </w:rPr>
        <w:t xml:space="preserve">4  </w:t>
      </w:r>
      <w:r>
        <w:rPr>
          <w:rFonts w:hint="eastAsia" w:ascii="黑体" w:hAnsi="黑体" w:eastAsia="黑体"/>
          <w:sz w:val="24"/>
          <w:szCs w:val="21"/>
        </w:rPr>
        <w:t>《地下水质量标准》（GB/T14848-2017）</w:t>
      </w:r>
      <w:r>
        <w:rPr>
          <w:rFonts w:ascii="黑体" w:hAnsi="黑体" w:eastAsia="黑体"/>
          <w:sz w:val="24"/>
          <w:szCs w:val="21"/>
        </w:rPr>
        <w:t>Ⅲ类标准</w:t>
      </w:r>
      <w:r>
        <w:rPr>
          <w:rFonts w:hint="eastAsia" w:ascii="黑体" w:hAnsi="黑体" w:eastAsia="黑体"/>
          <w:sz w:val="24"/>
          <w:szCs w:val="21"/>
        </w:rPr>
        <w:t xml:space="preserve"> 单位：</w:t>
      </w:r>
      <w:r>
        <w:rPr>
          <w:rFonts w:ascii="黑体" w:hAnsi="黑体" w:eastAsia="黑体"/>
          <w:sz w:val="24"/>
          <w:szCs w:val="21"/>
        </w:rPr>
        <w:t>mg/</w:t>
      </w:r>
      <w:r>
        <w:rPr>
          <w:rFonts w:hint="eastAsia" w:ascii="黑体" w:hAnsi="黑体" w:eastAsia="黑体"/>
          <w:sz w:val="24"/>
          <w:szCs w:val="21"/>
        </w:rPr>
        <w:t>L</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913"/>
        <w:gridCol w:w="913"/>
        <w:gridCol w:w="913"/>
        <w:gridCol w:w="913"/>
        <w:gridCol w:w="1149"/>
        <w:gridCol w:w="1578"/>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pStyle w:val="54"/>
              <w:spacing w:line="240" w:lineRule="auto"/>
              <w:rPr>
                <w:szCs w:val="21"/>
              </w:rPr>
            </w:pPr>
            <w:r>
              <w:rPr>
                <w:rFonts w:hAnsi="宋体"/>
                <w:szCs w:val="21"/>
              </w:rPr>
              <w:t>污染物</w:t>
            </w:r>
          </w:p>
        </w:tc>
        <w:tc>
          <w:tcPr>
            <w:tcW w:w="504" w:type="pct"/>
            <w:vAlign w:val="center"/>
          </w:tcPr>
          <w:p>
            <w:pPr>
              <w:pStyle w:val="54"/>
              <w:spacing w:line="240" w:lineRule="auto"/>
              <w:rPr>
                <w:szCs w:val="21"/>
              </w:rPr>
            </w:pPr>
            <w:r>
              <w:rPr>
                <w:szCs w:val="21"/>
              </w:rPr>
              <w:t>pH</w:t>
            </w:r>
          </w:p>
        </w:tc>
        <w:tc>
          <w:tcPr>
            <w:tcW w:w="504" w:type="pct"/>
            <w:vAlign w:val="center"/>
          </w:tcPr>
          <w:p>
            <w:pPr>
              <w:pStyle w:val="54"/>
              <w:spacing w:line="240" w:lineRule="auto"/>
              <w:rPr>
                <w:szCs w:val="21"/>
              </w:rPr>
            </w:pPr>
            <w:r>
              <w:rPr>
                <w:rFonts w:hAnsi="宋体"/>
                <w:szCs w:val="21"/>
              </w:rPr>
              <w:t>总硬度</w:t>
            </w:r>
          </w:p>
        </w:tc>
        <w:tc>
          <w:tcPr>
            <w:tcW w:w="504" w:type="pct"/>
            <w:vAlign w:val="center"/>
          </w:tcPr>
          <w:p>
            <w:pPr>
              <w:pStyle w:val="54"/>
              <w:spacing w:line="240" w:lineRule="auto"/>
              <w:rPr>
                <w:szCs w:val="21"/>
              </w:rPr>
            </w:pPr>
            <w:r>
              <w:rPr>
                <w:rFonts w:hAnsi="宋体"/>
                <w:szCs w:val="21"/>
              </w:rPr>
              <w:t>氟化物</w:t>
            </w:r>
          </w:p>
        </w:tc>
        <w:tc>
          <w:tcPr>
            <w:tcW w:w="504" w:type="pct"/>
            <w:vAlign w:val="center"/>
          </w:tcPr>
          <w:p>
            <w:pPr>
              <w:pStyle w:val="54"/>
              <w:spacing w:line="240" w:lineRule="auto"/>
              <w:rPr>
                <w:szCs w:val="21"/>
              </w:rPr>
            </w:pPr>
            <w:r>
              <w:rPr>
                <w:rFonts w:hAnsi="宋体"/>
                <w:szCs w:val="21"/>
              </w:rPr>
              <w:t>硝酸盐</w:t>
            </w:r>
          </w:p>
        </w:tc>
        <w:tc>
          <w:tcPr>
            <w:tcW w:w="634" w:type="pct"/>
            <w:vAlign w:val="center"/>
          </w:tcPr>
          <w:p>
            <w:pPr>
              <w:pStyle w:val="54"/>
              <w:spacing w:line="240" w:lineRule="auto"/>
              <w:rPr>
                <w:szCs w:val="21"/>
              </w:rPr>
            </w:pPr>
            <w:r>
              <w:rPr>
                <w:rFonts w:hAnsi="宋体"/>
                <w:szCs w:val="21"/>
              </w:rPr>
              <w:t>亚硝酸盐</w:t>
            </w:r>
          </w:p>
        </w:tc>
        <w:tc>
          <w:tcPr>
            <w:tcW w:w="871" w:type="pct"/>
            <w:vAlign w:val="center"/>
          </w:tcPr>
          <w:p>
            <w:pPr>
              <w:pStyle w:val="54"/>
              <w:spacing w:line="240" w:lineRule="auto"/>
              <w:rPr>
                <w:szCs w:val="21"/>
              </w:rPr>
            </w:pPr>
            <w:r>
              <w:rPr>
                <w:rFonts w:hAnsi="宋体"/>
                <w:szCs w:val="21"/>
              </w:rPr>
              <w:t>硫酸盐</w:t>
            </w:r>
          </w:p>
        </w:tc>
        <w:tc>
          <w:tcPr>
            <w:tcW w:w="978" w:type="pct"/>
            <w:vAlign w:val="center"/>
          </w:tcPr>
          <w:p>
            <w:pPr>
              <w:pStyle w:val="54"/>
              <w:spacing w:line="240" w:lineRule="auto"/>
              <w:rPr>
                <w:szCs w:val="21"/>
              </w:rPr>
            </w:pPr>
            <w:r>
              <w:rPr>
                <w:rFonts w:hint="eastAsia"/>
                <w:szCs w:val="21"/>
              </w:rPr>
              <w:t>耗氧量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pStyle w:val="54"/>
              <w:spacing w:line="240" w:lineRule="auto"/>
              <w:rPr>
                <w:szCs w:val="21"/>
              </w:rPr>
            </w:pPr>
            <w:r>
              <w:rPr>
                <w:rFonts w:hAnsi="宋体"/>
                <w:szCs w:val="21"/>
              </w:rPr>
              <w:t>标准值</w:t>
            </w:r>
          </w:p>
        </w:tc>
        <w:tc>
          <w:tcPr>
            <w:tcW w:w="504" w:type="pct"/>
            <w:vAlign w:val="center"/>
          </w:tcPr>
          <w:p>
            <w:pPr>
              <w:pStyle w:val="54"/>
              <w:spacing w:line="240" w:lineRule="auto"/>
              <w:rPr>
                <w:szCs w:val="21"/>
              </w:rPr>
            </w:pPr>
            <w:r>
              <w:rPr>
                <w:szCs w:val="21"/>
              </w:rPr>
              <w:t>6.5~8.5</w:t>
            </w:r>
          </w:p>
        </w:tc>
        <w:tc>
          <w:tcPr>
            <w:tcW w:w="504" w:type="pct"/>
            <w:vAlign w:val="center"/>
          </w:tcPr>
          <w:p>
            <w:pPr>
              <w:pStyle w:val="54"/>
              <w:spacing w:line="240" w:lineRule="auto"/>
              <w:rPr>
                <w:szCs w:val="21"/>
              </w:rPr>
            </w:pPr>
            <w:r>
              <w:rPr>
                <w:szCs w:val="21"/>
              </w:rPr>
              <w:t>≤450</w:t>
            </w:r>
          </w:p>
        </w:tc>
        <w:tc>
          <w:tcPr>
            <w:tcW w:w="504" w:type="pct"/>
            <w:vAlign w:val="center"/>
          </w:tcPr>
          <w:p>
            <w:pPr>
              <w:pStyle w:val="54"/>
              <w:spacing w:line="240" w:lineRule="auto"/>
              <w:rPr>
                <w:szCs w:val="21"/>
              </w:rPr>
            </w:pPr>
            <w:r>
              <w:rPr>
                <w:szCs w:val="21"/>
              </w:rPr>
              <w:t>≤1.0</w:t>
            </w:r>
          </w:p>
        </w:tc>
        <w:tc>
          <w:tcPr>
            <w:tcW w:w="504" w:type="pct"/>
            <w:vAlign w:val="center"/>
          </w:tcPr>
          <w:p>
            <w:pPr>
              <w:pStyle w:val="54"/>
              <w:spacing w:line="240" w:lineRule="auto"/>
              <w:rPr>
                <w:szCs w:val="21"/>
              </w:rPr>
            </w:pPr>
            <w:r>
              <w:rPr>
                <w:szCs w:val="21"/>
              </w:rPr>
              <w:t>≤20</w:t>
            </w:r>
          </w:p>
        </w:tc>
        <w:tc>
          <w:tcPr>
            <w:tcW w:w="634" w:type="pct"/>
            <w:vAlign w:val="center"/>
          </w:tcPr>
          <w:p>
            <w:pPr>
              <w:pStyle w:val="54"/>
              <w:spacing w:line="240" w:lineRule="auto"/>
              <w:rPr>
                <w:szCs w:val="21"/>
              </w:rPr>
            </w:pPr>
            <w:r>
              <w:rPr>
                <w:szCs w:val="21"/>
              </w:rPr>
              <w:t>≤1.00</w:t>
            </w:r>
          </w:p>
        </w:tc>
        <w:tc>
          <w:tcPr>
            <w:tcW w:w="871" w:type="pct"/>
            <w:vAlign w:val="center"/>
          </w:tcPr>
          <w:p>
            <w:pPr>
              <w:pStyle w:val="54"/>
              <w:spacing w:line="240" w:lineRule="auto"/>
              <w:rPr>
                <w:szCs w:val="21"/>
              </w:rPr>
            </w:pPr>
            <w:r>
              <w:rPr>
                <w:szCs w:val="21"/>
              </w:rPr>
              <w:t>≤250</w:t>
            </w:r>
          </w:p>
        </w:tc>
        <w:tc>
          <w:tcPr>
            <w:tcW w:w="978" w:type="pct"/>
            <w:vAlign w:val="center"/>
          </w:tcPr>
          <w:p>
            <w:pPr>
              <w:pStyle w:val="54"/>
              <w:spacing w:line="240" w:lineRule="auto"/>
              <w:rPr>
                <w:szCs w:val="21"/>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pStyle w:val="54"/>
              <w:spacing w:line="240" w:lineRule="auto"/>
              <w:rPr>
                <w:szCs w:val="21"/>
              </w:rPr>
            </w:pPr>
            <w:r>
              <w:rPr>
                <w:rFonts w:hAnsi="宋体"/>
                <w:szCs w:val="21"/>
              </w:rPr>
              <w:t>污染物</w:t>
            </w:r>
          </w:p>
        </w:tc>
        <w:tc>
          <w:tcPr>
            <w:tcW w:w="504" w:type="pct"/>
            <w:vAlign w:val="center"/>
          </w:tcPr>
          <w:p>
            <w:pPr>
              <w:pStyle w:val="54"/>
              <w:spacing w:line="240" w:lineRule="auto"/>
              <w:rPr>
                <w:szCs w:val="21"/>
              </w:rPr>
            </w:pPr>
            <w:r>
              <w:rPr>
                <w:rFonts w:hAnsi="宋体"/>
                <w:szCs w:val="21"/>
              </w:rPr>
              <w:t>氨氮</w:t>
            </w:r>
          </w:p>
        </w:tc>
        <w:tc>
          <w:tcPr>
            <w:tcW w:w="504" w:type="pct"/>
            <w:vAlign w:val="center"/>
          </w:tcPr>
          <w:p>
            <w:pPr>
              <w:pStyle w:val="54"/>
              <w:spacing w:line="240" w:lineRule="auto"/>
              <w:rPr>
                <w:szCs w:val="21"/>
              </w:rPr>
            </w:pPr>
            <w:r>
              <w:rPr>
                <w:rFonts w:hAnsi="宋体"/>
                <w:szCs w:val="21"/>
              </w:rPr>
              <w:t>氰化物</w:t>
            </w:r>
          </w:p>
        </w:tc>
        <w:tc>
          <w:tcPr>
            <w:tcW w:w="504" w:type="pct"/>
            <w:vAlign w:val="center"/>
          </w:tcPr>
          <w:p>
            <w:pPr>
              <w:pStyle w:val="54"/>
              <w:spacing w:line="240" w:lineRule="auto"/>
              <w:rPr>
                <w:szCs w:val="21"/>
              </w:rPr>
            </w:pPr>
            <w:r>
              <w:rPr>
                <w:rFonts w:hAnsi="宋体"/>
                <w:szCs w:val="21"/>
              </w:rPr>
              <w:t>挥发酚</w:t>
            </w:r>
          </w:p>
        </w:tc>
        <w:tc>
          <w:tcPr>
            <w:tcW w:w="504" w:type="pct"/>
            <w:vAlign w:val="center"/>
          </w:tcPr>
          <w:p>
            <w:pPr>
              <w:pStyle w:val="57"/>
              <w:spacing w:before="0" w:after="0" w:line="240" w:lineRule="auto"/>
              <w:ind w:firstLine="0" w:firstLineChars="0"/>
              <w:jc w:val="center"/>
              <w:rPr>
                <w:sz w:val="21"/>
                <w:szCs w:val="21"/>
              </w:rPr>
            </w:pPr>
            <w:r>
              <w:rPr>
                <w:rFonts w:hAnsi="宋体"/>
                <w:sz w:val="21"/>
                <w:szCs w:val="21"/>
              </w:rPr>
              <w:t>氯化物</w:t>
            </w:r>
          </w:p>
        </w:tc>
        <w:tc>
          <w:tcPr>
            <w:tcW w:w="634" w:type="pct"/>
            <w:vAlign w:val="center"/>
          </w:tcPr>
          <w:p>
            <w:pPr>
              <w:pStyle w:val="54"/>
              <w:spacing w:line="240" w:lineRule="auto"/>
              <w:rPr>
                <w:szCs w:val="21"/>
              </w:rPr>
            </w:pPr>
            <w:r>
              <w:rPr>
                <w:rFonts w:hAnsi="宋体"/>
                <w:szCs w:val="21"/>
              </w:rPr>
              <w:t>六价铬</w:t>
            </w:r>
          </w:p>
        </w:tc>
        <w:tc>
          <w:tcPr>
            <w:tcW w:w="871" w:type="pct"/>
            <w:vAlign w:val="center"/>
          </w:tcPr>
          <w:p>
            <w:pPr>
              <w:pStyle w:val="54"/>
              <w:spacing w:line="240" w:lineRule="auto"/>
              <w:rPr>
                <w:szCs w:val="21"/>
              </w:rPr>
            </w:pPr>
            <w:r>
              <w:rPr>
                <w:rFonts w:hint="eastAsia" w:hAnsi="宋体"/>
                <w:szCs w:val="21"/>
              </w:rPr>
              <w:t>菌落总数C</w:t>
            </w:r>
            <w:r>
              <w:rPr>
                <w:rFonts w:hAnsi="宋体"/>
                <w:szCs w:val="21"/>
              </w:rPr>
              <w:t>FU/ml</w:t>
            </w:r>
          </w:p>
        </w:tc>
        <w:tc>
          <w:tcPr>
            <w:tcW w:w="978" w:type="pct"/>
            <w:vAlign w:val="center"/>
          </w:tcPr>
          <w:p>
            <w:pPr>
              <w:pStyle w:val="54"/>
              <w:spacing w:line="240" w:lineRule="auto"/>
              <w:rPr>
                <w:szCs w:val="21"/>
              </w:rPr>
            </w:pPr>
            <w:r>
              <w:rPr>
                <w:rFonts w:hint="eastAsia" w:hAnsi="宋体"/>
                <w:szCs w:val="21"/>
              </w:rPr>
              <w:t>总大肠菌群C</w:t>
            </w:r>
            <w:r>
              <w:rPr>
                <w:rFonts w:hAnsi="宋体"/>
                <w:szCs w:val="21"/>
              </w:rPr>
              <w:t>FU/100ml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pStyle w:val="54"/>
              <w:spacing w:line="240" w:lineRule="auto"/>
              <w:rPr>
                <w:szCs w:val="21"/>
              </w:rPr>
            </w:pPr>
            <w:r>
              <w:rPr>
                <w:rFonts w:hAnsi="宋体"/>
                <w:szCs w:val="21"/>
              </w:rPr>
              <w:t>标准值</w:t>
            </w:r>
          </w:p>
        </w:tc>
        <w:tc>
          <w:tcPr>
            <w:tcW w:w="504" w:type="pct"/>
            <w:vAlign w:val="center"/>
          </w:tcPr>
          <w:p>
            <w:pPr>
              <w:pStyle w:val="54"/>
              <w:spacing w:line="240" w:lineRule="auto"/>
              <w:rPr>
                <w:szCs w:val="21"/>
              </w:rPr>
            </w:pPr>
            <w:r>
              <w:rPr>
                <w:szCs w:val="21"/>
              </w:rPr>
              <w:t>≤0.5</w:t>
            </w:r>
          </w:p>
        </w:tc>
        <w:tc>
          <w:tcPr>
            <w:tcW w:w="504" w:type="pct"/>
            <w:vAlign w:val="center"/>
          </w:tcPr>
          <w:p>
            <w:pPr>
              <w:pStyle w:val="54"/>
              <w:spacing w:line="240" w:lineRule="auto"/>
              <w:rPr>
                <w:szCs w:val="21"/>
              </w:rPr>
            </w:pPr>
            <w:r>
              <w:rPr>
                <w:szCs w:val="21"/>
              </w:rPr>
              <w:t>≤0.05</w:t>
            </w:r>
          </w:p>
        </w:tc>
        <w:tc>
          <w:tcPr>
            <w:tcW w:w="504" w:type="pct"/>
            <w:vAlign w:val="center"/>
          </w:tcPr>
          <w:p>
            <w:pPr>
              <w:pStyle w:val="54"/>
              <w:spacing w:line="240" w:lineRule="auto"/>
              <w:rPr>
                <w:szCs w:val="21"/>
              </w:rPr>
            </w:pPr>
            <w:r>
              <w:rPr>
                <w:szCs w:val="21"/>
              </w:rPr>
              <w:t>≤0.002</w:t>
            </w:r>
          </w:p>
        </w:tc>
        <w:tc>
          <w:tcPr>
            <w:tcW w:w="504" w:type="pct"/>
            <w:vAlign w:val="center"/>
          </w:tcPr>
          <w:p>
            <w:pPr>
              <w:pStyle w:val="57"/>
              <w:spacing w:before="0" w:after="0" w:line="240" w:lineRule="auto"/>
              <w:ind w:firstLine="0" w:firstLineChars="0"/>
              <w:jc w:val="center"/>
              <w:rPr>
                <w:sz w:val="21"/>
                <w:szCs w:val="21"/>
              </w:rPr>
            </w:pPr>
            <w:r>
              <w:rPr>
                <w:sz w:val="21"/>
                <w:szCs w:val="21"/>
              </w:rPr>
              <w:t>250</w:t>
            </w:r>
          </w:p>
        </w:tc>
        <w:tc>
          <w:tcPr>
            <w:tcW w:w="634" w:type="pct"/>
            <w:vAlign w:val="center"/>
          </w:tcPr>
          <w:p>
            <w:pPr>
              <w:pStyle w:val="54"/>
              <w:spacing w:line="240" w:lineRule="auto"/>
              <w:rPr>
                <w:szCs w:val="21"/>
              </w:rPr>
            </w:pPr>
            <w:r>
              <w:rPr>
                <w:szCs w:val="21"/>
              </w:rPr>
              <w:t>≤0.05</w:t>
            </w:r>
          </w:p>
        </w:tc>
        <w:tc>
          <w:tcPr>
            <w:tcW w:w="871" w:type="pct"/>
            <w:vAlign w:val="center"/>
          </w:tcPr>
          <w:p>
            <w:pPr>
              <w:pStyle w:val="54"/>
              <w:spacing w:line="240" w:lineRule="auto"/>
              <w:rPr>
                <w:szCs w:val="21"/>
              </w:rPr>
            </w:pPr>
            <w:r>
              <w:rPr>
                <w:szCs w:val="21"/>
              </w:rPr>
              <w:t>≤100</w:t>
            </w:r>
          </w:p>
        </w:tc>
        <w:tc>
          <w:tcPr>
            <w:tcW w:w="978" w:type="pct"/>
            <w:vAlign w:val="center"/>
          </w:tcPr>
          <w:p>
            <w:pPr>
              <w:pStyle w:val="54"/>
              <w:spacing w:line="240" w:lineRule="auto"/>
              <w:rPr>
                <w:szCs w:val="21"/>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pStyle w:val="54"/>
              <w:spacing w:line="240" w:lineRule="auto"/>
              <w:rPr>
                <w:szCs w:val="21"/>
              </w:rPr>
            </w:pPr>
            <w:r>
              <w:rPr>
                <w:rFonts w:hAnsi="宋体"/>
                <w:szCs w:val="21"/>
              </w:rPr>
              <w:t>污染物</w:t>
            </w:r>
          </w:p>
        </w:tc>
        <w:tc>
          <w:tcPr>
            <w:tcW w:w="504" w:type="pct"/>
            <w:vAlign w:val="center"/>
          </w:tcPr>
          <w:p>
            <w:pPr>
              <w:pStyle w:val="54"/>
              <w:spacing w:line="240" w:lineRule="auto"/>
              <w:rPr>
                <w:szCs w:val="21"/>
              </w:rPr>
            </w:pPr>
            <w:r>
              <w:rPr>
                <w:rFonts w:hAnsi="宋体"/>
                <w:szCs w:val="21"/>
              </w:rPr>
              <w:t>铁</w:t>
            </w:r>
          </w:p>
        </w:tc>
        <w:tc>
          <w:tcPr>
            <w:tcW w:w="504" w:type="pct"/>
            <w:vAlign w:val="center"/>
          </w:tcPr>
          <w:p>
            <w:pPr>
              <w:pStyle w:val="54"/>
              <w:spacing w:line="240" w:lineRule="auto"/>
              <w:rPr>
                <w:szCs w:val="21"/>
              </w:rPr>
            </w:pPr>
            <w:r>
              <w:rPr>
                <w:rFonts w:hAnsi="宋体"/>
                <w:szCs w:val="21"/>
              </w:rPr>
              <w:t>铅</w:t>
            </w:r>
          </w:p>
        </w:tc>
        <w:tc>
          <w:tcPr>
            <w:tcW w:w="504" w:type="pct"/>
            <w:vAlign w:val="center"/>
          </w:tcPr>
          <w:p>
            <w:pPr>
              <w:pStyle w:val="54"/>
              <w:spacing w:line="240" w:lineRule="auto"/>
              <w:rPr>
                <w:szCs w:val="21"/>
              </w:rPr>
            </w:pPr>
            <w:r>
              <w:rPr>
                <w:rFonts w:hAnsi="宋体"/>
                <w:szCs w:val="21"/>
              </w:rPr>
              <w:t>镉</w:t>
            </w:r>
          </w:p>
        </w:tc>
        <w:tc>
          <w:tcPr>
            <w:tcW w:w="504" w:type="pct"/>
            <w:vAlign w:val="center"/>
          </w:tcPr>
          <w:p>
            <w:pPr>
              <w:pStyle w:val="57"/>
              <w:spacing w:before="0" w:after="0" w:line="240" w:lineRule="auto"/>
              <w:ind w:firstLine="0" w:firstLineChars="0"/>
              <w:jc w:val="center"/>
              <w:rPr>
                <w:sz w:val="21"/>
                <w:szCs w:val="21"/>
              </w:rPr>
            </w:pPr>
            <w:r>
              <w:rPr>
                <w:rFonts w:hAnsi="宋体"/>
                <w:sz w:val="21"/>
                <w:szCs w:val="21"/>
              </w:rPr>
              <w:t>锰</w:t>
            </w:r>
          </w:p>
        </w:tc>
        <w:tc>
          <w:tcPr>
            <w:tcW w:w="634" w:type="pct"/>
            <w:vAlign w:val="center"/>
          </w:tcPr>
          <w:p>
            <w:pPr>
              <w:pStyle w:val="54"/>
              <w:spacing w:line="240" w:lineRule="auto"/>
              <w:rPr>
                <w:szCs w:val="21"/>
              </w:rPr>
            </w:pPr>
            <w:r>
              <w:rPr>
                <w:rFonts w:hAnsi="宋体"/>
                <w:szCs w:val="21"/>
              </w:rPr>
              <w:t>汞</w:t>
            </w:r>
          </w:p>
        </w:tc>
        <w:tc>
          <w:tcPr>
            <w:tcW w:w="871" w:type="pct"/>
            <w:vAlign w:val="center"/>
          </w:tcPr>
          <w:p>
            <w:pPr>
              <w:pStyle w:val="54"/>
              <w:spacing w:line="240" w:lineRule="auto"/>
              <w:rPr>
                <w:szCs w:val="21"/>
              </w:rPr>
            </w:pPr>
            <w:r>
              <w:rPr>
                <w:rFonts w:hAnsi="宋体"/>
                <w:szCs w:val="21"/>
              </w:rPr>
              <w:t>砷</w:t>
            </w:r>
          </w:p>
        </w:tc>
        <w:tc>
          <w:tcPr>
            <w:tcW w:w="978" w:type="pct"/>
            <w:vAlign w:val="center"/>
          </w:tcPr>
          <w:p>
            <w:pPr>
              <w:pStyle w:val="54"/>
              <w:spacing w:line="240" w:lineRule="auto"/>
              <w:rPr>
                <w:szCs w:val="21"/>
              </w:rPr>
            </w:pPr>
            <w:r>
              <w:rPr>
                <w:rFonts w:hAnsi="宋体"/>
                <w:szCs w:val="21"/>
              </w:rPr>
              <w:t>溶解性总固体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pStyle w:val="54"/>
              <w:spacing w:line="240" w:lineRule="auto"/>
              <w:rPr>
                <w:szCs w:val="21"/>
              </w:rPr>
            </w:pPr>
            <w:r>
              <w:rPr>
                <w:rFonts w:hAnsi="宋体"/>
                <w:szCs w:val="21"/>
              </w:rPr>
              <w:t>标准值</w:t>
            </w:r>
          </w:p>
        </w:tc>
        <w:tc>
          <w:tcPr>
            <w:tcW w:w="504" w:type="pct"/>
            <w:vAlign w:val="center"/>
          </w:tcPr>
          <w:p>
            <w:pPr>
              <w:pStyle w:val="54"/>
              <w:spacing w:line="240" w:lineRule="auto"/>
              <w:rPr>
                <w:szCs w:val="21"/>
              </w:rPr>
            </w:pPr>
            <w:r>
              <w:rPr>
                <w:szCs w:val="21"/>
              </w:rPr>
              <w:t>≤0.3</w:t>
            </w:r>
          </w:p>
        </w:tc>
        <w:tc>
          <w:tcPr>
            <w:tcW w:w="504" w:type="pct"/>
            <w:vAlign w:val="center"/>
          </w:tcPr>
          <w:p>
            <w:pPr>
              <w:pStyle w:val="54"/>
              <w:spacing w:line="240" w:lineRule="auto"/>
              <w:rPr>
                <w:szCs w:val="21"/>
              </w:rPr>
            </w:pPr>
            <w:r>
              <w:rPr>
                <w:szCs w:val="21"/>
              </w:rPr>
              <w:t>≤0.01</w:t>
            </w:r>
          </w:p>
        </w:tc>
        <w:tc>
          <w:tcPr>
            <w:tcW w:w="504" w:type="pct"/>
            <w:vAlign w:val="center"/>
          </w:tcPr>
          <w:p>
            <w:pPr>
              <w:pStyle w:val="54"/>
              <w:spacing w:line="240" w:lineRule="auto"/>
              <w:rPr>
                <w:szCs w:val="21"/>
              </w:rPr>
            </w:pPr>
            <w:r>
              <w:rPr>
                <w:szCs w:val="21"/>
              </w:rPr>
              <w:t>≤0.005</w:t>
            </w:r>
          </w:p>
        </w:tc>
        <w:tc>
          <w:tcPr>
            <w:tcW w:w="504" w:type="pct"/>
            <w:vAlign w:val="center"/>
          </w:tcPr>
          <w:p>
            <w:pPr>
              <w:pStyle w:val="57"/>
              <w:spacing w:before="0" w:after="0" w:line="240" w:lineRule="auto"/>
              <w:ind w:firstLine="0" w:firstLineChars="0"/>
              <w:jc w:val="center"/>
              <w:rPr>
                <w:sz w:val="21"/>
                <w:szCs w:val="21"/>
              </w:rPr>
            </w:pPr>
            <w:r>
              <w:rPr>
                <w:sz w:val="21"/>
                <w:szCs w:val="21"/>
              </w:rPr>
              <w:t>≤0.1</w:t>
            </w:r>
          </w:p>
        </w:tc>
        <w:tc>
          <w:tcPr>
            <w:tcW w:w="634" w:type="pct"/>
            <w:vAlign w:val="center"/>
          </w:tcPr>
          <w:p>
            <w:pPr>
              <w:pStyle w:val="54"/>
              <w:spacing w:line="240" w:lineRule="auto"/>
              <w:rPr>
                <w:szCs w:val="21"/>
              </w:rPr>
            </w:pPr>
            <w:r>
              <w:rPr>
                <w:szCs w:val="21"/>
              </w:rPr>
              <w:t>≤0.001</w:t>
            </w:r>
          </w:p>
        </w:tc>
        <w:tc>
          <w:tcPr>
            <w:tcW w:w="871" w:type="pct"/>
            <w:vAlign w:val="center"/>
          </w:tcPr>
          <w:p>
            <w:pPr>
              <w:pStyle w:val="54"/>
              <w:spacing w:line="240" w:lineRule="auto"/>
              <w:rPr>
                <w:szCs w:val="21"/>
              </w:rPr>
            </w:pPr>
            <w:r>
              <w:rPr>
                <w:szCs w:val="21"/>
              </w:rPr>
              <w:t>≤0.01</w:t>
            </w:r>
          </w:p>
        </w:tc>
        <w:tc>
          <w:tcPr>
            <w:tcW w:w="978" w:type="pct"/>
            <w:vAlign w:val="center"/>
          </w:tcPr>
          <w:p>
            <w:pPr>
              <w:pStyle w:val="54"/>
              <w:spacing w:line="240" w:lineRule="auto"/>
              <w:rPr>
                <w:szCs w:val="21"/>
              </w:rPr>
            </w:pPr>
            <w:r>
              <w:rPr>
                <w:szCs w:val="21"/>
              </w:rPr>
              <w:t>≤1000</w:t>
            </w:r>
          </w:p>
        </w:tc>
      </w:tr>
    </w:tbl>
    <w:p>
      <w:pPr>
        <w:pStyle w:val="57"/>
        <w:keepNext/>
        <w:keepLines/>
        <w:spacing w:before="0" w:after="0" w:line="480" w:lineRule="exact"/>
        <w:ind w:firstLine="0" w:firstLineChars="0"/>
        <w:outlineLvl w:val="3"/>
        <w:rPr>
          <w:b/>
        </w:rPr>
      </w:pPr>
      <w:r>
        <w:rPr>
          <w:rFonts w:hint="eastAsia"/>
          <w:b/>
        </w:rPr>
        <w:t>2</w:t>
      </w:r>
      <w:r>
        <w:rPr>
          <w:b/>
        </w:rPr>
        <w:t>.4.</w:t>
      </w:r>
      <w:r>
        <w:rPr>
          <w:rFonts w:hint="eastAsia"/>
          <w:b/>
        </w:rPr>
        <w:t>1.3</w:t>
      </w:r>
      <w:r>
        <w:rPr>
          <w:rFonts w:hint="eastAsia" w:ascii="宋体" w:hAnsi="宋体"/>
          <w:b/>
          <w:bCs/>
          <w:kern w:val="0"/>
        </w:rPr>
        <w:t>声环境</w:t>
      </w:r>
    </w:p>
    <w:p>
      <w:pPr>
        <w:spacing w:line="480" w:lineRule="exact"/>
        <w:ind w:firstLine="498"/>
        <w:rPr>
          <w:sz w:val="24"/>
        </w:rPr>
      </w:pPr>
      <w:r>
        <w:rPr>
          <w:rFonts w:hint="eastAsia"/>
          <w:spacing w:val="4"/>
          <w:sz w:val="24"/>
        </w:rPr>
        <w:t>厂界</w:t>
      </w:r>
      <w:r>
        <w:rPr>
          <w:spacing w:val="4"/>
          <w:sz w:val="24"/>
        </w:rPr>
        <w:t>声环境质量执行《声环境质量标准》GB3096-2008中</w:t>
      </w:r>
      <w:r>
        <w:rPr>
          <w:rFonts w:hint="eastAsia"/>
          <w:spacing w:val="4"/>
          <w:sz w:val="24"/>
        </w:rPr>
        <w:t>2</w:t>
      </w:r>
      <w:r>
        <w:rPr>
          <w:spacing w:val="4"/>
          <w:sz w:val="24"/>
        </w:rPr>
        <w:t>类标准。</w:t>
      </w:r>
      <w:r>
        <w:rPr>
          <w:sz w:val="24"/>
        </w:rPr>
        <w:t>具体标准值见表</w:t>
      </w:r>
      <w:r>
        <w:rPr>
          <w:rFonts w:hint="eastAsia"/>
          <w:sz w:val="24"/>
        </w:rPr>
        <w:t>2.4-</w:t>
      </w:r>
      <w:r>
        <w:rPr>
          <w:sz w:val="24"/>
        </w:rPr>
        <w:t>5。</w:t>
      </w:r>
    </w:p>
    <w:p>
      <w:pPr>
        <w:pStyle w:val="6"/>
        <w:spacing w:line="480" w:lineRule="exact"/>
        <w:ind w:firstLine="0"/>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2.4-</w:t>
      </w:r>
      <w:r>
        <w:rPr>
          <w:rFonts w:ascii="黑体" w:hAnsi="黑体" w:eastAsia="黑体"/>
          <w:sz w:val="24"/>
          <w:szCs w:val="21"/>
        </w:rPr>
        <w:t>5  声环境质量标准(GB3096-2008)</w:t>
      </w:r>
      <w:r>
        <w:rPr>
          <w:rFonts w:hint="eastAsia" w:ascii="黑体" w:hAnsi="黑体" w:eastAsia="黑体"/>
          <w:sz w:val="24"/>
          <w:szCs w:val="21"/>
        </w:rPr>
        <w:t xml:space="preserve">  单位：</w:t>
      </w:r>
      <w:r>
        <w:rPr>
          <w:rFonts w:ascii="黑体" w:hAnsi="黑体" w:eastAsia="黑体"/>
          <w:sz w:val="24"/>
          <w:szCs w:val="21"/>
        </w:rPr>
        <w:t>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1"/>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op w:val="single" w:color="auto" w:sz="4" w:space="0"/>
              <w:left w:val="single" w:color="auto" w:sz="4" w:space="0"/>
              <w:bottom w:val="single" w:color="auto" w:sz="4" w:space="0"/>
              <w:right w:val="single" w:color="auto" w:sz="4" w:space="0"/>
            </w:tcBorders>
            <w:vAlign w:val="center"/>
          </w:tcPr>
          <w:p>
            <w:pPr>
              <w:pStyle w:val="47"/>
            </w:pPr>
            <w:r>
              <w:t>类  别</w:t>
            </w:r>
          </w:p>
        </w:tc>
        <w:tc>
          <w:tcPr>
            <w:tcW w:w="1667" w:type="pct"/>
            <w:tcBorders>
              <w:top w:val="single" w:color="auto" w:sz="4" w:space="0"/>
              <w:left w:val="single" w:color="auto" w:sz="4" w:space="0"/>
              <w:bottom w:val="single" w:color="auto" w:sz="4" w:space="0"/>
              <w:right w:val="single" w:color="auto" w:sz="4" w:space="0"/>
            </w:tcBorders>
            <w:vAlign w:val="center"/>
          </w:tcPr>
          <w:p>
            <w:pPr>
              <w:pStyle w:val="47"/>
            </w:pPr>
            <w:r>
              <w:t>昼  间</w:t>
            </w:r>
          </w:p>
        </w:tc>
        <w:tc>
          <w:tcPr>
            <w:tcW w:w="1666" w:type="pct"/>
            <w:tcBorders>
              <w:top w:val="single" w:color="auto" w:sz="4" w:space="0"/>
              <w:left w:val="single" w:color="auto" w:sz="4" w:space="0"/>
              <w:bottom w:val="single" w:color="auto" w:sz="4" w:space="0"/>
              <w:right w:val="single" w:color="auto" w:sz="4" w:space="0"/>
            </w:tcBorders>
            <w:vAlign w:val="center"/>
          </w:tcPr>
          <w:p>
            <w:pPr>
              <w:pStyle w:val="47"/>
            </w:pPr>
            <w: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c>
          <w:tcPr>
            <w:tcW w:w="166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60</w:t>
            </w:r>
          </w:p>
        </w:tc>
        <w:tc>
          <w:tcPr>
            <w:tcW w:w="166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50</w:t>
            </w:r>
          </w:p>
        </w:tc>
      </w:tr>
    </w:tbl>
    <w:p>
      <w:pPr>
        <w:pStyle w:val="57"/>
        <w:keepNext/>
        <w:keepLines/>
        <w:spacing w:before="0" w:after="0" w:line="480" w:lineRule="exact"/>
        <w:ind w:firstLine="0" w:firstLineChars="0"/>
        <w:outlineLvl w:val="3"/>
        <w:rPr>
          <w:b/>
        </w:rPr>
      </w:pPr>
      <w:r>
        <w:rPr>
          <w:rFonts w:hint="eastAsia"/>
          <w:b/>
        </w:rPr>
        <w:t>2</w:t>
      </w:r>
      <w:r>
        <w:rPr>
          <w:b/>
        </w:rPr>
        <w:t>.4.</w:t>
      </w:r>
      <w:r>
        <w:rPr>
          <w:rFonts w:hint="eastAsia"/>
          <w:b/>
        </w:rPr>
        <w:t>1.4</w:t>
      </w:r>
      <w:r>
        <w:rPr>
          <w:rFonts w:hint="eastAsia" w:ascii="宋体" w:hAnsi="宋体"/>
          <w:b/>
          <w:bCs/>
          <w:kern w:val="0"/>
        </w:rPr>
        <w:t>土壤环境</w:t>
      </w:r>
    </w:p>
    <w:p>
      <w:pPr>
        <w:spacing w:line="480" w:lineRule="exact"/>
        <w:ind w:firstLine="498"/>
        <w:rPr>
          <w:sz w:val="24"/>
        </w:rPr>
      </w:pPr>
      <w:r>
        <w:rPr>
          <w:rFonts w:hint="eastAsia"/>
          <w:kern w:val="0"/>
          <w:sz w:val="24"/>
        </w:rPr>
        <w:t>根据《中华人民共和国国家标准</w:t>
      </w:r>
      <w:r>
        <w:rPr>
          <w:kern w:val="0"/>
          <w:sz w:val="24"/>
        </w:rPr>
        <w:t xml:space="preserve"> </w:t>
      </w:r>
      <w:r>
        <w:rPr>
          <w:rFonts w:hint="eastAsia"/>
          <w:kern w:val="0"/>
          <w:sz w:val="24"/>
        </w:rPr>
        <w:t>城乡用地分类与规划建设用地标准》（</w:t>
      </w:r>
      <w:r>
        <w:rPr>
          <w:kern w:val="0"/>
          <w:sz w:val="24"/>
        </w:rPr>
        <w:t>GB50137</w:t>
      </w:r>
      <w:r>
        <w:rPr>
          <w:rFonts w:hint="eastAsia"/>
          <w:kern w:val="0"/>
          <w:sz w:val="24"/>
        </w:rPr>
        <w:t>）中建设用地分类，本项目建设用地为镇建设用地</w:t>
      </w:r>
      <w:r>
        <w:rPr>
          <w:kern w:val="0"/>
          <w:sz w:val="24"/>
        </w:rPr>
        <w:t>B</w:t>
      </w:r>
      <w:r>
        <w:rPr>
          <w:rFonts w:hint="eastAsia"/>
          <w:kern w:val="0"/>
          <w:sz w:val="24"/>
        </w:rPr>
        <w:t>类商业服务业设施用地中</w:t>
      </w:r>
      <w:r>
        <w:rPr>
          <w:kern w:val="0"/>
          <w:sz w:val="24"/>
        </w:rPr>
        <w:t>B2</w:t>
      </w:r>
      <w:r>
        <w:rPr>
          <w:rFonts w:hint="eastAsia"/>
          <w:kern w:val="0"/>
          <w:sz w:val="24"/>
        </w:rPr>
        <w:t>类公用设施营业网点用地。根据《土壤环境质量</w:t>
      </w:r>
      <w:r>
        <w:rPr>
          <w:kern w:val="0"/>
          <w:sz w:val="24"/>
        </w:rPr>
        <w:t xml:space="preserve"> </w:t>
      </w:r>
      <w:r>
        <w:rPr>
          <w:rFonts w:hint="eastAsia"/>
          <w:kern w:val="0"/>
          <w:sz w:val="24"/>
        </w:rPr>
        <w:t>建设用地土壤污染风险管控标准》（试行）中建设用地分类，本项目属于第二类用地，执行第二类用地建设用地土壤污染风险筛选值和管制值。第二类用地建设用地土壤污染风险筛选值和管制值标准值见下表2.4-6。</w:t>
      </w:r>
    </w:p>
    <w:p>
      <w:pPr>
        <w:adjustRightInd w:val="0"/>
        <w:snapToGrid w:val="0"/>
        <w:spacing w:line="480" w:lineRule="exact"/>
        <w:jc w:val="center"/>
        <w:rPr>
          <w:rFonts w:ascii="黑体" w:hAnsi="黑体" w:eastAsia="黑体"/>
          <w:color w:val="000000"/>
          <w:sz w:val="24"/>
          <w:szCs w:val="21"/>
        </w:rPr>
      </w:pPr>
      <w:r>
        <w:rPr>
          <w:rFonts w:hint="eastAsia" w:ascii="黑体" w:hAnsi="黑体" w:eastAsia="黑体"/>
          <w:bCs/>
          <w:color w:val="000000"/>
          <w:sz w:val="24"/>
          <w:szCs w:val="21"/>
        </w:rPr>
        <w:t>表2.4-6 土壤环境质量标准</w:t>
      </w:r>
      <w:r>
        <w:rPr>
          <w:rFonts w:hint="eastAsia" w:ascii="黑体" w:hAnsi="黑体" w:eastAsia="黑体"/>
          <w:color w:val="000000"/>
          <w:sz w:val="24"/>
          <w:szCs w:val="21"/>
        </w:rPr>
        <w:t xml:space="preserve">  </w:t>
      </w:r>
      <w:r>
        <w:rPr>
          <w:rFonts w:hint="eastAsia" w:ascii="黑体" w:hAnsi="黑体" w:eastAsia="黑体"/>
          <w:bCs/>
          <w:color w:val="000000"/>
          <w:sz w:val="24"/>
          <w:szCs w:val="21"/>
        </w:rPr>
        <w:t>单位：mg/kg</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982"/>
        <w:gridCol w:w="959"/>
        <w:gridCol w:w="959"/>
        <w:gridCol w:w="504"/>
        <w:gridCol w:w="2241"/>
        <w:gridCol w:w="975"/>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序号</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污染物项目</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筛选值</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管制值</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序号</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污染物项目</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筛选值</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140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24</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1,2,3-</w:t>
            </w:r>
            <w:r>
              <w:rPr>
                <w:rFonts w:hint="eastAsia"/>
              </w:rPr>
              <w:t>三氯丙烷</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0.5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镉</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65</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172</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25</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氯乙烯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0.43</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铬（六价）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5.7</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78</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26</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铜</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18000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36000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27</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270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铅</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800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2500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r>
              <w:rPr>
                <w:rFonts w:hint="eastAsia"/>
              </w:rPr>
              <w:t>二氯苯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560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汞</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82</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29</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1,4-</w:t>
            </w:r>
            <w:r>
              <w:rPr>
                <w:rFonts w:hint="eastAsia"/>
              </w:rPr>
              <w:t>二氯苯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镍</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900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30</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乙苯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四氯化碳</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36</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31</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苯乙烯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9</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氯仿</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0.9</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32</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甲苯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1200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氯甲烷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37</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33</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间二甲苯</w:t>
            </w:r>
            <w:r>
              <w:t>+</w:t>
            </w:r>
            <w:r>
              <w:rPr>
                <w:rFonts w:hint="eastAsia"/>
              </w:rPr>
              <w:t>对二甲苯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570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w:t>
            </w:r>
            <w:r>
              <w:rPr>
                <w:rFonts w:hint="eastAsia"/>
              </w:rPr>
              <w:t>二氯乙烷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9</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34</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邻二甲苯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640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r>
              <w:rPr>
                <w:rFonts w:hint="eastAsia"/>
              </w:rPr>
              <w:t>二氯乙烷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21</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35</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硝基苯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76</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13</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w:t>
            </w:r>
            <w:r>
              <w:rPr>
                <w:rFonts w:hint="eastAsia"/>
              </w:rPr>
              <w:t>二氯乙烯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66</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36</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苯胺</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260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14</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顺</w:t>
            </w:r>
            <w:r>
              <w:t>-1,2-</w:t>
            </w:r>
            <w:r>
              <w:rPr>
                <w:rFonts w:hint="eastAsia"/>
              </w:rPr>
              <w:t>二氯乙烯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596</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37</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w:t>
            </w:r>
            <w:r>
              <w:rPr>
                <w:rFonts w:hint="eastAsia"/>
              </w:rPr>
              <w:t>氯酚</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2256</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反</w:t>
            </w:r>
            <w:r>
              <w:t>-1,2-</w:t>
            </w:r>
            <w:r>
              <w:rPr>
                <w:rFonts w:hint="eastAsia"/>
              </w:rPr>
              <w:t>二氯乙烯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54</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163</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38</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[a]</w:t>
            </w:r>
            <w:r>
              <w:rPr>
                <w:rFonts w:hint="eastAsia"/>
              </w:rPr>
              <w:t>蒽</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16</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二氯甲烷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616</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39</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[a]</w:t>
            </w:r>
            <w:r>
              <w:rPr>
                <w:rFonts w:hint="eastAsia"/>
              </w:rPr>
              <w:t>芘</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17</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r>
              <w:rPr>
                <w:rFonts w:hint="eastAsia"/>
              </w:rPr>
              <w:t>二氯丙烷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47</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40</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[b]</w:t>
            </w:r>
            <w:r>
              <w:rPr>
                <w:rFonts w:hint="eastAsia"/>
              </w:rPr>
              <w:t>荧蒽</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18</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1,1,1,2-</w:t>
            </w:r>
            <w:r>
              <w:rPr>
                <w:rFonts w:hint="eastAsia"/>
              </w:rPr>
              <w:t>四氯乙烷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41</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[k]</w:t>
            </w:r>
            <w:r>
              <w:rPr>
                <w:rFonts w:hint="eastAsia"/>
              </w:rPr>
              <w:t>荧蒽</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19</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1,1,2,2-</w:t>
            </w:r>
            <w:r>
              <w:rPr>
                <w:rFonts w:hint="eastAsia"/>
              </w:rPr>
              <w:t>四氯乙烷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42</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1"/>
              </w:rPr>
              <w:t>䓛</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1293</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四氯乙烯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53</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183</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43</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二苯并</w:t>
            </w:r>
            <w:r>
              <w:t>[a,h]</w:t>
            </w:r>
            <w:r>
              <w:rPr>
                <w:rFonts w:hint="eastAsia"/>
              </w:rPr>
              <w:t>蒽</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21</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1,1,1-</w:t>
            </w:r>
            <w:r>
              <w:rPr>
                <w:rFonts w:hint="eastAsia"/>
              </w:rPr>
              <w:t>三氯乙烷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840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840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44</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茚并</w:t>
            </w:r>
            <w:r>
              <w:t>[1,2,3-cd]</w:t>
            </w:r>
            <w:r>
              <w:rPr>
                <w:rFonts w:hint="eastAsia"/>
                <w:szCs w:val="21"/>
              </w:rPr>
              <w:t>芘</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22</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1,1,2-</w:t>
            </w:r>
            <w:r>
              <w:rPr>
                <w:rFonts w:hint="eastAsia"/>
              </w:rPr>
              <w:t>三氯乙烷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45</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萘</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23</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三氯乙烯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w:t>
            </w:r>
          </w:p>
        </w:tc>
        <w:tc>
          <w:tcPr>
            <w:tcW w:w="278" w:type="pct"/>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HAnsi" w:hAnsiTheme="minorHAnsi"/>
                <w:szCs w:val="22"/>
              </w:rPr>
            </w:pPr>
          </w:p>
        </w:tc>
        <w:tc>
          <w:tcPr>
            <w:tcW w:w="1237" w:type="pct"/>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HAnsi" w:hAnsiTheme="minorHAnsi"/>
                <w:szCs w:val="22"/>
              </w:rPr>
            </w:pPr>
          </w:p>
        </w:tc>
        <w:tc>
          <w:tcPr>
            <w:tcW w:w="538" w:type="pct"/>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HAnsi" w:hAnsiTheme="minorHAnsi"/>
                <w:szCs w:val="22"/>
              </w:rPr>
            </w:pPr>
          </w:p>
        </w:tc>
        <w:tc>
          <w:tcPr>
            <w:tcW w:w="511" w:type="pct"/>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HAnsi" w:hAnsiTheme="minorHAnsi"/>
                <w:szCs w:val="22"/>
              </w:rPr>
            </w:pPr>
          </w:p>
        </w:tc>
      </w:tr>
    </w:tbl>
    <w:p>
      <w:pPr>
        <w:pStyle w:val="57"/>
        <w:keepNext/>
        <w:keepLines/>
        <w:spacing w:before="0" w:after="0" w:line="480" w:lineRule="exact"/>
        <w:ind w:firstLine="0" w:firstLineChars="0"/>
        <w:outlineLvl w:val="2"/>
        <w:rPr>
          <w:b/>
        </w:rPr>
      </w:pPr>
      <w:r>
        <w:rPr>
          <w:rFonts w:hint="eastAsia"/>
          <w:b/>
        </w:rPr>
        <w:t>2</w:t>
      </w:r>
      <w:r>
        <w:rPr>
          <w:b/>
        </w:rPr>
        <w:t>.</w:t>
      </w:r>
      <w:r>
        <w:rPr>
          <w:rFonts w:hint="eastAsia"/>
          <w:b/>
        </w:rPr>
        <w:t>4</w:t>
      </w:r>
      <w:r>
        <w:rPr>
          <w:b/>
        </w:rPr>
        <w:t>.</w:t>
      </w:r>
      <w:r>
        <w:rPr>
          <w:rFonts w:hint="eastAsia"/>
          <w:b/>
        </w:rPr>
        <w:t>2</w:t>
      </w:r>
      <w:r>
        <w:rPr>
          <w:rFonts w:hint="eastAsia" w:ascii="宋体" w:hAnsi="宋体"/>
          <w:b/>
          <w:bCs/>
          <w:kern w:val="0"/>
        </w:rPr>
        <w:t>污染物排放标准</w:t>
      </w:r>
    </w:p>
    <w:p>
      <w:pPr>
        <w:pStyle w:val="57"/>
        <w:keepNext/>
        <w:keepLines/>
        <w:spacing w:before="0" w:after="0" w:line="480" w:lineRule="exact"/>
        <w:ind w:firstLine="0" w:firstLineChars="0"/>
        <w:outlineLvl w:val="3"/>
        <w:rPr>
          <w:b/>
        </w:rPr>
      </w:pPr>
      <w:r>
        <w:rPr>
          <w:rFonts w:hint="eastAsia"/>
          <w:b/>
        </w:rPr>
        <w:t>2</w:t>
      </w:r>
      <w:r>
        <w:rPr>
          <w:b/>
        </w:rPr>
        <w:t>.</w:t>
      </w:r>
      <w:r>
        <w:rPr>
          <w:rFonts w:hint="eastAsia"/>
          <w:b/>
        </w:rPr>
        <w:t>4</w:t>
      </w:r>
      <w:r>
        <w:rPr>
          <w:b/>
        </w:rPr>
        <w:t>.</w:t>
      </w:r>
      <w:r>
        <w:rPr>
          <w:rFonts w:hint="eastAsia"/>
          <w:b/>
        </w:rPr>
        <w:t>2.1</w:t>
      </w:r>
      <w:r>
        <w:rPr>
          <w:rFonts w:hint="eastAsia"/>
          <w:b/>
          <w:bCs/>
          <w:spacing w:val="4"/>
        </w:rPr>
        <w:t>废气</w:t>
      </w:r>
    </w:p>
    <w:p>
      <w:pPr>
        <w:spacing w:line="480" w:lineRule="exact"/>
        <w:ind w:firstLine="496" w:firstLineChars="200"/>
        <w:rPr>
          <w:rFonts w:hAnsi="宋体"/>
          <w:spacing w:val="4"/>
          <w:kern w:val="0"/>
          <w:sz w:val="24"/>
        </w:rPr>
      </w:pPr>
      <w:r>
        <w:rPr>
          <w:rFonts w:hAnsi="宋体"/>
          <w:spacing w:val="4"/>
          <w:sz w:val="24"/>
        </w:rPr>
        <w:t>项目运营期养殖场恶臭污染物臭气浓度排放标准执行《畜禽养殖业污染物排放标准》（GB18596-2001）中表7标准，硫化氢、氨在</w:t>
      </w:r>
      <w:r>
        <w:rPr>
          <w:rFonts w:hint="eastAsia" w:hAnsi="宋体"/>
          <w:spacing w:val="4"/>
          <w:sz w:val="24"/>
        </w:rPr>
        <w:t>厂</w:t>
      </w:r>
      <w:r>
        <w:rPr>
          <w:rFonts w:hAnsi="宋体"/>
          <w:spacing w:val="4"/>
          <w:sz w:val="24"/>
        </w:rPr>
        <w:t>界浓度执行《恶臭污染物排放标准》（GB14554-93）表1中二级新改扩建标准。</w:t>
      </w:r>
    </w:p>
    <w:p>
      <w:pPr>
        <w:spacing w:line="480" w:lineRule="exact"/>
        <w:ind w:firstLine="480" w:firstLineChars="200"/>
        <w:rPr>
          <w:rFonts w:hAnsi="宋体"/>
          <w:spacing w:val="4"/>
          <w:sz w:val="24"/>
        </w:rPr>
      </w:pPr>
      <w:r>
        <w:rPr>
          <w:rFonts w:hint="eastAsia"/>
          <w:sz w:val="24"/>
        </w:rPr>
        <w:t>燃液化天然气导热油炉执行《锅炉大气污染物排放标准》（GB13271-2014）表3中燃气锅炉大气污染物特别排放限值。</w:t>
      </w:r>
    </w:p>
    <w:p>
      <w:pPr>
        <w:spacing w:line="480" w:lineRule="exact"/>
        <w:ind w:firstLine="496" w:firstLineChars="200"/>
        <w:rPr>
          <w:spacing w:val="4"/>
          <w:sz w:val="24"/>
        </w:rPr>
      </w:pPr>
      <w:r>
        <w:rPr>
          <w:rFonts w:hint="eastAsia" w:hAnsi="宋体"/>
          <w:spacing w:val="4"/>
          <w:sz w:val="24"/>
        </w:rPr>
        <w:t>具体标准值见表2.4-7，2.4-8，2.4-9。</w:t>
      </w:r>
    </w:p>
    <w:p>
      <w:pPr>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2.4-7 《畜禽养殖业污染物排放标准》</w:t>
      </w:r>
      <w:r>
        <w:rPr>
          <w:rFonts w:ascii="黑体" w:hAnsi="黑体" w:eastAsia="黑体"/>
          <w:bCs/>
          <w:sz w:val="24"/>
          <w:szCs w:val="24"/>
        </w:rPr>
        <w:t>（GB18596-2001）表7</w:t>
      </w:r>
      <w:r>
        <w:rPr>
          <w:rFonts w:hint="eastAsia" w:ascii="黑体" w:hAnsi="黑体" w:eastAsia="黑体"/>
          <w:bCs/>
          <w:sz w:val="24"/>
          <w:szCs w:val="24"/>
        </w:rPr>
        <w:t>中标准限值</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473"/>
        <w:gridCol w:w="44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473" w:type="dxa"/>
            <w:vAlign w:val="center"/>
          </w:tcPr>
          <w:p>
            <w:pPr>
              <w:pStyle w:val="50"/>
              <w:snapToGrid/>
              <w:rPr>
                <w:rFonts w:ascii="Times New Roman" w:hAnsi="Times New Roman" w:cs="Times New Roman"/>
                <w:kern w:val="0"/>
              </w:rPr>
            </w:pPr>
            <w:r>
              <w:rPr>
                <w:rFonts w:ascii="Times New Roman" w:hAnsi="Times New Roman" w:cs="Times New Roman"/>
                <w:kern w:val="0"/>
              </w:rPr>
              <w:t>污染物</w:t>
            </w:r>
          </w:p>
        </w:tc>
        <w:tc>
          <w:tcPr>
            <w:tcW w:w="4473" w:type="dxa"/>
            <w:vAlign w:val="center"/>
          </w:tcPr>
          <w:p>
            <w:pPr>
              <w:pStyle w:val="50"/>
              <w:snapToGrid/>
              <w:rPr>
                <w:rFonts w:ascii="Times New Roman" w:hAnsi="Times New Roman" w:cs="Times New Roman"/>
                <w:kern w:val="0"/>
              </w:rPr>
            </w:pPr>
            <w:r>
              <w:rPr>
                <w:rFonts w:hint="eastAsia" w:ascii="Times New Roman" w:hAnsi="Times New Roman" w:cs="Times New Roman"/>
                <w:kern w:val="0"/>
              </w:rPr>
              <w:t>标准值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473" w:type="dxa"/>
            <w:vAlign w:val="center"/>
          </w:tcPr>
          <w:p>
            <w:pPr>
              <w:pStyle w:val="50"/>
              <w:snapToGrid/>
              <w:rPr>
                <w:rFonts w:ascii="Times New Roman" w:hAnsi="Times New Roman" w:cs="Times New Roman"/>
                <w:kern w:val="0"/>
              </w:rPr>
            </w:pPr>
            <w:r>
              <w:rPr>
                <w:rFonts w:hint="eastAsia" w:ascii="Times New Roman" w:hAnsi="Times New Roman" w:cs="Times New Roman"/>
                <w:spacing w:val="-4"/>
              </w:rPr>
              <w:t>臭气浓度</w:t>
            </w:r>
          </w:p>
        </w:tc>
        <w:tc>
          <w:tcPr>
            <w:tcW w:w="4473" w:type="dxa"/>
            <w:vAlign w:val="center"/>
          </w:tcPr>
          <w:p>
            <w:pPr>
              <w:pStyle w:val="50"/>
              <w:snapToGrid/>
              <w:rPr>
                <w:rFonts w:ascii="Times New Roman" w:hAnsi="Times New Roman" w:cs="Times New Roman"/>
                <w:kern w:val="0"/>
              </w:rPr>
            </w:pPr>
            <w:r>
              <w:rPr>
                <w:rFonts w:hint="eastAsia" w:ascii="Times New Roman" w:hAnsi="Times New Roman" w:cs="Times New Roman"/>
                <w:kern w:val="0"/>
              </w:rPr>
              <w:t>7</w:t>
            </w:r>
            <w:r>
              <w:rPr>
                <w:rFonts w:ascii="Times New Roman" w:hAnsi="Times New Roman" w:cs="Times New Roman"/>
                <w:kern w:val="0"/>
              </w:rPr>
              <w:t>0</w:t>
            </w:r>
            <w:r>
              <w:rPr>
                <w:rFonts w:hint="eastAsia" w:ascii="Times New Roman" w:hAnsi="Times New Roman" w:cs="Times New Roman"/>
                <w:kern w:val="0"/>
              </w:rPr>
              <w:t>（无量纲）</w:t>
            </w:r>
          </w:p>
        </w:tc>
      </w:tr>
    </w:tbl>
    <w:p>
      <w:pPr>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2.4-8 《</w:t>
      </w:r>
      <w:r>
        <w:rPr>
          <w:rFonts w:ascii="黑体" w:hAnsi="黑体" w:eastAsia="黑体"/>
          <w:bCs/>
          <w:sz w:val="24"/>
          <w:szCs w:val="24"/>
        </w:rPr>
        <w:t>恶臭污染物排放标准</w:t>
      </w:r>
      <w:r>
        <w:rPr>
          <w:rFonts w:hint="eastAsia" w:ascii="黑体" w:hAnsi="黑体" w:eastAsia="黑体"/>
          <w:bCs/>
          <w:sz w:val="24"/>
          <w:szCs w:val="24"/>
        </w:rPr>
        <w:t>》（G</w:t>
      </w:r>
      <w:r>
        <w:rPr>
          <w:rFonts w:ascii="黑体" w:hAnsi="黑体" w:eastAsia="黑体"/>
          <w:bCs/>
          <w:sz w:val="24"/>
          <w:szCs w:val="24"/>
        </w:rPr>
        <w:t>B14554-1993</w:t>
      </w:r>
      <w:r>
        <w:rPr>
          <w:rFonts w:hint="eastAsia" w:ascii="黑体" w:hAnsi="黑体" w:eastAsia="黑体"/>
          <w:bCs/>
          <w:sz w:val="24"/>
          <w:szCs w:val="24"/>
        </w:rPr>
        <w:t>）</w:t>
      </w:r>
      <w:r>
        <w:rPr>
          <w:rFonts w:ascii="黑体" w:hAnsi="黑体" w:eastAsia="黑体"/>
          <w:bCs/>
          <w:sz w:val="24"/>
          <w:szCs w:val="24"/>
        </w:rPr>
        <w:t>表1</w:t>
      </w:r>
      <w:r>
        <w:rPr>
          <w:rFonts w:hint="eastAsia" w:ascii="黑体" w:hAnsi="黑体" w:eastAsia="黑体"/>
          <w:bCs/>
          <w:sz w:val="24"/>
          <w:szCs w:val="24"/>
        </w:rPr>
        <w:t>中厂界标准限值</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473"/>
        <w:gridCol w:w="44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473" w:type="dxa"/>
            <w:vAlign w:val="center"/>
          </w:tcPr>
          <w:p>
            <w:pPr>
              <w:pStyle w:val="50"/>
              <w:snapToGrid/>
              <w:rPr>
                <w:rFonts w:ascii="Times New Roman" w:hAnsi="Times New Roman" w:cs="Times New Roman"/>
                <w:kern w:val="0"/>
              </w:rPr>
            </w:pPr>
            <w:r>
              <w:rPr>
                <w:rFonts w:ascii="Times New Roman" w:hAnsi="Times New Roman" w:cs="Times New Roman"/>
                <w:kern w:val="0"/>
              </w:rPr>
              <w:t>污染物</w:t>
            </w:r>
          </w:p>
        </w:tc>
        <w:tc>
          <w:tcPr>
            <w:tcW w:w="4473" w:type="dxa"/>
            <w:vAlign w:val="center"/>
          </w:tcPr>
          <w:p>
            <w:pPr>
              <w:pStyle w:val="50"/>
              <w:snapToGrid/>
              <w:rPr>
                <w:rFonts w:ascii="Times New Roman" w:hAnsi="Times New Roman" w:cs="Times New Roman"/>
                <w:kern w:val="0"/>
              </w:rPr>
            </w:pPr>
            <w:r>
              <w:rPr>
                <w:rFonts w:hint="eastAsia" w:ascii="Times New Roman" w:hAnsi="Times New Roman" w:cs="Times New Roman"/>
                <w:kern w:val="0"/>
              </w:rPr>
              <w:t>标准值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473" w:type="dxa"/>
            <w:vAlign w:val="center"/>
          </w:tcPr>
          <w:p>
            <w:pPr>
              <w:pStyle w:val="50"/>
              <w:snapToGrid/>
              <w:rPr>
                <w:rFonts w:ascii="Times New Roman" w:hAnsi="Times New Roman" w:cs="Times New Roman"/>
                <w:kern w:val="0"/>
              </w:rPr>
            </w:pPr>
            <w:r>
              <w:rPr>
                <w:rFonts w:hint="eastAsia" w:ascii="Times New Roman" w:hAnsi="Times New Roman" w:cs="Times New Roman"/>
                <w:spacing w:val="-4"/>
              </w:rPr>
              <w:t>氨</w:t>
            </w:r>
          </w:p>
        </w:tc>
        <w:tc>
          <w:tcPr>
            <w:tcW w:w="4473" w:type="dxa"/>
            <w:vAlign w:val="center"/>
          </w:tcPr>
          <w:p>
            <w:pPr>
              <w:pStyle w:val="50"/>
              <w:snapToGrid/>
              <w:rPr>
                <w:rFonts w:ascii="Times New Roman" w:hAnsi="Times New Roman" w:cs="Times New Roman"/>
                <w:kern w:val="0"/>
              </w:rPr>
            </w:pPr>
            <w:r>
              <w:rPr>
                <w:rFonts w:ascii="Times New Roman" w:hAnsi="Times New Roman" w:cs="Times New Roman"/>
                <w:kern w:val="0"/>
              </w:rPr>
              <w:t xml:space="preserve">1.5 </w:t>
            </w:r>
            <w:r>
              <w:rPr>
                <w:rFonts w:hint="eastAsia" w:ascii="Times New Roman" w:hAnsi="Times New Roman" w:cs="Times New Roman"/>
                <w:kern w:val="0"/>
              </w:rPr>
              <w:t>mg</w:t>
            </w:r>
            <w:r>
              <w:rPr>
                <w:rFonts w:ascii="Times New Roman" w:hAnsi="Times New Roman" w:cs="Times New Roman"/>
                <w:kern w:val="0"/>
              </w:rPr>
              <w:t>/m</w:t>
            </w:r>
            <w:r>
              <w:rPr>
                <w:rFonts w:ascii="Times New Roman" w:hAnsi="Times New Roman" w:cs="Times New Roman"/>
                <w:kern w:val="0"/>
                <w:vertAlign w:val="superscript"/>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473" w:type="dxa"/>
            <w:vAlign w:val="center"/>
          </w:tcPr>
          <w:p>
            <w:pPr>
              <w:pStyle w:val="50"/>
              <w:snapToGrid/>
              <w:rPr>
                <w:rFonts w:ascii="Times New Roman" w:hAnsi="Times New Roman" w:cs="Times New Roman"/>
                <w:spacing w:val="-4"/>
              </w:rPr>
            </w:pPr>
            <w:r>
              <w:rPr>
                <w:rFonts w:hint="eastAsia" w:ascii="Times New Roman" w:hAnsi="Times New Roman" w:cs="Times New Roman"/>
                <w:spacing w:val="-4"/>
              </w:rPr>
              <w:t>硫化氢</w:t>
            </w:r>
          </w:p>
        </w:tc>
        <w:tc>
          <w:tcPr>
            <w:tcW w:w="4473" w:type="dxa"/>
            <w:vAlign w:val="center"/>
          </w:tcPr>
          <w:p>
            <w:pPr>
              <w:pStyle w:val="50"/>
              <w:snapToGrid/>
              <w:rPr>
                <w:rFonts w:ascii="Times New Roman" w:hAnsi="Times New Roman" w:cs="Times New Roman"/>
                <w:kern w:val="0"/>
              </w:rPr>
            </w:pPr>
            <w:r>
              <w:rPr>
                <w:rFonts w:ascii="Times New Roman" w:hAnsi="Times New Roman" w:cs="Times New Roman"/>
                <w:kern w:val="0"/>
              </w:rPr>
              <w:t xml:space="preserve">0.06 </w:t>
            </w:r>
            <w:r>
              <w:rPr>
                <w:rFonts w:hint="eastAsia" w:ascii="Times New Roman" w:hAnsi="Times New Roman" w:cs="Times New Roman"/>
                <w:kern w:val="0"/>
              </w:rPr>
              <w:t>mg</w:t>
            </w:r>
            <w:r>
              <w:rPr>
                <w:rFonts w:ascii="Times New Roman" w:hAnsi="Times New Roman" w:cs="Times New Roman"/>
                <w:kern w:val="0"/>
              </w:rPr>
              <w:t>/m</w:t>
            </w:r>
            <w:r>
              <w:rPr>
                <w:rFonts w:ascii="Times New Roman" w:hAnsi="Times New Roman" w:cs="Times New Roman"/>
                <w:kern w:val="0"/>
                <w:vertAlign w:val="superscript"/>
              </w:rPr>
              <w:t>3</w:t>
            </w:r>
          </w:p>
        </w:tc>
      </w:tr>
    </w:tbl>
    <w:p>
      <w:pPr>
        <w:spacing w:line="480" w:lineRule="exact"/>
        <w:jc w:val="center"/>
        <w:rPr>
          <w:rFonts w:ascii="黑体" w:hAnsi="黑体" w:eastAsia="黑体"/>
          <w:bCs/>
          <w:sz w:val="24"/>
          <w:szCs w:val="24"/>
        </w:rPr>
      </w:pPr>
      <w:r>
        <w:rPr>
          <w:rFonts w:ascii="黑体" w:hAnsi="黑体" w:eastAsia="黑体"/>
          <w:bCs/>
          <w:sz w:val="24"/>
          <w:szCs w:val="24"/>
        </w:rPr>
        <w:t>表2.4-9</w:t>
      </w:r>
      <w:r>
        <w:rPr>
          <w:rFonts w:hint="eastAsia" w:ascii="黑体" w:hAnsi="黑体" w:eastAsia="黑体"/>
          <w:bCs/>
          <w:sz w:val="24"/>
          <w:szCs w:val="24"/>
        </w:rPr>
        <w:t xml:space="preserve"> </w:t>
      </w:r>
      <w:r>
        <w:rPr>
          <w:rFonts w:ascii="黑体" w:hAnsi="黑体" w:eastAsia="黑体"/>
          <w:bCs/>
          <w:sz w:val="24"/>
          <w:szCs w:val="24"/>
        </w:rPr>
        <w:t>《锅炉大气污染物排放标准》</w:t>
      </w:r>
      <w:r>
        <w:rPr>
          <w:rFonts w:hint="eastAsia" w:ascii="黑体" w:hAnsi="黑体" w:eastAsia="黑体"/>
          <w:bCs/>
          <w:sz w:val="24"/>
          <w:szCs w:val="24"/>
        </w:rPr>
        <w:t>大气污染物特别排放限值</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4128"/>
        <w:gridCol w:w="3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Align w:val="center"/>
          </w:tcPr>
          <w:p>
            <w:pPr>
              <w:adjustRightInd w:val="0"/>
              <w:snapToGrid w:val="0"/>
              <w:jc w:val="center"/>
              <w:rPr>
                <w:szCs w:val="21"/>
              </w:rPr>
            </w:pPr>
            <w:r>
              <w:rPr>
                <w:szCs w:val="21"/>
              </w:rPr>
              <w:t>锅炉类型</w:t>
            </w:r>
          </w:p>
        </w:tc>
        <w:tc>
          <w:tcPr>
            <w:tcW w:w="2278" w:type="pct"/>
            <w:vAlign w:val="center"/>
          </w:tcPr>
          <w:p>
            <w:pPr>
              <w:adjustRightInd w:val="0"/>
              <w:snapToGrid w:val="0"/>
              <w:jc w:val="center"/>
              <w:rPr>
                <w:szCs w:val="21"/>
              </w:rPr>
            </w:pPr>
            <w:r>
              <w:rPr>
                <w:szCs w:val="21"/>
              </w:rPr>
              <w:t>污染物项目</w:t>
            </w:r>
          </w:p>
        </w:tc>
        <w:tc>
          <w:tcPr>
            <w:tcW w:w="1810" w:type="pct"/>
            <w:vAlign w:val="center"/>
          </w:tcPr>
          <w:p>
            <w:pPr>
              <w:adjustRightInd w:val="0"/>
              <w:snapToGrid w:val="0"/>
              <w:jc w:val="center"/>
              <w:rPr>
                <w:szCs w:val="21"/>
              </w:rPr>
            </w:pPr>
            <w:r>
              <w:rPr>
                <w:szCs w:val="21"/>
              </w:rPr>
              <w:t>限值mg/m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restart"/>
            <w:vAlign w:val="center"/>
          </w:tcPr>
          <w:p>
            <w:pPr>
              <w:adjustRightInd w:val="0"/>
              <w:snapToGrid w:val="0"/>
              <w:jc w:val="center"/>
              <w:rPr>
                <w:szCs w:val="21"/>
              </w:rPr>
            </w:pPr>
            <w:r>
              <w:rPr>
                <w:szCs w:val="21"/>
              </w:rPr>
              <w:t>燃</w:t>
            </w:r>
            <w:r>
              <w:rPr>
                <w:rFonts w:hint="eastAsia"/>
                <w:szCs w:val="21"/>
              </w:rPr>
              <w:t>气</w:t>
            </w:r>
            <w:r>
              <w:rPr>
                <w:szCs w:val="21"/>
              </w:rPr>
              <w:t>锅炉</w:t>
            </w:r>
          </w:p>
        </w:tc>
        <w:tc>
          <w:tcPr>
            <w:tcW w:w="2278" w:type="pct"/>
            <w:vAlign w:val="center"/>
          </w:tcPr>
          <w:p>
            <w:pPr>
              <w:adjustRightInd w:val="0"/>
              <w:snapToGrid w:val="0"/>
              <w:jc w:val="center"/>
              <w:rPr>
                <w:szCs w:val="21"/>
              </w:rPr>
            </w:pPr>
            <w:r>
              <w:rPr>
                <w:szCs w:val="21"/>
              </w:rPr>
              <w:t>颗粒物</w:t>
            </w:r>
          </w:p>
        </w:tc>
        <w:tc>
          <w:tcPr>
            <w:tcW w:w="1810" w:type="pct"/>
            <w:vAlign w:val="center"/>
          </w:tcPr>
          <w:p>
            <w:pPr>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vAlign w:val="center"/>
          </w:tcPr>
          <w:p>
            <w:pPr>
              <w:adjustRightInd w:val="0"/>
              <w:snapToGrid w:val="0"/>
              <w:jc w:val="center"/>
              <w:rPr>
                <w:szCs w:val="21"/>
              </w:rPr>
            </w:pPr>
          </w:p>
        </w:tc>
        <w:tc>
          <w:tcPr>
            <w:tcW w:w="2278" w:type="pct"/>
            <w:vAlign w:val="center"/>
          </w:tcPr>
          <w:p>
            <w:pPr>
              <w:adjustRightInd w:val="0"/>
              <w:snapToGrid w:val="0"/>
              <w:jc w:val="center"/>
              <w:rPr>
                <w:szCs w:val="21"/>
              </w:rPr>
            </w:pPr>
            <w:r>
              <w:rPr>
                <w:szCs w:val="21"/>
              </w:rPr>
              <w:t>NO</w:t>
            </w:r>
            <w:r>
              <w:rPr>
                <w:szCs w:val="21"/>
                <w:vertAlign w:val="subscript"/>
              </w:rPr>
              <w:t>x</w:t>
            </w:r>
          </w:p>
        </w:tc>
        <w:tc>
          <w:tcPr>
            <w:tcW w:w="1810" w:type="pct"/>
            <w:vAlign w:val="center"/>
          </w:tcPr>
          <w:p>
            <w:pPr>
              <w:jc w:val="center"/>
              <w:rPr>
                <w:szCs w:val="21"/>
              </w:rPr>
            </w:pPr>
            <w:r>
              <w:rPr>
                <w:rFonts w:hint="eastAsia"/>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pct"/>
            <w:vMerge w:val="continue"/>
            <w:vAlign w:val="center"/>
          </w:tcPr>
          <w:p>
            <w:pPr>
              <w:adjustRightInd w:val="0"/>
              <w:snapToGrid w:val="0"/>
              <w:jc w:val="center"/>
              <w:rPr>
                <w:szCs w:val="21"/>
              </w:rPr>
            </w:pPr>
          </w:p>
        </w:tc>
        <w:tc>
          <w:tcPr>
            <w:tcW w:w="2278" w:type="pct"/>
            <w:vAlign w:val="center"/>
          </w:tcPr>
          <w:p>
            <w:pPr>
              <w:adjustRightInd w:val="0"/>
              <w:snapToGrid w:val="0"/>
              <w:jc w:val="center"/>
              <w:rPr>
                <w:szCs w:val="21"/>
              </w:rPr>
            </w:pPr>
            <w:r>
              <w:rPr>
                <w:szCs w:val="21"/>
              </w:rPr>
              <w:t>烟气黑度（林格曼黑度，级）</w:t>
            </w:r>
          </w:p>
        </w:tc>
        <w:tc>
          <w:tcPr>
            <w:tcW w:w="1810" w:type="pct"/>
            <w:vAlign w:val="center"/>
          </w:tcPr>
          <w:p>
            <w:pPr>
              <w:jc w:val="center"/>
              <w:rPr>
                <w:szCs w:val="21"/>
              </w:rPr>
            </w:pPr>
            <w:r>
              <w:rPr>
                <w:szCs w:val="21"/>
              </w:rPr>
              <w:t>≤1</w:t>
            </w:r>
          </w:p>
        </w:tc>
      </w:tr>
    </w:tbl>
    <w:p>
      <w:pPr>
        <w:pStyle w:val="57"/>
        <w:keepNext/>
        <w:keepLines/>
        <w:spacing w:before="0" w:after="0" w:line="480" w:lineRule="exact"/>
        <w:ind w:firstLine="0" w:firstLineChars="0"/>
        <w:outlineLvl w:val="3"/>
        <w:rPr>
          <w:b/>
        </w:rPr>
      </w:pPr>
      <w:r>
        <w:rPr>
          <w:rFonts w:hint="eastAsia"/>
          <w:b/>
        </w:rPr>
        <w:t>2</w:t>
      </w:r>
      <w:r>
        <w:rPr>
          <w:b/>
        </w:rPr>
        <w:t>.</w:t>
      </w:r>
      <w:r>
        <w:rPr>
          <w:rFonts w:hint="eastAsia"/>
          <w:b/>
        </w:rPr>
        <w:t>4</w:t>
      </w:r>
      <w:r>
        <w:rPr>
          <w:b/>
        </w:rPr>
        <w:t>.</w:t>
      </w:r>
      <w:r>
        <w:rPr>
          <w:rFonts w:hint="eastAsia"/>
          <w:b/>
        </w:rPr>
        <w:t>2.</w:t>
      </w:r>
      <w:r>
        <w:rPr>
          <w:b/>
        </w:rPr>
        <w:t>2</w:t>
      </w:r>
      <w:r>
        <w:rPr>
          <w:rFonts w:hint="eastAsia"/>
          <w:b/>
          <w:bCs/>
          <w:spacing w:val="4"/>
        </w:rPr>
        <w:t>废水</w:t>
      </w:r>
    </w:p>
    <w:p>
      <w:pPr>
        <w:spacing w:line="480" w:lineRule="exact"/>
        <w:ind w:firstLine="482"/>
        <w:rPr>
          <w:spacing w:val="4"/>
          <w:sz w:val="24"/>
        </w:rPr>
      </w:pPr>
      <w:r>
        <w:rPr>
          <w:spacing w:val="4"/>
          <w:sz w:val="24"/>
        </w:rPr>
        <w:t>项目运营期污水处理根据《畜禽养殖业污染治理工程技术规范》（HJ497-2009）要求使用干清粪方式清理粪污，废水处理采用</w:t>
      </w:r>
      <w:r>
        <w:rPr>
          <w:rFonts w:hint="eastAsia"/>
          <w:spacing w:val="4"/>
          <w:sz w:val="24"/>
        </w:rPr>
        <w:t>“</w:t>
      </w:r>
      <w:r>
        <w:rPr>
          <w:spacing w:val="4"/>
          <w:sz w:val="24"/>
        </w:rPr>
        <w:t>生物接触氧化+沉淀+消毒</w:t>
      </w:r>
      <w:r>
        <w:rPr>
          <w:rFonts w:hint="eastAsia"/>
          <w:spacing w:val="4"/>
          <w:sz w:val="24"/>
        </w:rPr>
        <w:t>”</w:t>
      </w:r>
      <w:r>
        <w:rPr>
          <w:spacing w:val="4"/>
          <w:sz w:val="24"/>
        </w:rPr>
        <w:t>的处理工艺，满足《畜禽养殖业污染物排放标准》（GB18596-2001）的集约化畜禽养殖业干清粪工艺最高允许排水量标准及《农田灌溉水质标准》（GB5084-2005）中</w:t>
      </w:r>
      <w:r>
        <w:rPr>
          <w:rFonts w:hint="eastAsia"/>
          <w:spacing w:val="4"/>
          <w:sz w:val="24"/>
        </w:rPr>
        <w:t>“</w:t>
      </w:r>
      <w:r>
        <w:rPr>
          <w:spacing w:val="4"/>
          <w:sz w:val="24"/>
        </w:rPr>
        <w:t>旱作灌溉标准</w:t>
      </w:r>
      <w:r>
        <w:rPr>
          <w:rFonts w:hint="eastAsia"/>
          <w:spacing w:val="4"/>
          <w:sz w:val="24"/>
        </w:rPr>
        <w:t>”</w:t>
      </w:r>
      <w:r>
        <w:rPr>
          <w:spacing w:val="4"/>
          <w:sz w:val="24"/>
        </w:rPr>
        <w:t>后用于农田灌溉，</w:t>
      </w:r>
    </w:p>
    <w:p>
      <w:pPr>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2.4-10</w:t>
      </w:r>
      <w:r>
        <w:rPr>
          <w:rFonts w:ascii="黑体" w:hAnsi="黑体" w:eastAsia="黑体"/>
          <w:bCs/>
          <w:sz w:val="24"/>
          <w:szCs w:val="24"/>
        </w:rPr>
        <w:t xml:space="preserve">  集约化畜禽养殖业干清粪工艺最高允许排水量</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368"/>
        <w:gridCol w:w="1520"/>
        <w:gridCol w:w="5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Align w:val="center"/>
          </w:tcPr>
          <w:p>
            <w:pPr>
              <w:pStyle w:val="128"/>
              <w:rPr>
                <w:rFonts w:ascii="Times New Roman" w:hAnsi="Times New Roman"/>
                <w:snapToGrid w:val="0"/>
                <w:kern w:val="0"/>
                <w:szCs w:val="24"/>
              </w:rPr>
            </w:pPr>
            <w:r>
              <w:rPr>
                <w:rFonts w:ascii="Times New Roman" w:hAnsi="Times New Roman"/>
                <w:snapToGrid w:val="0"/>
                <w:kern w:val="0"/>
                <w:szCs w:val="24"/>
              </w:rPr>
              <w:t>季节</w:t>
            </w:r>
          </w:p>
        </w:tc>
        <w:tc>
          <w:tcPr>
            <w:tcW w:w="755" w:type="pct"/>
            <w:vAlign w:val="center"/>
          </w:tcPr>
          <w:p>
            <w:pPr>
              <w:pStyle w:val="128"/>
              <w:rPr>
                <w:rFonts w:ascii="Times New Roman" w:hAnsi="Times New Roman"/>
                <w:snapToGrid w:val="0"/>
                <w:kern w:val="0"/>
                <w:szCs w:val="24"/>
              </w:rPr>
            </w:pPr>
            <w:r>
              <w:rPr>
                <w:rFonts w:ascii="Times New Roman" w:hAnsi="Times New Roman"/>
                <w:snapToGrid w:val="0"/>
                <w:kern w:val="0"/>
                <w:szCs w:val="24"/>
              </w:rPr>
              <w:t>冬季（m</w:t>
            </w:r>
            <w:r>
              <w:rPr>
                <w:rFonts w:ascii="Times New Roman" w:hAnsi="Times New Roman"/>
                <w:snapToGrid w:val="0"/>
                <w:kern w:val="0"/>
                <w:szCs w:val="24"/>
                <w:vertAlign w:val="superscript"/>
              </w:rPr>
              <w:t>3</w:t>
            </w:r>
            <w:r>
              <w:rPr>
                <w:rFonts w:ascii="Times New Roman" w:hAnsi="Times New Roman"/>
                <w:snapToGrid w:val="0"/>
                <w:kern w:val="0"/>
                <w:szCs w:val="24"/>
              </w:rPr>
              <w:t>/</w:t>
            </w:r>
            <w:r>
              <w:rPr>
                <w:rFonts w:ascii="Times New Roman" w:hAnsi="Times New Roman"/>
                <w:snapToGrid w:val="0"/>
                <w:kern w:val="0"/>
                <w:szCs w:val="24"/>
                <w:lang w:val="en-GB"/>
              </w:rPr>
              <w:t>千只</w:t>
            </w:r>
            <w:r>
              <w:rPr>
                <w:rFonts w:ascii="Times New Roman" w:hAnsi="Times New Roman"/>
                <w:snapToGrid w:val="0"/>
                <w:kern w:val="0"/>
                <w:szCs w:val="24"/>
              </w:rPr>
              <w:t>﹒天）</w:t>
            </w:r>
          </w:p>
        </w:tc>
        <w:tc>
          <w:tcPr>
            <w:tcW w:w="839" w:type="pct"/>
            <w:vAlign w:val="center"/>
          </w:tcPr>
          <w:p>
            <w:pPr>
              <w:pStyle w:val="128"/>
              <w:rPr>
                <w:rFonts w:ascii="Times New Roman" w:hAnsi="Times New Roman"/>
                <w:snapToGrid w:val="0"/>
                <w:kern w:val="0"/>
                <w:szCs w:val="24"/>
              </w:rPr>
            </w:pPr>
            <w:r>
              <w:rPr>
                <w:rFonts w:ascii="Times New Roman" w:hAnsi="Times New Roman"/>
                <w:snapToGrid w:val="0"/>
                <w:kern w:val="0"/>
                <w:szCs w:val="24"/>
              </w:rPr>
              <w:t>夏季（m</w:t>
            </w:r>
            <w:r>
              <w:rPr>
                <w:rFonts w:ascii="Times New Roman" w:hAnsi="Times New Roman"/>
                <w:snapToGrid w:val="0"/>
                <w:kern w:val="0"/>
                <w:szCs w:val="24"/>
                <w:vertAlign w:val="superscript"/>
              </w:rPr>
              <w:t>3</w:t>
            </w:r>
            <w:r>
              <w:rPr>
                <w:rFonts w:ascii="Times New Roman" w:hAnsi="Times New Roman"/>
                <w:snapToGrid w:val="0"/>
                <w:kern w:val="0"/>
                <w:szCs w:val="24"/>
              </w:rPr>
              <w:t>/</w:t>
            </w:r>
            <w:r>
              <w:rPr>
                <w:rFonts w:ascii="Times New Roman" w:hAnsi="Times New Roman"/>
                <w:snapToGrid w:val="0"/>
                <w:kern w:val="0"/>
                <w:szCs w:val="24"/>
                <w:lang w:val="en-GB"/>
              </w:rPr>
              <w:t>千只</w:t>
            </w:r>
            <w:r>
              <w:rPr>
                <w:rFonts w:ascii="Times New Roman" w:hAnsi="Times New Roman"/>
                <w:snapToGrid w:val="0"/>
                <w:kern w:val="0"/>
                <w:szCs w:val="24"/>
              </w:rPr>
              <w:t>﹒天）</w:t>
            </w:r>
          </w:p>
        </w:tc>
        <w:tc>
          <w:tcPr>
            <w:tcW w:w="2818" w:type="pct"/>
            <w:vAlign w:val="center"/>
          </w:tcPr>
          <w:p>
            <w:pPr>
              <w:pStyle w:val="128"/>
              <w:rPr>
                <w:rFonts w:ascii="Times New Roman" w:hAnsi="Times New Roman"/>
                <w:snapToGrid w:val="0"/>
                <w:kern w:val="0"/>
                <w:szCs w:val="24"/>
              </w:rPr>
            </w:pPr>
            <w:r>
              <w:rPr>
                <w:rFonts w:ascii="Times New Roman" w:hAnsi="Times New Roman"/>
                <w:snapToGrid w:val="0"/>
                <w:kern w:val="0"/>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Align w:val="center"/>
          </w:tcPr>
          <w:p>
            <w:pPr>
              <w:pStyle w:val="128"/>
              <w:rPr>
                <w:rFonts w:ascii="Times New Roman" w:hAnsi="Times New Roman"/>
                <w:snapToGrid w:val="0"/>
                <w:kern w:val="0"/>
                <w:szCs w:val="24"/>
              </w:rPr>
            </w:pPr>
            <w:r>
              <w:rPr>
                <w:rFonts w:ascii="Times New Roman" w:hAnsi="Times New Roman"/>
                <w:snapToGrid w:val="0"/>
                <w:kern w:val="0"/>
                <w:szCs w:val="24"/>
              </w:rPr>
              <w:t>标准值</w:t>
            </w:r>
          </w:p>
        </w:tc>
        <w:tc>
          <w:tcPr>
            <w:tcW w:w="755" w:type="pct"/>
            <w:vAlign w:val="center"/>
          </w:tcPr>
          <w:p>
            <w:pPr>
              <w:pStyle w:val="128"/>
              <w:rPr>
                <w:rFonts w:ascii="Times New Roman" w:hAnsi="Times New Roman"/>
                <w:snapToGrid w:val="0"/>
                <w:kern w:val="0"/>
                <w:szCs w:val="24"/>
              </w:rPr>
            </w:pPr>
            <w:r>
              <w:rPr>
                <w:rFonts w:ascii="Times New Roman" w:hAnsi="Times New Roman"/>
                <w:snapToGrid w:val="0"/>
                <w:kern w:val="0"/>
                <w:szCs w:val="24"/>
                <w:lang w:val="en-US"/>
              </w:rPr>
              <w:t>0.5</w:t>
            </w:r>
          </w:p>
        </w:tc>
        <w:tc>
          <w:tcPr>
            <w:tcW w:w="839" w:type="pct"/>
            <w:vAlign w:val="center"/>
          </w:tcPr>
          <w:p>
            <w:pPr>
              <w:pStyle w:val="128"/>
              <w:rPr>
                <w:rFonts w:ascii="Times New Roman" w:hAnsi="Times New Roman"/>
                <w:snapToGrid w:val="0"/>
                <w:kern w:val="0"/>
                <w:szCs w:val="24"/>
              </w:rPr>
            </w:pPr>
            <w:r>
              <w:rPr>
                <w:rFonts w:ascii="Times New Roman" w:hAnsi="Times New Roman"/>
                <w:snapToGrid w:val="0"/>
                <w:kern w:val="0"/>
                <w:szCs w:val="24"/>
                <w:lang w:val="en-US"/>
              </w:rPr>
              <w:t>0.7</w:t>
            </w:r>
          </w:p>
        </w:tc>
        <w:tc>
          <w:tcPr>
            <w:tcW w:w="2818" w:type="pct"/>
            <w:vAlign w:val="center"/>
          </w:tcPr>
          <w:p>
            <w:pPr>
              <w:pStyle w:val="128"/>
              <w:jc w:val="both"/>
              <w:rPr>
                <w:rFonts w:ascii="Times New Roman" w:hAnsi="Times New Roman"/>
                <w:snapToGrid w:val="0"/>
                <w:kern w:val="0"/>
                <w:szCs w:val="24"/>
              </w:rPr>
            </w:pPr>
            <w:r>
              <w:rPr>
                <w:rFonts w:ascii="Times New Roman" w:hAnsi="Times New Roman"/>
                <w:snapToGrid w:val="0"/>
                <w:kern w:val="0"/>
                <w:szCs w:val="24"/>
              </w:rPr>
              <w:t>《畜禽养殖业污染物排放标准》（GB18596-2001）中养鸡场干清粪工艺最高允许排水量</w:t>
            </w:r>
          </w:p>
        </w:tc>
      </w:tr>
    </w:tbl>
    <w:p>
      <w:pPr>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2.4-11</w:t>
      </w:r>
      <w:r>
        <w:rPr>
          <w:rFonts w:ascii="黑体" w:hAnsi="黑体" w:eastAsia="黑体"/>
          <w:bCs/>
          <w:sz w:val="24"/>
          <w:szCs w:val="24"/>
        </w:rPr>
        <w:t xml:space="preserve">  《农田灌溉水质标准》（GB5084-2005）</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3555"/>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51" w:type="pct"/>
            <w:vAlign w:val="center"/>
          </w:tcPr>
          <w:p>
            <w:pPr>
              <w:pStyle w:val="128"/>
              <w:rPr>
                <w:rFonts w:ascii="Times New Roman" w:hAnsi="Times New Roman"/>
                <w:snapToGrid w:val="0"/>
                <w:kern w:val="0"/>
                <w:szCs w:val="24"/>
              </w:rPr>
            </w:pPr>
            <w:r>
              <w:rPr>
                <w:rFonts w:ascii="Times New Roman" w:hAnsi="Times New Roman"/>
                <w:kern w:val="0"/>
                <w:szCs w:val="21"/>
              </w:rPr>
              <w:t>标准名称及级别</w:t>
            </w:r>
          </w:p>
        </w:tc>
        <w:tc>
          <w:tcPr>
            <w:tcW w:w="1962" w:type="pct"/>
            <w:vAlign w:val="center"/>
          </w:tcPr>
          <w:p>
            <w:pPr>
              <w:pStyle w:val="128"/>
              <w:rPr>
                <w:rFonts w:ascii="Times New Roman" w:hAnsi="Times New Roman"/>
                <w:snapToGrid w:val="0"/>
                <w:kern w:val="0"/>
                <w:szCs w:val="24"/>
              </w:rPr>
            </w:pPr>
            <w:r>
              <w:rPr>
                <w:rFonts w:ascii="Times New Roman" w:hAnsi="Times New Roman"/>
                <w:snapToGrid w:val="0"/>
                <w:kern w:val="0"/>
                <w:szCs w:val="24"/>
              </w:rPr>
              <w:t>项目</w:t>
            </w:r>
          </w:p>
        </w:tc>
        <w:tc>
          <w:tcPr>
            <w:tcW w:w="1587" w:type="pct"/>
            <w:vAlign w:val="center"/>
          </w:tcPr>
          <w:p>
            <w:pPr>
              <w:pStyle w:val="128"/>
              <w:rPr>
                <w:rFonts w:ascii="Times New Roman" w:hAnsi="Times New Roman"/>
                <w:snapToGrid w:val="0"/>
                <w:kern w:val="0"/>
                <w:szCs w:val="24"/>
              </w:rPr>
            </w:pPr>
            <w:r>
              <w:rPr>
                <w:rFonts w:ascii="Times New Roman" w:hAnsi="Times New Roman"/>
                <w:kern w:val="0"/>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pct"/>
            <w:vMerge w:val="restart"/>
            <w:vAlign w:val="center"/>
          </w:tcPr>
          <w:p>
            <w:pPr>
              <w:pStyle w:val="128"/>
              <w:rPr>
                <w:rFonts w:ascii="Times New Roman" w:hAnsi="Times New Roman"/>
                <w:snapToGrid w:val="0"/>
                <w:kern w:val="0"/>
                <w:szCs w:val="24"/>
              </w:rPr>
            </w:pPr>
            <w:r>
              <w:rPr>
                <w:rFonts w:ascii="Times New Roman" w:hAnsi="Times New Roman"/>
                <w:kern w:val="0"/>
                <w:szCs w:val="24"/>
              </w:rPr>
              <w:t>《农田灌溉水质标准》（GB5084-2005）</w:t>
            </w:r>
          </w:p>
        </w:tc>
        <w:tc>
          <w:tcPr>
            <w:tcW w:w="1962" w:type="pct"/>
            <w:vAlign w:val="center"/>
          </w:tcPr>
          <w:p>
            <w:pPr>
              <w:pStyle w:val="128"/>
              <w:rPr>
                <w:rFonts w:ascii="Times New Roman" w:hAnsi="Times New Roman"/>
                <w:snapToGrid w:val="0"/>
                <w:kern w:val="0"/>
                <w:szCs w:val="24"/>
              </w:rPr>
            </w:pPr>
            <w:r>
              <w:rPr>
                <w:rFonts w:ascii="Times New Roman" w:hAnsi="Times New Roman"/>
                <w:snapToGrid w:val="0"/>
                <w:kern w:val="0"/>
                <w:szCs w:val="24"/>
              </w:rPr>
              <w:t>生化需氧量（BOD</w:t>
            </w:r>
            <w:r>
              <w:rPr>
                <w:rFonts w:ascii="Times New Roman" w:hAnsi="Times New Roman"/>
                <w:snapToGrid w:val="0"/>
                <w:kern w:val="0"/>
                <w:szCs w:val="24"/>
                <w:vertAlign w:val="subscript"/>
              </w:rPr>
              <w:t>5</w:t>
            </w:r>
            <w:r>
              <w:rPr>
                <w:rFonts w:ascii="Times New Roman" w:hAnsi="Times New Roman"/>
                <w:snapToGrid w:val="0"/>
                <w:kern w:val="0"/>
                <w:szCs w:val="24"/>
              </w:rPr>
              <w:t>）（mg/L）</w:t>
            </w:r>
          </w:p>
        </w:tc>
        <w:tc>
          <w:tcPr>
            <w:tcW w:w="1587" w:type="pct"/>
            <w:vAlign w:val="center"/>
          </w:tcPr>
          <w:p>
            <w:pPr>
              <w:pStyle w:val="128"/>
              <w:rPr>
                <w:rFonts w:ascii="Times New Roman" w:hAnsi="Times New Roman"/>
                <w:snapToGrid w:val="0"/>
                <w:kern w:val="0"/>
                <w:szCs w:val="24"/>
              </w:rPr>
            </w:pPr>
            <w:r>
              <w:rPr>
                <w:rFonts w:ascii="Times New Roman" w:hAnsi="Times New Roman"/>
                <w:snapToGrid w:val="0"/>
                <w:kern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pct"/>
            <w:vMerge w:val="continue"/>
            <w:vAlign w:val="center"/>
          </w:tcPr>
          <w:p>
            <w:pPr>
              <w:pStyle w:val="128"/>
              <w:rPr>
                <w:rFonts w:ascii="Times New Roman" w:hAnsi="Times New Roman"/>
                <w:snapToGrid w:val="0"/>
                <w:kern w:val="0"/>
                <w:szCs w:val="24"/>
              </w:rPr>
            </w:pPr>
          </w:p>
        </w:tc>
        <w:tc>
          <w:tcPr>
            <w:tcW w:w="1962" w:type="pct"/>
            <w:vAlign w:val="center"/>
          </w:tcPr>
          <w:p>
            <w:pPr>
              <w:pStyle w:val="128"/>
              <w:rPr>
                <w:rFonts w:ascii="Times New Roman" w:hAnsi="Times New Roman"/>
                <w:snapToGrid w:val="0"/>
                <w:kern w:val="0"/>
                <w:szCs w:val="24"/>
              </w:rPr>
            </w:pPr>
            <w:r>
              <w:rPr>
                <w:rFonts w:ascii="Times New Roman" w:hAnsi="Times New Roman"/>
                <w:snapToGrid w:val="0"/>
                <w:kern w:val="0"/>
                <w:szCs w:val="24"/>
              </w:rPr>
              <w:t>化学需氧量（COD）（mg/L）</w:t>
            </w:r>
          </w:p>
        </w:tc>
        <w:tc>
          <w:tcPr>
            <w:tcW w:w="1587" w:type="pct"/>
            <w:vAlign w:val="center"/>
          </w:tcPr>
          <w:p>
            <w:pPr>
              <w:pStyle w:val="128"/>
              <w:rPr>
                <w:rFonts w:ascii="Times New Roman" w:hAnsi="Times New Roman"/>
                <w:snapToGrid w:val="0"/>
                <w:kern w:val="0"/>
                <w:szCs w:val="24"/>
              </w:rPr>
            </w:pPr>
            <w:r>
              <w:rPr>
                <w:rFonts w:ascii="Times New Roman" w:hAnsi="Times New Roman"/>
                <w:snapToGrid w:val="0"/>
                <w:kern w:val="0"/>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pct"/>
            <w:vMerge w:val="continue"/>
            <w:vAlign w:val="center"/>
          </w:tcPr>
          <w:p>
            <w:pPr>
              <w:pStyle w:val="128"/>
              <w:rPr>
                <w:rFonts w:ascii="Times New Roman" w:hAnsi="Times New Roman"/>
                <w:snapToGrid w:val="0"/>
                <w:kern w:val="0"/>
                <w:szCs w:val="24"/>
              </w:rPr>
            </w:pPr>
          </w:p>
        </w:tc>
        <w:tc>
          <w:tcPr>
            <w:tcW w:w="1962" w:type="pct"/>
            <w:vAlign w:val="center"/>
          </w:tcPr>
          <w:p>
            <w:pPr>
              <w:pStyle w:val="128"/>
              <w:rPr>
                <w:rFonts w:ascii="Times New Roman" w:hAnsi="Times New Roman"/>
                <w:snapToGrid w:val="0"/>
                <w:kern w:val="0"/>
                <w:szCs w:val="24"/>
              </w:rPr>
            </w:pPr>
            <w:r>
              <w:rPr>
                <w:rFonts w:ascii="Times New Roman" w:hAnsi="Times New Roman"/>
                <w:snapToGrid w:val="0"/>
                <w:kern w:val="0"/>
                <w:szCs w:val="24"/>
              </w:rPr>
              <w:t>悬浮物（mg/L）</w:t>
            </w:r>
          </w:p>
        </w:tc>
        <w:tc>
          <w:tcPr>
            <w:tcW w:w="1587" w:type="pct"/>
            <w:vAlign w:val="center"/>
          </w:tcPr>
          <w:p>
            <w:pPr>
              <w:pStyle w:val="128"/>
              <w:rPr>
                <w:rFonts w:ascii="Times New Roman" w:hAnsi="Times New Roman"/>
                <w:snapToGrid w:val="0"/>
                <w:kern w:val="0"/>
                <w:szCs w:val="24"/>
              </w:rPr>
            </w:pPr>
            <w:r>
              <w:rPr>
                <w:rFonts w:ascii="Times New Roman" w:hAnsi="Times New Roman"/>
                <w:snapToGrid w:val="0"/>
                <w:kern w:val="0"/>
                <w:szCs w:val="24"/>
              </w:rPr>
              <w:t>≤100</w:t>
            </w:r>
          </w:p>
        </w:tc>
      </w:tr>
    </w:tbl>
    <w:p>
      <w:pPr>
        <w:pStyle w:val="57"/>
        <w:keepNext/>
        <w:keepLines/>
        <w:spacing w:before="0" w:after="0" w:line="480" w:lineRule="exact"/>
        <w:ind w:firstLine="0" w:firstLineChars="0"/>
        <w:outlineLvl w:val="3"/>
        <w:rPr>
          <w:b/>
        </w:rPr>
      </w:pPr>
      <w:r>
        <w:rPr>
          <w:rFonts w:hint="eastAsia"/>
          <w:b/>
        </w:rPr>
        <w:t>2</w:t>
      </w:r>
      <w:r>
        <w:rPr>
          <w:b/>
        </w:rPr>
        <w:t>.</w:t>
      </w:r>
      <w:r>
        <w:rPr>
          <w:rFonts w:hint="eastAsia"/>
          <w:b/>
        </w:rPr>
        <w:t>4</w:t>
      </w:r>
      <w:r>
        <w:rPr>
          <w:b/>
        </w:rPr>
        <w:t>.</w:t>
      </w:r>
      <w:r>
        <w:rPr>
          <w:rFonts w:hint="eastAsia"/>
          <w:b/>
        </w:rPr>
        <w:t>2.</w:t>
      </w:r>
      <w:r>
        <w:rPr>
          <w:b/>
        </w:rPr>
        <w:t>3</w:t>
      </w:r>
      <w:r>
        <w:rPr>
          <w:rFonts w:hint="eastAsia"/>
          <w:b/>
          <w:bCs/>
          <w:spacing w:val="4"/>
        </w:rPr>
        <w:t>噪声</w:t>
      </w:r>
    </w:p>
    <w:p>
      <w:pPr>
        <w:spacing w:line="480" w:lineRule="exact"/>
        <w:ind w:firstLine="482"/>
        <w:rPr>
          <w:rFonts w:hAnsi="宋体"/>
          <w:spacing w:val="4"/>
          <w:sz w:val="24"/>
        </w:rPr>
      </w:pPr>
      <w:r>
        <w:rPr>
          <w:spacing w:val="4"/>
          <w:sz w:val="24"/>
        </w:rPr>
        <w:t>厂界噪声执行《工业企业厂界环境噪声排放标准》（GB12348-2008）中2类标准。</w:t>
      </w:r>
      <w:r>
        <w:rPr>
          <w:rFonts w:hint="eastAsia" w:hAnsi="宋体"/>
          <w:spacing w:val="4"/>
          <w:sz w:val="24"/>
        </w:rPr>
        <w:t>具体标准值见表2.4-</w:t>
      </w:r>
      <w:r>
        <w:rPr>
          <w:rFonts w:hAnsi="宋体"/>
          <w:spacing w:val="4"/>
          <w:sz w:val="24"/>
        </w:rPr>
        <w:t>12</w:t>
      </w:r>
      <w:r>
        <w:rPr>
          <w:rFonts w:hint="eastAsia" w:hAnsi="宋体"/>
          <w:spacing w:val="4"/>
          <w:sz w:val="24"/>
        </w:rPr>
        <w:t>。</w:t>
      </w:r>
    </w:p>
    <w:p>
      <w:pPr>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2.4-</w:t>
      </w:r>
      <w:r>
        <w:rPr>
          <w:rFonts w:ascii="黑体" w:hAnsi="黑体" w:eastAsia="黑体"/>
          <w:bCs/>
          <w:sz w:val="24"/>
          <w:szCs w:val="24"/>
        </w:rPr>
        <w:t>1</w:t>
      </w:r>
      <w:r>
        <w:rPr>
          <w:rFonts w:hint="eastAsia" w:ascii="黑体" w:hAnsi="黑体" w:eastAsia="黑体"/>
          <w:bCs/>
          <w:sz w:val="24"/>
          <w:szCs w:val="24"/>
        </w:rPr>
        <w:t>2</w:t>
      </w:r>
      <w:r>
        <w:rPr>
          <w:rFonts w:ascii="黑体" w:hAnsi="黑体" w:eastAsia="黑体"/>
          <w:bCs/>
          <w:sz w:val="24"/>
          <w:szCs w:val="24"/>
        </w:rPr>
        <w:t xml:space="preserve"> </w:t>
      </w:r>
      <w:r>
        <w:rPr>
          <w:rFonts w:hint="eastAsia" w:ascii="黑体" w:hAnsi="黑体" w:eastAsia="黑体"/>
          <w:bCs/>
          <w:sz w:val="24"/>
          <w:szCs w:val="24"/>
        </w:rPr>
        <w:t xml:space="preserve"> </w:t>
      </w:r>
      <w:r>
        <w:rPr>
          <w:rFonts w:ascii="黑体" w:hAnsi="黑体" w:eastAsia="黑体"/>
          <w:bCs/>
          <w:sz w:val="24"/>
          <w:szCs w:val="24"/>
        </w:rPr>
        <w:t>工业企业厂界</w:t>
      </w:r>
      <w:r>
        <w:rPr>
          <w:rFonts w:hint="eastAsia" w:ascii="黑体" w:hAnsi="黑体" w:eastAsia="黑体"/>
          <w:bCs/>
          <w:sz w:val="24"/>
          <w:szCs w:val="24"/>
        </w:rPr>
        <w:t>环境</w:t>
      </w:r>
      <w:r>
        <w:rPr>
          <w:rFonts w:ascii="黑体" w:hAnsi="黑体" w:eastAsia="黑体"/>
          <w:bCs/>
          <w:sz w:val="24"/>
          <w:szCs w:val="24"/>
        </w:rPr>
        <w:t>噪声</w:t>
      </w:r>
      <w:r>
        <w:rPr>
          <w:rFonts w:hint="eastAsia" w:ascii="黑体" w:hAnsi="黑体" w:eastAsia="黑体"/>
          <w:bCs/>
          <w:sz w:val="24"/>
          <w:szCs w:val="24"/>
        </w:rPr>
        <w:t>排放</w:t>
      </w:r>
      <w:r>
        <w:rPr>
          <w:rFonts w:ascii="黑体" w:hAnsi="黑体" w:eastAsia="黑体"/>
          <w:bCs/>
          <w:sz w:val="24"/>
          <w:szCs w:val="24"/>
        </w:rPr>
        <w:t>标准（GB12348-</w:t>
      </w:r>
      <w:r>
        <w:rPr>
          <w:rFonts w:hint="eastAsia" w:ascii="黑体" w:hAnsi="黑体" w:eastAsia="黑体"/>
          <w:bCs/>
          <w:sz w:val="24"/>
          <w:szCs w:val="24"/>
        </w:rPr>
        <w:t>2008</w:t>
      </w:r>
      <w:r>
        <w:rPr>
          <w:rFonts w:ascii="黑体" w:hAnsi="黑体" w:eastAsia="黑体"/>
          <w:bCs/>
          <w:sz w:val="24"/>
          <w:szCs w:val="24"/>
        </w:rPr>
        <w:t>）</w:t>
      </w:r>
      <w:r>
        <w:rPr>
          <w:rFonts w:hint="eastAsia" w:ascii="黑体" w:hAnsi="黑体" w:eastAsia="黑体"/>
          <w:bCs/>
          <w:sz w:val="24"/>
          <w:szCs w:val="24"/>
        </w:rPr>
        <w:t xml:space="preserve"> </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8"/>
        <w:gridCol w:w="3267"/>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3" w:type="pct"/>
            <w:tcBorders>
              <w:top w:val="single" w:color="auto" w:sz="4" w:space="0"/>
              <w:left w:val="single" w:color="auto" w:sz="4" w:space="0"/>
              <w:bottom w:val="single" w:color="auto" w:sz="4" w:space="0"/>
              <w:right w:val="single" w:color="auto" w:sz="4" w:space="0"/>
            </w:tcBorders>
            <w:vAlign w:val="center"/>
          </w:tcPr>
          <w:p>
            <w:pPr>
              <w:pStyle w:val="47"/>
            </w:pPr>
            <w:r>
              <w:t>类  别</w:t>
            </w:r>
          </w:p>
        </w:tc>
        <w:tc>
          <w:tcPr>
            <w:tcW w:w="1803" w:type="pct"/>
            <w:tcBorders>
              <w:top w:val="single" w:color="auto" w:sz="4" w:space="0"/>
              <w:left w:val="single" w:color="auto" w:sz="4" w:space="0"/>
              <w:bottom w:val="single" w:color="auto" w:sz="4" w:space="0"/>
              <w:right w:val="single" w:color="auto" w:sz="4" w:space="0"/>
            </w:tcBorders>
            <w:vAlign w:val="center"/>
          </w:tcPr>
          <w:p>
            <w:pPr>
              <w:pStyle w:val="47"/>
            </w:pPr>
            <w:r>
              <w:t>昼  间</w:t>
            </w:r>
          </w:p>
        </w:tc>
        <w:tc>
          <w:tcPr>
            <w:tcW w:w="1504" w:type="pct"/>
            <w:tcBorders>
              <w:top w:val="single" w:color="auto" w:sz="4" w:space="0"/>
              <w:left w:val="single" w:color="auto" w:sz="4" w:space="0"/>
              <w:bottom w:val="single" w:color="auto" w:sz="4" w:space="0"/>
              <w:right w:val="single" w:color="auto" w:sz="4" w:space="0"/>
            </w:tcBorders>
            <w:vAlign w:val="center"/>
          </w:tcPr>
          <w:p>
            <w:pPr>
              <w:pStyle w:val="47"/>
            </w:pPr>
            <w: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c>
          <w:tcPr>
            <w:tcW w:w="1803"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60</w:t>
            </w:r>
            <w:r>
              <w:rPr>
                <w:rFonts w:ascii="黑体" w:hAnsi="黑体" w:eastAsia="黑体"/>
                <w:szCs w:val="24"/>
              </w:rPr>
              <w:t xml:space="preserve"> </w:t>
            </w:r>
            <w:r>
              <w:t>dB（A）</w:t>
            </w:r>
          </w:p>
        </w:tc>
        <w:tc>
          <w:tcPr>
            <w:tcW w:w="1504"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 xml:space="preserve">50 </w:t>
            </w:r>
            <w:r>
              <w:t>dB（A）</w:t>
            </w:r>
          </w:p>
        </w:tc>
      </w:tr>
    </w:tbl>
    <w:p>
      <w:pPr>
        <w:pStyle w:val="57"/>
        <w:keepNext/>
        <w:keepLines/>
        <w:spacing w:before="0" w:after="0" w:line="480" w:lineRule="exact"/>
        <w:ind w:firstLine="0" w:firstLineChars="0"/>
        <w:outlineLvl w:val="3"/>
        <w:rPr>
          <w:b/>
        </w:rPr>
      </w:pPr>
      <w:r>
        <w:rPr>
          <w:rFonts w:hint="eastAsia"/>
          <w:b/>
        </w:rPr>
        <w:t>2</w:t>
      </w:r>
      <w:r>
        <w:rPr>
          <w:b/>
        </w:rPr>
        <w:t>.</w:t>
      </w:r>
      <w:r>
        <w:rPr>
          <w:rFonts w:hint="eastAsia"/>
          <w:b/>
        </w:rPr>
        <w:t>4</w:t>
      </w:r>
      <w:r>
        <w:rPr>
          <w:b/>
        </w:rPr>
        <w:t>.</w:t>
      </w:r>
      <w:r>
        <w:rPr>
          <w:rFonts w:hint="eastAsia"/>
          <w:b/>
        </w:rPr>
        <w:t>2.</w:t>
      </w:r>
      <w:r>
        <w:rPr>
          <w:b/>
        </w:rPr>
        <w:t>4</w:t>
      </w:r>
      <w:r>
        <w:rPr>
          <w:rFonts w:hint="eastAsia"/>
          <w:b/>
          <w:bCs/>
          <w:spacing w:val="4"/>
        </w:rPr>
        <w:t>固废</w:t>
      </w:r>
    </w:p>
    <w:p>
      <w:pPr>
        <w:spacing w:line="480" w:lineRule="exact"/>
        <w:ind w:firstLine="480" w:firstLineChars="200"/>
        <w:rPr>
          <w:bCs/>
          <w:sz w:val="24"/>
          <w:szCs w:val="24"/>
        </w:rPr>
      </w:pPr>
      <w:r>
        <w:rPr>
          <w:rFonts w:hint="eastAsia"/>
          <w:sz w:val="24"/>
        </w:rPr>
        <w:t>一般固体废物执行《一般工业废物储存、处置场污染控制标准》（GB18599-2001）及2013年修改单。危险废物暂存参照执行《危险废物贮存污染控制标准》（GB18597-2001）及其2013年修改单。</w:t>
      </w:r>
    </w:p>
    <w:p>
      <w:pPr>
        <w:pStyle w:val="56"/>
        <w:spacing w:before="156"/>
      </w:pPr>
      <w:bookmarkStart w:id="40" w:name="_Toc19105452"/>
      <w:r>
        <w:t>2.</w:t>
      </w:r>
      <w:r>
        <w:rPr>
          <w:rFonts w:hint="eastAsia"/>
        </w:rPr>
        <w:t>5评价等级及评价范围</w:t>
      </w:r>
      <w:bookmarkEnd w:id="40"/>
    </w:p>
    <w:p>
      <w:pPr>
        <w:pStyle w:val="57"/>
        <w:keepNext/>
        <w:keepLines/>
        <w:spacing w:before="0" w:after="0" w:line="480" w:lineRule="exact"/>
        <w:ind w:firstLine="0" w:firstLineChars="0"/>
        <w:outlineLvl w:val="2"/>
        <w:rPr>
          <w:b/>
        </w:rPr>
      </w:pPr>
      <w:r>
        <w:rPr>
          <w:rFonts w:hint="eastAsia"/>
          <w:b/>
        </w:rPr>
        <w:t>2</w:t>
      </w:r>
      <w:r>
        <w:rPr>
          <w:b/>
        </w:rPr>
        <w:t>.</w:t>
      </w:r>
      <w:r>
        <w:rPr>
          <w:rFonts w:hint="eastAsia"/>
          <w:b/>
        </w:rPr>
        <w:t>5</w:t>
      </w:r>
      <w:r>
        <w:rPr>
          <w:b/>
        </w:rPr>
        <w:t>.</w:t>
      </w:r>
      <w:r>
        <w:rPr>
          <w:rFonts w:hint="eastAsia"/>
          <w:b/>
        </w:rPr>
        <w:t>1</w:t>
      </w:r>
      <w:r>
        <w:rPr>
          <w:rFonts w:hint="eastAsia" w:ascii="宋体" w:hAnsi="宋体"/>
          <w:b/>
          <w:bCs/>
          <w:kern w:val="0"/>
        </w:rPr>
        <w:t>环境空气</w:t>
      </w:r>
    </w:p>
    <w:p>
      <w:pPr>
        <w:spacing w:line="480" w:lineRule="exact"/>
        <w:ind w:firstLine="480" w:firstLineChars="200"/>
        <w:rPr>
          <w:sz w:val="24"/>
          <w:szCs w:val="22"/>
        </w:rPr>
      </w:pPr>
      <w:r>
        <w:rPr>
          <w:sz w:val="24"/>
          <w:szCs w:val="22"/>
        </w:rPr>
        <w:t>根据《环境影响评价技术导则大气环境》（HJ2.2-20</w:t>
      </w:r>
      <w:r>
        <w:rPr>
          <w:rFonts w:hint="eastAsia"/>
          <w:sz w:val="24"/>
          <w:szCs w:val="22"/>
        </w:rPr>
        <w:t>1</w:t>
      </w:r>
      <w:r>
        <w:rPr>
          <w:sz w:val="24"/>
          <w:szCs w:val="22"/>
        </w:rPr>
        <w:t>8），</w:t>
      </w:r>
      <w:r>
        <w:rPr>
          <w:rFonts w:hint="eastAsia"/>
          <w:sz w:val="24"/>
          <w:szCs w:val="22"/>
        </w:rPr>
        <w:t>判定依据见表2.5-1。</w:t>
      </w:r>
    </w:p>
    <w:p>
      <w:pPr>
        <w:pStyle w:val="82"/>
        <w:spacing w:line="480" w:lineRule="exact"/>
        <w:rPr>
          <w:rFonts w:ascii="黑体" w:hAnsi="黑体" w:eastAsia="黑体"/>
          <w:b w:val="0"/>
          <w:color w:val="000000"/>
          <w:sz w:val="24"/>
        </w:rPr>
      </w:pPr>
      <w:r>
        <w:rPr>
          <w:rFonts w:hint="eastAsia" w:ascii="黑体" w:hAnsi="黑体" w:eastAsia="黑体"/>
          <w:b w:val="0"/>
          <w:color w:val="000000"/>
          <w:sz w:val="24"/>
        </w:rPr>
        <w:t>表2.5-1  评价工作等级判定（技术导则）</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61"/>
        <w:gridCol w:w="71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7" w:type="pct"/>
            <w:vAlign w:val="center"/>
          </w:tcPr>
          <w:p>
            <w:pPr>
              <w:pStyle w:val="80"/>
              <w:spacing w:line="240" w:lineRule="auto"/>
              <w:rPr>
                <w:color w:val="000000"/>
              </w:rPr>
            </w:pPr>
            <w:r>
              <w:rPr>
                <w:rFonts w:hint="eastAsia"/>
                <w:color w:val="000000"/>
              </w:rPr>
              <w:t>环境因素</w:t>
            </w:r>
          </w:p>
        </w:tc>
        <w:tc>
          <w:tcPr>
            <w:tcW w:w="3973" w:type="pct"/>
            <w:vAlign w:val="center"/>
          </w:tcPr>
          <w:p>
            <w:pPr>
              <w:pStyle w:val="80"/>
              <w:spacing w:line="240" w:lineRule="auto"/>
              <w:rPr>
                <w:color w:val="000000"/>
              </w:rPr>
            </w:pPr>
            <w:r>
              <w:rPr>
                <w:rFonts w:hint="eastAsia"/>
                <w:color w:val="000000"/>
              </w:rPr>
              <w:t>评价分级判据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7" w:type="pct"/>
            <w:vAlign w:val="center"/>
          </w:tcPr>
          <w:p>
            <w:pPr>
              <w:pStyle w:val="80"/>
              <w:spacing w:line="240" w:lineRule="auto"/>
              <w:rPr>
                <w:color w:val="000000"/>
              </w:rPr>
            </w:pPr>
            <w:r>
              <w:rPr>
                <w:rFonts w:hint="eastAsia"/>
                <w:color w:val="000000"/>
              </w:rPr>
              <w:t>一级</w:t>
            </w:r>
          </w:p>
        </w:tc>
        <w:tc>
          <w:tcPr>
            <w:tcW w:w="3973" w:type="pct"/>
            <w:vAlign w:val="center"/>
          </w:tcPr>
          <w:p>
            <w:pPr>
              <w:pStyle w:val="80"/>
              <w:spacing w:line="240" w:lineRule="auto"/>
              <w:rPr>
                <w:color w:val="000000"/>
              </w:rPr>
            </w:pPr>
            <w:r>
              <w:t>Pmax≥10%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7" w:type="pct"/>
            <w:vAlign w:val="center"/>
          </w:tcPr>
          <w:p>
            <w:pPr>
              <w:pStyle w:val="80"/>
              <w:spacing w:line="240" w:lineRule="auto"/>
              <w:rPr>
                <w:color w:val="000000"/>
              </w:rPr>
            </w:pPr>
            <w:r>
              <w:rPr>
                <w:rFonts w:hint="eastAsia"/>
                <w:color w:val="000000"/>
              </w:rPr>
              <w:t>二级</w:t>
            </w:r>
          </w:p>
        </w:tc>
        <w:tc>
          <w:tcPr>
            <w:tcW w:w="3973" w:type="pct"/>
            <w:vAlign w:val="center"/>
          </w:tcPr>
          <w:p>
            <w:pPr>
              <w:pStyle w:val="80"/>
              <w:spacing w:line="240" w:lineRule="auto"/>
              <w:rPr>
                <w:color w:val="000000"/>
              </w:rPr>
            </w:pPr>
            <w:r>
              <w:t>1%≤Pmax＜10%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7" w:type="pct"/>
            <w:vAlign w:val="center"/>
          </w:tcPr>
          <w:p>
            <w:pPr>
              <w:pStyle w:val="80"/>
              <w:spacing w:line="240" w:lineRule="auto"/>
              <w:rPr>
                <w:color w:val="000000"/>
              </w:rPr>
            </w:pPr>
            <w:r>
              <w:rPr>
                <w:rFonts w:hint="eastAsia"/>
                <w:color w:val="000000"/>
              </w:rPr>
              <w:t>三级</w:t>
            </w:r>
          </w:p>
        </w:tc>
        <w:tc>
          <w:tcPr>
            <w:tcW w:w="3973" w:type="pct"/>
            <w:vAlign w:val="center"/>
          </w:tcPr>
          <w:p>
            <w:pPr>
              <w:pStyle w:val="80"/>
              <w:spacing w:line="240" w:lineRule="auto"/>
              <w:rPr>
                <w:color w:val="000000"/>
              </w:rPr>
            </w:pPr>
            <w:r>
              <w:t>Pmax＜1%</w:t>
            </w:r>
          </w:p>
        </w:tc>
      </w:tr>
    </w:tbl>
    <w:p>
      <w:pPr>
        <w:spacing w:line="480" w:lineRule="exact"/>
        <w:ind w:firstLine="482"/>
        <w:rPr>
          <w:sz w:val="24"/>
          <w:szCs w:val="22"/>
        </w:rPr>
      </w:pPr>
      <w:r>
        <w:rPr>
          <w:sz w:val="24"/>
          <w:szCs w:val="22"/>
        </w:rPr>
        <w:t>其中Pi 定义为：</w:t>
      </w:r>
    </w:p>
    <w:p>
      <w:pPr>
        <w:spacing w:line="480" w:lineRule="exact"/>
        <w:ind w:firstLine="482"/>
        <w:rPr>
          <w:sz w:val="24"/>
          <w:szCs w:val="22"/>
        </w:rPr>
      </w:pPr>
      <w:r>
        <w:rPr>
          <w:sz w:val="24"/>
          <w:szCs w:val="22"/>
        </w:rPr>
        <w:t>Pi=Ci/Coi×100%</w:t>
      </w:r>
    </w:p>
    <w:p>
      <w:pPr>
        <w:spacing w:line="480" w:lineRule="exact"/>
        <w:ind w:firstLine="482"/>
        <w:rPr>
          <w:sz w:val="24"/>
          <w:szCs w:val="22"/>
        </w:rPr>
      </w:pPr>
      <w:r>
        <w:rPr>
          <w:sz w:val="24"/>
          <w:szCs w:val="22"/>
        </w:rPr>
        <w:t>式中：</w:t>
      </w:r>
    </w:p>
    <w:p>
      <w:pPr>
        <w:spacing w:line="480" w:lineRule="exact"/>
        <w:ind w:firstLine="482"/>
        <w:rPr>
          <w:sz w:val="24"/>
          <w:szCs w:val="22"/>
        </w:rPr>
      </w:pPr>
      <w:r>
        <w:rPr>
          <w:sz w:val="24"/>
          <w:szCs w:val="22"/>
        </w:rPr>
        <w:t>Pi——第i 个污染物的最大地面</w:t>
      </w:r>
      <w:r>
        <w:rPr>
          <w:rFonts w:hint="eastAsia"/>
          <w:sz w:val="24"/>
          <w:szCs w:val="22"/>
        </w:rPr>
        <w:t>空气质量</w:t>
      </w:r>
      <w:r>
        <w:rPr>
          <w:sz w:val="24"/>
          <w:szCs w:val="22"/>
        </w:rPr>
        <w:t>浓度占标率，%；</w:t>
      </w:r>
    </w:p>
    <w:p>
      <w:pPr>
        <w:spacing w:line="480" w:lineRule="exact"/>
        <w:ind w:firstLine="482"/>
        <w:rPr>
          <w:sz w:val="24"/>
          <w:szCs w:val="22"/>
        </w:rPr>
      </w:pPr>
      <w:r>
        <w:rPr>
          <w:sz w:val="24"/>
          <w:szCs w:val="22"/>
        </w:rPr>
        <w:t>Ci——采用估算模式计算出的第i 个污染物的最大</w:t>
      </w:r>
      <w:r>
        <w:rPr>
          <w:rFonts w:hint="eastAsia"/>
          <w:sz w:val="24"/>
          <w:szCs w:val="22"/>
        </w:rPr>
        <w:t>1h</w:t>
      </w:r>
      <w:r>
        <w:rPr>
          <w:sz w:val="24"/>
          <w:szCs w:val="22"/>
        </w:rPr>
        <w:t>地面</w:t>
      </w:r>
      <w:r>
        <w:rPr>
          <w:rFonts w:hint="eastAsia"/>
          <w:sz w:val="24"/>
          <w:szCs w:val="22"/>
        </w:rPr>
        <w:t>空气质量</w:t>
      </w:r>
      <w:r>
        <w:rPr>
          <w:sz w:val="24"/>
          <w:szCs w:val="22"/>
        </w:rPr>
        <w:t>浓度，μg/m</w:t>
      </w:r>
      <w:r>
        <w:rPr>
          <w:sz w:val="24"/>
          <w:szCs w:val="22"/>
          <w:vertAlign w:val="superscript"/>
        </w:rPr>
        <w:t>3</w:t>
      </w:r>
      <w:r>
        <w:rPr>
          <w:sz w:val="24"/>
          <w:szCs w:val="22"/>
        </w:rPr>
        <w:t>；</w:t>
      </w:r>
    </w:p>
    <w:p>
      <w:pPr>
        <w:spacing w:line="480" w:lineRule="exact"/>
        <w:ind w:firstLine="482"/>
        <w:rPr>
          <w:sz w:val="24"/>
          <w:szCs w:val="22"/>
        </w:rPr>
      </w:pPr>
      <w:r>
        <w:rPr>
          <w:sz w:val="24"/>
          <w:szCs w:val="22"/>
        </w:rPr>
        <w:t>Coi——第i 个污染物的环境空气质量标准，μg/m</w:t>
      </w:r>
      <w:r>
        <w:rPr>
          <w:sz w:val="24"/>
          <w:szCs w:val="22"/>
          <w:vertAlign w:val="superscript"/>
        </w:rPr>
        <w:t>3</w:t>
      </w:r>
      <w:r>
        <w:rPr>
          <w:sz w:val="24"/>
          <w:szCs w:val="22"/>
        </w:rPr>
        <w:t>。</w:t>
      </w:r>
    </w:p>
    <w:p>
      <w:pPr>
        <w:spacing w:line="480" w:lineRule="exact"/>
        <w:ind w:firstLine="482"/>
        <w:rPr>
          <w:sz w:val="24"/>
        </w:rPr>
      </w:pPr>
      <w:bookmarkStart w:id="41" w:name="_Hlk8220146"/>
      <w:r>
        <w:rPr>
          <w:sz w:val="24"/>
          <w:szCs w:val="24"/>
        </w:rPr>
        <w:t>本次评价因子选取</w:t>
      </w:r>
      <w:r>
        <w:rPr>
          <w:rFonts w:hint="eastAsia"/>
          <w:sz w:val="24"/>
          <w:szCs w:val="24"/>
        </w:rPr>
        <w:t>鸡舍、污水处理站、临时储粪房无组织排放的NH</w:t>
      </w:r>
      <w:r>
        <w:rPr>
          <w:rFonts w:hint="eastAsia"/>
          <w:sz w:val="24"/>
          <w:szCs w:val="24"/>
          <w:vertAlign w:val="subscript"/>
        </w:rPr>
        <w:t>3</w:t>
      </w:r>
      <w:r>
        <w:rPr>
          <w:rFonts w:hint="eastAsia"/>
          <w:sz w:val="24"/>
          <w:szCs w:val="24"/>
        </w:rPr>
        <w:t>和H</w:t>
      </w:r>
      <w:r>
        <w:rPr>
          <w:rFonts w:hint="eastAsia"/>
          <w:sz w:val="24"/>
          <w:szCs w:val="24"/>
          <w:vertAlign w:val="subscript"/>
        </w:rPr>
        <w:t>2</w:t>
      </w:r>
      <w:r>
        <w:rPr>
          <w:rFonts w:hint="eastAsia"/>
          <w:sz w:val="24"/>
          <w:szCs w:val="24"/>
        </w:rPr>
        <w:t>S，发酵罐有组织排放的NH</w:t>
      </w:r>
      <w:r>
        <w:rPr>
          <w:rFonts w:hint="eastAsia"/>
          <w:sz w:val="24"/>
          <w:szCs w:val="24"/>
          <w:vertAlign w:val="subscript"/>
        </w:rPr>
        <w:t>3</w:t>
      </w:r>
      <w:r>
        <w:rPr>
          <w:rFonts w:hint="eastAsia"/>
          <w:sz w:val="24"/>
          <w:szCs w:val="24"/>
        </w:rPr>
        <w:t>和H</w:t>
      </w:r>
      <w:r>
        <w:rPr>
          <w:rFonts w:hint="eastAsia"/>
          <w:sz w:val="24"/>
          <w:szCs w:val="24"/>
          <w:vertAlign w:val="subscript"/>
        </w:rPr>
        <w:t>2</w:t>
      </w:r>
      <w:r>
        <w:rPr>
          <w:rFonts w:hint="eastAsia"/>
          <w:sz w:val="24"/>
          <w:szCs w:val="24"/>
        </w:rPr>
        <w:t>S，以及燃液化天然气排放的烟尘、二氧化氮。</w:t>
      </w:r>
      <w:r>
        <w:rPr>
          <w:color w:val="000000"/>
          <w:sz w:val="24"/>
        </w:rPr>
        <w:t>按照《环境影响评价技术导则 大气环境》（HJ2</w:t>
      </w:r>
      <w:r>
        <w:rPr>
          <w:rFonts w:hint="eastAsia"/>
          <w:color w:val="000000"/>
          <w:sz w:val="24"/>
        </w:rPr>
        <w:t>.</w:t>
      </w:r>
      <w:r>
        <w:rPr>
          <w:color w:val="000000"/>
          <w:sz w:val="24"/>
        </w:rPr>
        <w:t>2-20</w:t>
      </w:r>
      <w:r>
        <w:rPr>
          <w:rFonts w:hint="eastAsia"/>
          <w:color w:val="000000"/>
          <w:sz w:val="24"/>
        </w:rPr>
        <w:t>1</w:t>
      </w:r>
      <w:r>
        <w:rPr>
          <w:color w:val="000000"/>
          <w:sz w:val="24"/>
        </w:rPr>
        <w:t>8）规定的评价等级确定依据，进行大气环境影响评价等级确定。</w:t>
      </w:r>
      <w:r>
        <w:rPr>
          <w:rFonts w:hint="eastAsia"/>
          <w:sz w:val="24"/>
        </w:rPr>
        <w:t>计算结果见表2.5-2。</w:t>
      </w:r>
      <w:bookmarkEnd w:id="41"/>
    </w:p>
    <w:p>
      <w:pPr>
        <w:pStyle w:val="82"/>
        <w:spacing w:line="480" w:lineRule="exact"/>
        <w:rPr>
          <w:rFonts w:ascii="黑体" w:hAnsi="黑体" w:eastAsia="黑体"/>
          <w:b w:val="0"/>
          <w:color w:val="000000"/>
          <w:sz w:val="24"/>
        </w:rPr>
      </w:pPr>
      <w:r>
        <w:rPr>
          <w:rFonts w:hint="eastAsia" w:ascii="黑体" w:hAnsi="黑体" w:eastAsia="黑体"/>
          <w:b w:val="0"/>
          <w:color w:val="000000"/>
          <w:sz w:val="24"/>
        </w:rPr>
        <w:t>表2.5-2</w:t>
      </w:r>
      <w:r>
        <w:rPr>
          <w:rFonts w:ascii="黑体" w:hAnsi="黑体" w:eastAsia="黑体"/>
          <w:b w:val="0"/>
          <w:color w:val="000000"/>
          <w:sz w:val="24"/>
        </w:rPr>
        <w:t xml:space="preserve">   </w:t>
      </w:r>
      <w:r>
        <w:rPr>
          <w:rFonts w:hint="eastAsia" w:ascii="黑体" w:hAnsi="黑体" w:eastAsia="黑体"/>
          <w:b w:val="0"/>
          <w:color w:val="000000"/>
          <w:sz w:val="24"/>
        </w:rPr>
        <w:t>本项目采用估算模式计算的评价等级表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053"/>
        <w:gridCol w:w="1357"/>
        <w:gridCol w:w="1475"/>
        <w:gridCol w:w="1294"/>
        <w:gridCol w:w="1294"/>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Align w:val="center"/>
          </w:tcPr>
          <w:p>
            <w:pPr>
              <w:adjustRightInd w:val="0"/>
              <w:snapToGrid w:val="0"/>
              <w:jc w:val="center"/>
              <w:rPr>
                <w:szCs w:val="21"/>
              </w:rPr>
            </w:pPr>
            <w:r>
              <w:rPr>
                <w:szCs w:val="21"/>
              </w:rPr>
              <w:t>污染源</w:t>
            </w:r>
          </w:p>
        </w:tc>
        <w:tc>
          <w:tcPr>
            <w:tcW w:w="581" w:type="pct"/>
            <w:vAlign w:val="center"/>
          </w:tcPr>
          <w:p>
            <w:pPr>
              <w:adjustRightInd w:val="0"/>
              <w:snapToGrid w:val="0"/>
              <w:jc w:val="center"/>
              <w:rPr>
                <w:szCs w:val="21"/>
              </w:rPr>
            </w:pPr>
            <w:r>
              <w:rPr>
                <w:szCs w:val="21"/>
              </w:rPr>
              <w:t>排放形式</w:t>
            </w:r>
          </w:p>
        </w:tc>
        <w:tc>
          <w:tcPr>
            <w:tcW w:w="749" w:type="pct"/>
            <w:vAlign w:val="center"/>
          </w:tcPr>
          <w:p>
            <w:pPr>
              <w:adjustRightInd w:val="0"/>
              <w:snapToGrid w:val="0"/>
              <w:jc w:val="center"/>
              <w:rPr>
                <w:szCs w:val="21"/>
              </w:rPr>
            </w:pPr>
            <w:r>
              <w:rPr>
                <w:szCs w:val="21"/>
              </w:rPr>
              <w:t>污染因子</w:t>
            </w:r>
          </w:p>
        </w:tc>
        <w:tc>
          <w:tcPr>
            <w:tcW w:w="814" w:type="pct"/>
            <w:vAlign w:val="center"/>
          </w:tcPr>
          <w:p>
            <w:pPr>
              <w:adjustRightInd w:val="0"/>
              <w:snapToGrid w:val="0"/>
              <w:jc w:val="center"/>
              <w:rPr>
                <w:szCs w:val="21"/>
              </w:rPr>
            </w:pPr>
            <w:r>
              <w:rPr>
                <w:szCs w:val="21"/>
              </w:rPr>
              <w:t>环境标准</w:t>
            </w:r>
          </w:p>
          <w:p>
            <w:pPr>
              <w:adjustRightInd w:val="0"/>
              <w:snapToGrid w:val="0"/>
              <w:jc w:val="center"/>
              <w:rPr>
                <w:szCs w:val="21"/>
              </w:rPr>
            </w:pPr>
            <w:r>
              <w:rPr>
                <w:szCs w:val="21"/>
              </w:rPr>
              <w:t>（μg/m</w:t>
            </w:r>
            <w:r>
              <w:rPr>
                <w:szCs w:val="21"/>
                <w:vertAlign w:val="superscript"/>
              </w:rPr>
              <w:t>3</w:t>
            </w:r>
            <w:r>
              <w:rPr>
                <w:szCs w:val="21"/>
              </w:rPr>
              <w:t>）</w:t>
            </w:r>
          </w:p>
        </w:tc>
        <w:tc>
          <w:tcPr>
            <w:tcW w:w="714" w:type="pct"/>
            <w:vAlign w:val="center"/>
          </w:tcPr>
          <w:p>
            <w:pPr>
              <w:adjustRightInd w:val="0"/>
              <w:snapToGrid w:val="0"/>
              <w:jc w:val="center"/>
              <w:rPr>
                <w:szCs w:val="21"/>
              </w:rPr>
            </w:pPr>
            <w:r>
              <w:rPr>
                <w:rFonts w:hint="eastAsia"/>
                <w:szCs w:val="21"/>
              </w:rPr>
              <w:t>预测最大地面质量浓度（</w:t>
            </w:r>
            <w:r>
              <w:rPr>
                <w:szCs w:val="21"/>
              </w:rPr>
              <w:t>μg/m</w:t>
            </w:r>
            <w:r>
              <w:rPr>
                <w:szCs w:val="21"/>
                <w:vertAlign w:val="superscript"/>
              </w:rPr>
              <w:t>3</w:t>
            </w:r>
            <w:r>
              <w:rPr>
                <w:rFonts w:hint="eastAsia"/>
                <w:szCs w:val="21"/>
              </w:rPr>
              <w:t>）</w:t>
            </w:r>
          </w:p>
        </w:tc>
        <w:tc>
          <w:tcPr>
            <w:tcW w:w="714" w:type="pct"/>
            <w:vAlign w:val="center"/>
          </w:tcPr>
          <w:p>
            <w:pPr>
              <w:adjustRightInd w:val="0"/>
              <w:snapToGrid w:val="0"/>
              <w:jc w:val="center"/>
              <w:rPr>
                <w:szCs w:val="21"/>
              </w:rPr>
            </w:pPr>
            <w:r>
              <w:rPr>
                <w:szCs w:val="21"/>
              </w:rPr>
              <w:t>占标率（％）</w:t>
            </w:r>
          </w:p>
        </w:tc>
        <w:tc>
          <w:tcPr>
            <w:tcW w:w="714" w:type="pct"/>
            <w:vAlign w:val="center"/>
          </w:tcPr>
          <w:p>
            <w:pPr>
              <w:adjustRightInd w:val="0"/>
              <w:snapToGrid w:val="0"/>
              <w:jc w:val="center"/>
              <w:textAlignment w:val="center"/>
              <w:rPr>
                <w:szCs w:val="21"/>
              </w:rPr>
            </w:pPr>
            <w:r>
              <w:rPr>
                <w:i/>
                <w:szCs w:val="21"/>
              </w:rPr>
              <w:t>D</w:t>
            </w:r>
            <w:r>
              <w:rPr>
                <w:szCs w:val="21"/>
                <w:vertAlign w:val="subscript"/>
              </w:rPr>
              <w:t>10</w:t>
            </w:r>
            <w:r>
              <w:rPr>
                <w:szCs w:val="21"/>
              </w:rPr>
              <w:t>%最远</w:t>
            </w:r>
          </w:p>
          <w:p>
            <w:pPr>
              <w:adjustRightInd w:val="0"/>
              <w:snapToGrid w:val="0"/>
              <w:jc w:val="center"/>
              <w:rPr>
                <w:szCs w:val="21"/>
              </w:rPr>
            </w:pPr>
            <w:r>
              <w:rPr>
                <w:szCs w:val="21"/>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restart"/>
            <w:vAlign w:val="center"/>
          </w:tcPr>
          <w:p>
            <w:pPr>
              <w:adjustRightInd w:val="0"/>
              <w:snapToGrid w:val="0"/>
              <w:jc w:val="center"/>
              <w:rPr>
                <w:szCs w:val="21"/>
              </w:rPr>
            </w:pPr>
            <w:r>
              <w:rPr>
                <w:rFonts w:hint="eastAsia"/>
                <w:szCs w:val="21"/>
              </w:rPr>
              <w:t>燃液化天然气锅炉</w:t>
            </w:r>
          </w:p>
        </w:tc>
        <w:tc>
          <w:tcPr>
            <w:tcW w:w="581" w:type="pct"/>
            <w:vMerge w:val="restart"/>
            <w:vAlign w:val="center"/>
          </w:tcPr>
          <w:p>
            <w:pPr>
              <w:adjustRightInd w:val="0"/>
              <w:snapToGrid w:val="0"/>
              <w:jc w:val="center"/>
              <w:rPr>
                <w:szCs w:val="21"/>
              </w:rPr>
            </w:pPr>
            <w:r>
              <w:rPr>
                <w:rFonts w:hint="eastAsia"/>
                <w:szCs w:val="21"/>
              </w:rPr>
              <w:t>点源有组织</w:t>
            </w:r>
          </w:p>
        </w:tc>
        <w:tc>
          <w:tcPr>
            <w:tcW w:w="749" w:type="pct"/>
            <w:vAlign w:val="center"/>
          </w:tcPr>
          <w:p>
            <w:pPr>
              <w:pStyle w:val="128"/>
              <w:rPr>
                <w:rFonts w:ascii="Times New Roman" w:hAnsi="Times New Roman"/>
                <w:kern w:val="0"/>
                <w:szCs w:val="21"/>
              </w:rPr>
            </w:pPr>
            <w:r>
              <w:rPr>
                <w:rFonts w:ascii="Times New Roman" w:hAnsi="Times New Roman"/>
                <w:snapToGrid w:val="0"/>
                <w:kern w:val="0"/>
                <w:szCs w:val="21"/>
                <w:lang w:val="en-US"/>
              </w:rPr>
              <w:t>NO</w:t>
            </w:r>
            <w:r>
              <w:rPr>
                <w:rFonts w:ascii="Times New Roman" w:hAnsi="Times New Roman"/>
                <w:snapToGrid w:val="0"/>
                <w:kern w:val="0"/>
                <w:szCs w:val="21"/>
                <w:vertAlign w:val="subscript"/>
                <w:lang w:val="en-US"/>
              </w:rPr>
              <w:t>2</w:t>
            </w:r>
          </w:p>
        </w:tc>
        <w:tc>
          <w:tcPr>
            <w:tcW w:w="814" w:type="pct"/>
            <w:vAlign w:val="center"/>
          </w:tcPr>
          <w:p>
            <w:pPr>
              <w:adjustRightInd w:val="0"/>
              <w:snapToGrid w:val="0"/>
              <w:jc w:val="center"/>
              <w:rPr>
                <w:szCs w:val="21"/>
              </w:rPr>
            </w:pPr>
            <w:r>
              <w:rPr>
                <w:szCs w:val="21"/>
              </w:rPr>
              <w:t>200</w:t>
            </w:r>
          </w:p>
        </w:tc>
        <w:tc>
          <w:tcPr>
            <w:tcW w:w="714" w:type="pct"/>
            <w:vAlign w:val="center"/>
          </w:tcPr>
          <w:p>
            <w:pPr>
              <w:adjustRightInd w:val="0"/>
              <w:snapToGrid w:val="0"/>
              <w:jc w:val="center"/>
              <w:rPr>
                <w:szCs w:val="21"/>
              </w:rPr>
            </w:pPr>
            <w:r>
              <w:rPr>
                <w:szCs w:val="21"/>
              </w:rPr>
              <w:t>16.6</w:t>
            </w:r>
          </w:p>
        </w:tc>
        <w:tc>
          <w:tcPr>
            <w:tcW w:w="714" w:type="pct"/>
            <w:vAlign w:val="center"/>
          </w:tcPr>
          <w:p>
            <w:pPr>
              <w:adjustRightInd w:val="0"/>
              <w:snapToGrid w:val="0"/>
              <w:jc w:val="center"/>
              <w:rPr>
                <w:szCs w:val="21"/>
              </w:rPr>
            </w:pPr>
            <w:r>
              <w:rPr>
                <w:rFonts w:hint="eastAsia"/>
                <w:szCs w:val="21"/>
              </w:rPr>
              <w:t>8</w:t>
            </w:r>
            <w:r>
              <w:rPr>
                <w:szCs w:val="21"/>
              </w:rPr>
              <w:t>.29</w:t>
            </w:r>
          </w:p>
        </w:tc>
        <w:tc>
          <w:tcPr>
            <w:tcW w:w="714" w:type="pct"/>
            <w:vAlign w:val="center"/>
          </w:tcPr>
          <w:p>
            <w:pPr>
              <w:adjustRightInd w:val="0"/>
              <w:snapToGrid w:val="0"/>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continue"/>
            <w:vAlign w:val="center"/>
          </w:tcPr>
          <w:p>
            <w:pPr>
              <w:adjustRightInd w:val="0"/>
              <w:snapToGrid w:val="0"/>
              <w:jc w:val="center"/>
              <w:rPr>
                <w:szCs w:val="21"/>
              </w:rPr>
            </w:pPr>
          </w:p>
        </w:tc>
        <w:tc>
          <w:tcPr>
            <w:tcW w:w="581" w:type="pct"/>
            <w:vMerge w:val="continue"/>
            <w:vAlign w:val="center"/>
          </w:tcPr>
          <w:p>
            <w:pPr>
              <w:adjustRightInd w:val="0"/>
              <w:snapToGrid w:val="0"/>
              <w:jc w:val="center"/>
              <w:rPr>
                <w:szCs w:val="21"/>
              </w:rPr>
            </w:pPr>
          </w:p>
        </w:tc>
        <w:tc>
          <w:tcPr>
            <w:tcW w:w="749" w:type="pct"/>
            <w:vAlign w:val="center"/>
          </w:tcPr>
          <w:p>
            <w:pPr>
              <w:pStyle w:val="128"/>
              <w:rPr>
                <w:rFonts w:ascii="Times New Roman" w:hAnsi="Times New Roman"/>
                <w:kern w:val="0"/>
                <w:szCs w:val="21"/>
              </w:rPr>
            </w:pPr>
            <w:r>
              <w:rPr>
                <w:rFonts w:ascii="Times New Roman" w:hAnsi="Times New Roman"/>
                <w:snapToGrid w:val="0"/>
                <w:kern w:val="0"/>
                <w:szCs w:val="24"/>
                <w:lang w:val="en-US"/>
              </w:rPr>
              <w:t>PM</w:t>
            </w:r>
            <w:r>
              <w:rPr>
                <w:rFonts w:ascii="Times New Roman" w:hAnsi="Times New Roman"/>
                <w:snapToGrid w:val="0"/>
                <w:kern w:val="0"/>
                <w:szCs w:val="24"/>
                <w:vertAlign w:val="subscript"/>
                <w:lang w:val="en-US"/>
              </w:rPr>
              <w:t>10</w:t>
            </w:r>
          </w:p>
        </w:tc>
        <w:tc>
          <w:tcPr>
            <w:tcW w:w="814" w:type="pct"/>
            <w:vAlign w:val="center"/>
          </w:tcPr>
          <w:p>
            <w:pPr>
              <w:adjustRightInd w:val="0"/>
              <w:snapToGrid w:val="0"/>
              <w:jc w:val="center"/>
              <w:rPr>
                <w:szCs w:val="21"/>
              </w:rPr>
            </w:pPr>
            <w:r>
              <w:rPr>
                <w:szCs w:val="21"/>
              </w:rPr>
              <w:t>450</w:t>
            </w:r>
          </w:p>
        </w:tc>
        <w:tc>
          <w:tcPr>
            <w:tcW w:w="714" w:type="pct"/>
            <w:vAlign w:val="center"/>
          </w:tcPr>
          <w:p>
            <w:pPr>
              <w:adjustRightInd w:val="0"/>
              <w:snapToGrid w:val="0"/>
              <w:jc w:val="center"/>
              <w:rPr>
                <w:szCs w:val="21"/>
              </w:rPr>
            </w:pPr>
            <w:r>
              <w:rPr>
                <w:szCs w:val="21"/>
              </w:rPr>
              <w:t>1.84</w:t>
            </w:r>
          </w:p>
        </w:tc>
        <w:tc>
          <w:tcPr>
            <w:tcW w:w="714" w:type="pct"/>
            <w:vAlign w:val="center"/>
          </w:tcPr>
          <w:p>
            <w:pPr>
              <w:adjustRightInd w:val="0"/>
              <w:snapToGrid w:val="0"/>
              <w:jc w:val="center"/>
              <w:rPr>
                <w:szCs w:val="21"/>
              </w:rPr>
            </w:pPr>
            <w:r>
              <w:rPr>
                <w:rFonts w:hint="eastAsia"/>
                <w:szCs w:val="21"/>
              </w:rPr>
              <w:t>0</w:t>
            </w:r>
            <w:r>
              <w:rPr>
                <w:szCs w:val="21"/>
              </w:rPr>
              <w:t>.41</w:t>
            </w:r>
          </w:p>
        </w:tc>
        <w:tc>
          <w:tcPr>
            <w:tcW w:w="714" w:type="pct"/>
            <w:vAlign w:val="center"/>
          </w:tcPr>
          <w:p>
            <w:pPr>
              <w:adjustRightInd w:val="0"/>
              <w:snapToGrid w:val="0"/>
              <w:jc w:val="center"/>
              <w:textAlignment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restart"/>
            <w:vAlign w:val="center"/>
          </w:tcPr>
          <w:p>
            <w:pPr>
              <w:adjustRightInd w:val="0"/>
              <w:snapToGrid w:val="0"/>
              <w:jc w:val="center"/>
              <w:rPr>
                <w:szCs w:val="21"/>
              </w:rPr>
            </w:pPr>
            <w:r>
              <w:rPr>
                <w:rFonts w:hint="eastAsia"/>
                <w:szCs w:val="21"/>
              </w:rPr>
              <w:t>发酵罐</w:t>
            </w:r>
          </w:p>
        </w:tc>
        <w:tc>
          <w:tcPr>
            <w:tcW w:w="581" w:type="pct"/>
            <w:vMerge w:val="continue"/>
            <w:vAlign w:val="center"/>
          </w:tcPr>
          <w:p>
            <w:pPr>
              <w:adjustRightInd w:val="0"/>
              <w:snapToGrid w:val="0"/>
              <w:jc w:val="center"/>
              <w:rPr>
                <w:szCs w:val="21"/>
              </w:rPr>
            </w:pPr>
          </w:p>
        </w:tc>
        <w:tc>
          <w:tcPr>
            <w:tcW w:w="749" w:type="pct"/>
            <w:vAlign w:val="center"/>
          </w:tcPr>
          <w:p>
            <w:pPr>
              <w:jc w:val="center"/>
              <w:rPr>
                <w:szCs w:val="21"/>
              </w:rPr>
            </w:pPr>
            <w:r>
              <w:rPr>
                <w:snapToGrid w:val="0"/>
                <w:szCs w:val="21"/>
              </w:rPr>
              <w:t>NH</w:t>
            </w:r>
            <w:r>
              <w:rPr>
                <w:snapToGrid w:val="0"/>
                <w:szCs w:val="21"/>
                <w:vertAlign w:val="subscript"/>
              </w:rPr>
              <w:t>3</w:t>
            </w:r>
          </w:p>
        </w:tc>
        <w:tc>
          <w:tcPr>
            <w:tcW w:w="814" w:type="pct"/>
            <w:vAlign w:val="center"/>
          </w:tcPr>
          <w:p>
            <w:pPr>
              <w:pStyle w:val="128"/>
              <w:rPr>
                <w:rFonts w:ascii="Times New Roman" w:hAnsi="Times New Roman"/>
                <w:kern w:val="0"/>
                <w:szCs w:val="21"/>
                <w:lang w:val="en-US"/>
              </w:rPr>
            </w:pPr>
            <w:r>
              <w:rPr>
                <w:rFonts w:ascii="Times New Roman" w:hAnsi="Times New Roman"/>
                <w:snapToGrid w:val="0"/>
                <w:kern w:val="0"/>
                <w:szCs w:val="21"/>
              </w:rPr>
              <w:t>200</w:t>
            </w:r>
          </w:p>
        </w:tc>
        <w:tc>
          <w:tcPr>
            <w:tcW w:w="714" w:type="pct"/>
            <w:vAlign w:val="center"/>
          </w:tcPr>
          <w:p>
            <w:pPr>
              <w:adjustRightInd w:val="0"/>
              <w:snapToGrid w:val="0"/>
              <w:jc w:val="center"/>
              <w:rPr>
                <w:rFonts w:hint="eastAsia"/>
                <w:szCs w:val="21"/>
              </w:rPr>
            </w:pPr>
            <w:r>
              <w:rPr>
                <w:rFonts w:hint="eastAsia"/>
                <w:szCs w:val="21"/>
              </w:rPr>
              <w:t>8</w:t>
            </w:r>
            <w:r>
              <w:rPr>
                <w:szCs w:val="21"/>
              </w:rPr>
              <w:t>.54</w:t>
            </w:r>
          </w:p>
        </w:tc>
        <w:tc>
          <w:tcPr>
            <w:tcW w:w="714" w:type="pct"/>
            <w:vAlign w:val="center"/>
          </w:tcPr>
          <w:p>
            <w:pPr>
              <w:adjustRightInd w:val="0"/>
              <w:snapToGrid w:val="0"/>
              <w:jc w:val="center"/>
              <w:rPr>
                <w:rFonts w:hint="eastAsia"/>
                <w:szCs w:val="21"/>
              </w:rPr>
            </w:pPr>
            <w:r>
              <w:rPr>
                <w:rFonts w:hint="eastAsia"/>
                <w:szCs w:val="21"/>
              </w:rPr>
              <w:t>4</w:t>
            </w:r>
            <w:r>
              <w:rPr>
                <w:szCs w:val="21"/>
              </w:rPr>
              <w:t>.27</w:t>
            </w:r>
          </w:p>
        </w:tc>
        <w:tc>
          <w:tcPr>
            <w:tcW w:w="714" w:type="pct"/>
            <w:vAlign w:val="center"/>
          </w:tcPr>
          <w:p>
            <w:pPr>
              <w:adjustRightInd w:val="0"/>
              <w:snapToGrid w:val="0"/>
              <w:jc w:val="center"/>
              <w:textAlignment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continue"/>
            <w:vAlign w:val="center"/>
          </w:tcPr>
          <w:p>
            <w:pPr>
              <w:adjustRightInd w:val="0"/>
              <w:snapToGrid w:val="0"/>
              <w:jc w:val="center"/>
              <w:rPr>
                <w:szCs w:val="21"/>
              </w:rPr>
            </w:pPr>
          </w:p>
        </w:tc>
        <w:tc>
          <w:tcPr>
            <w:tcW w:w="581" w:type="pct"/>
            <w:vMerge w:val="continue"/>
            <w:vAlign w:val="center"/>
          </w:tcPr>
          <w:p>
            <w:pPr>
              <w:adjustRightInd w:val="0"/>
              <w:snapToGrid w:val="0"/>
              <w:jc w:val="center"/>
              <w:rPr>
                <w:szCs w:val="21"/>
              </w:rPr>
            </w:pPr>
          </w:p>
        </w:tc>
        <w:tc>
          <w:tcPr>
            <w:tcW w:w="749" w:type="pct"/>
            <w:vAlign w:val="center"/>
          </w:tcPr>
          <w:p>
            <w:pPr>
              <w:adjustRightInd w:val="0"/>
              <w:snapToGrid w:val="0"/>
              <w:jc w:val="center"/>
              <w:rPr>
                <w:szCs w:val="21"/>
              </w:rPr>
            </w:pPr>
            <w:r>
              <w:rPr>
                <w:rFonts w:eastAsia="仿宋_GB2312"/>
                <w:snapToGrid w:val="0"/>
                <w:szCs w:val="21"/>
              </w:rPr>
              <w:t>H</w:t>
            </w:r>
            <w:r>
              <w:rPr>
                <w:rFonts w:eastAsia="仿宋_GB2312"/>
                <w:snapToGrid w:val="0"/>
                <w:szCs w:val="21"/>
                <w:vertAlign w:val="subscript"/>
              </w:rPr>
              <w:t>2</w:t>
            </w:r>
            <w:r>
              <w:rPr>
                <w:rFonts w:eastAsia="仿宋_GB2312"/>
                <w:snapToGrid w:val="0"/>
                <w:szCs w:val="21"/>
              </w:rPr>
              <w:t>S</w:t>
            </w:r>
          </w:p>
        </w:tc>
        <w:tc>
          <w:tcPr>
            <w:tcW w:w="814" w:type="pct"/>
            <w:vAlign w:val="center"/>
          </w:tcPr>
          <w:p>
            <w:pPr>
              <w:pStyle w:val="128"/>
              <w:rPr>
                <w:rFonts w:ascii="Times New Roman" w:hAnsi="Times New Roman"/>
                <w:kern w:val="0"/>
                <w:szCs w:val="21"/>
                <w:lang w:val="en-US"/>
              </w:rPr>
            </w:pPr>
            <w:r>
              <w:rPr>
                <w:rFonts w:ascii="Times New Roman" w:hAnsi="Times New Roman"/>
                <w:snapToGrid w:val="0"/>
                <w:kern w:val="0"/>
                <w:szCs w:val="21"/>
              </w:rPr>
              <w:t>10</w:t>
            </w:r>
          </w:p>
        </w:tc>
        <w:tc>
          <w:tcPr>
            <w:tcW w:w="714" w:type="pct"/>
            <w:vAlign w:val="center"/>
          </w:tcPr>
          <w:p>
            <w:pPr>
              <w:adjustRightInd w:val="0"/>
              <w:snapToGrid w:val="0"/>
              <w:jc w:val="center"/>
              <w:rPr>
                <w:rFonts w:hint="eastAsia"/>
                <w:szCs w:val="21"/>
              </w:rPr>
            </w:pPr>
            <w:r>
              <w:rPr>
                <w:rFonts w:hint="eastAsia"/>
                <w:szCs w:val="21"/>
              </w:rPr>
              <w:t>0</w:t>
            </w:r>
            <w:r>
              <w:rPr>
                <w:szCs w:val="21"/>
              </w:rPr>
              <w:t>.85</w:t>
            </w:r>
          </w:p>
        </w:tc>
        <w:tc>
          <w:tcPr>
            <w:tcW w:w="714" w:type="pct"/>
            <w:vAlign w:val="center"/>
          </w:tcPr>
          <w:p>
            <w:pPr>
              <w:adjustRightInd w:val="0"/>
              <w:snapToGrid w:val="0"/>
              <w:jc w:val="center"/>
              <w:rPr>
                <w:rFonts w:hint="eastAsia"/>
                <w:szCs w:val="21"/>
              </w:rPr>
            </w:pPr>
            <w:r>
              <w:rPr>
                <w:rFonts w:hint="eastAsia"/>
                <w:szCs w:val="21"/>
              </w:rPr>
              <w:t>8</w:t>
            </w:r>
            <w:r>
              <w:rPr>
                <w:szCs w:val="21"/>
              </w:rPr>
              <w:t>.54</w:t>
            </w:r>
          </w:p>
        </w:tc>
        <w:tc>
          <w:tcPr>
            <w:tcW w:w="714" w:type="pct"/>
            <w:vAlign w:val="center"/>
          </w:tcPr>
          <w:p>
            <w:pPr>
              <w:adjustRightInd w:val="0"/>
              <w:snapToGrid w:val="0"/>
              <w:jc w:val="center"/>
              <w:textAlignment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restart"/>
            <w:vAlign w:val="center"/>
          </w:tcPr>
          <w:p>
            <w:pPr>
              <w:adjustRightInd w:val="0"/>
              <w:snapToGrid w:val="0"/>
              <w:jc w:val="center"/>
              <w:rPr>
                <w:szCs w:val="21"/>
              </w:rPr>
            </w:pPr>
            <w:r>
              <w:rPr>
                <w:szCs w:val="21"/>
              </w:rPr>
              <w:t>鸡舍</w:t>
            </w:r>
          </w:p>
        </w:tc>
        <w:tc>
          <w:tcPr>
            <w:tcW w:w="581" w:type="pct"/>
            <w:vMerge w:val="restart"/>
            <w:vAlign w:val="center"/>
          </w:tcPr>
          <w:p>
            <w:pPr>
              <w:adjustRightInd w:val="0"/>
              <w:snapToGrid w:val="0"/>
              <w:jc w:val="center"/>
              <w:rPr>
                <w:szCs w:val="21"/>
              </w:rPr>
            </w:pPr>
            <w:r>
              <w:rPr>
                <w:szCs w:val="21"/>
              </w:rPr>
              <w:t>面源</w:t>
            </w:r>
            <w:r>
              <w:rPr>
                <w:rFonts w:hint="eastAsia"/>
                <w:szCs w:val="21"/>
              </w:rPr>
              <w:t>无组织</w:t>
            </w:r>
          </w:p>
        </w:tc>
        <w:tc>
          <w:tcPr>
            <w:tcW w:w="749" w:type="pct"/>
            <w:vAlign w:val="center"/>
          </w:tcPr>
          <w:p>
            <w:pPr>
              <w:jc w:val="center"/>
              <w:rPr>
                <w:szCs w:val="21"/>
              </w:rPr>
            </w:pPr>
            <w:r>
              <w:rPr>
                <w:snapToGrid w:val="0"/>
                <w:szCs w:val="21"/>
              </w:rPr>
              <w:t>NH</w:t>
            </w:r>
            <w:r>
              <w:rPr>
                <w:snapToGrid w:val="0"/>
                <w:szCs w:val="21"/>
                <w:vertAlign w:val="subscript"/>
              </w:rPr>
              <w:t>3</w:t>
            </w:r>
          </w:p>
        </w:tc>
        <w:tc>
          <w:tcPr>
            <w:tcW w:w="814" w:type="pct"/>
            <w:vAlign w:val="center"/>
          </w:tcPr>
          <w:p>
            <w:pPr>
              <w:pStyle w:val="128"/>
              <w:rPr>
                <w:rFonts w:ascii="Times New Roman" w:hAnsi="Times New Roman"/>
                <w:kern w:val="0"/>
                <w:szCs w:val="21"/>
                <w:lang w:val="en-US"/>
              </w:rPr>
            </w:pPr>
            <w:r>
              <w:rPr>
                <w:rFonts w:ascii="Times New Roman" w:hAnsi="Times New Roman"/>
                <w:snapToGrid w:val="0"/>
                <w:kern w:val="0"/>
                <w:szCs w:val="21"/>
              </w:rPr>
              <w:t>200</w:t>
            </w:r>
          </w:p>
        </w:tc>
        <w:tc>
          <w:tcPr>
            <w:tcW w:w="714" w:type="pct"/>
            <w:vAlign w:val="center"/>
          </w:tcPr>
          <w:p>
            <w:pPr>
              <w:adjustRightInd w:val="0"/>
              <w:snapToGrid w:val="0"/>
              <w:jc w:val="center"/>
              <w:rPr>
                <w:szCs w:val="21"/>
              </w:rPr>
            </w:pPr>
            <w:r>
              <w:rPr>
                <w:rFonts w:hint="eastAsia"/>
                <w:szCs w:val="21"/>
              </w:rPr>
              <w:t>5</w:t>
            </w:r>
            <w:r>
              <w:rPr>
                <w:szCs w:val="21"/>
              </w:rPr>
              <w:t>.21</w:t>
            </w:r>
          </w:p>
        </w:tc>
        <w:tc>
          <w:tcPr>
            <w:tcW w:w="714" w:type="pct"/>
            <w:vAlign w:val="center"/>
          </w:tcPr>
          <w:p>
            <w:pPr>
              <w:adjustRightInd w:val="0"/>
              <w:snapToGrid w:val="0"/>
              <w:jc w:val="center"/>
              <w:rPr>
                <w:szCs w:val="21"/>
              </w:rPr>
            </w:pPr>
            <w:r>
              <w:rPr>
                <w:rFonts w:hint="eastAsia"/>
                <w:szCs w:val="21"/>
              </w:rPr>
              <w:t>2</w:t>
            </w:r>
            <w:r>
              <w:rPr>
                <w:szCs w:val="21"/>
              </w:rPr>
              <w:t>.61</w:t>
            </w:r>
          </w:p>
        </w:tc>
        <w:tc>
          <w:tcPr>
            <w:tcW w:w="714" w:type="pct"/>
            <w:vAlign w:val="center"/>
          </w:tcPr>
          <w:p>
            <w:pPr>
              <w:adjustRightInd w:val="0"/>
              <w:snapToGrid w:val="0"/>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continue"/>
            <w:vAlign w:val="center"/>
          </w:tcPr>
          <w:p>
            <w:pPr>
              <w:adjustRightInd w:val="0"/>
              <w:snapToGrid w:val="0"/>
              <w:jc w:val="center"/>
              <w:rPr>
                <w:szCs w:val="21"/>
              </w:rPr>
            </w:pPr>
          </w:p>
        </w:tc>
        <w:tc>
          <w:tcPr>
            <w:tcW w:w="581" w:type="pct"/>
            <w:vMerge w:val="continue"/>
            <w:vAlign w:val="center"/>
          </w:tcPr>
          <w:p>
            <w:pPr>
              <w:adjustRightInd w:val="0"/>
              <w:snapToGrid w:val="0"/>
              <w:jc w:val="center"/>
              <w:rPr>
                <w:szCs w:val="21"/>
              </w:rPr>
            </w:pPr>
          </w:p>
        </w:tc>
        <w:tc>
          <w:tcPr>
            <w:tcW w:w="749" w:type="pct"/>
            <w:vAlign w:val="center"/>
          </w:tcPr>
          <w:p>
            <w:pPr>
              <w:adjustRightInd w:val="0"/>
              <w:snapToGrid w:val="0"/>
              <w:jc w:val="center"/>
              <w:rPr>
                <w:szCs w:val="21"/>
              </w:rPr>
            </w:pPr>
            <w:r>
              <w:rPr>
                <w:rFonts w:eastAsia="仿宋_GB2312"/>
                <w:snapToGrid w:val="0"/>
                <w:szCs w:val="21"/>
              </w:rPr>
              <w:t>H</w:t>
            </w:r>
            <w:r>
              <w:rPr>
                <w:rFonts w:eastAsia="仿宋_GB2312"/>
                <w:snapToGrid w:val="0"/>
                <w:szCs w:val="21"/>
                <w:vertAlign w:val="subscript"/>
              </w:rPr>
              <w:t>2</w:t>
            </w:r>
            <w:r>
              <w:rPr>
                <w:rFonts w:eastAsia="仿宋_GB2312"/>
                <w:snapToGrid w:val="0"/>
                <w:szCs w:val="21"/>
              </w:rPr>
              <w:t>S</w:t>
            </w:r>
          </w:p>
        </w:tc>
        <w:tc>
          <w:tcPr>
            <w:tcW w:w="814" w:type="pct"/>
            <w:vAlign w:val="center"/>
          </w:tcPr>
          <w:p>
            <w:pPr>
              <w:pStyle w:val="128"/>
              <w:rPr>
                <w:rFonts w:ascii="Times New Roman" w:hAnsi="Times New Roman"/>
                <w:kern w:val="0"/>
                <w:szCs w:val="21"/>
                <w:lang w:val="en-US"/>
              </w:rPr>
            </w:pPr>
            <w:r>
              <w:rPr>
                <w:rFonts w:ascii="Times New Roman" w:hAnsi="Times New Roman"/>
                <w:snapToGrid w:val="0"/>
                <w:kern w:val="0"/>
                <w:szCs w:val="21"/>
              </w:rPr>
              <w:t>10</w:t>
            </w:r>
          </w:p>
        </w:tc>
        <w:tc>
          <w:tcPr>
            <w:tcW w:w="714" w:type="pct"/>
            <w:vAlign w:val="center"/>
          </w:tcPr>
          <w:p>
            <w:pPr>
              <w:adjustRightInd w:val="0"/>
              <w:snapToGrid w:val="0"/>
              <w:jc w:val="center"/>
              <w:rPr>
                <w:szCs w:val="21"/>
              </w:rPr>
            </w:pPr>
            <w:r>
              <w:rPr>
                <w:rFonts w:hint="eastAsia"/>
                <w:szCs w:val="21"/>
              </w:rPr>
              <w:t>0</w:t>
            </w:r>
            <w:r>
              <w:rPr>
                <w:szCs w:val="21"/>
              </w:rPr>
              <w:t>.53</w:t>
            </w:r>
          </w:p>
        </w:tc>
        <w:tc>
          <w:tcPr>
            <w:tcW w:w="714" w:type="pct"/>
            <w:vAlign w:val="center"/>
          </w:tcPr>
          <w:p>
            <w:pPr>
              <w:adjustRightInd w:val="0"/>
              <w:snapToGrid w:val="0"/>
              <w:jc w:val="center"/>
              <w:rPr>
                <w:szCs w:val="21"/>
              </w:rPr>
            </w:pPr>
            <w:r>
              <w:rPr>
                <w:rFonts w:hint="eastAsia"/>
                <w:szCs w:val="21"/>
              </w:rPr>
              <w:t>5</w:t>
            </w:r>
            <w:r>
              <w:rPr>
                <w:szCs w:val="21"/>
              </w:rPr>
              <w:t>.31</w:t>
            </w:r>
          </w:p>
        </w:tc>
        <w:tc>
          <w:tcPr>
            <w:tcW w:w="714" w:type="pct"/>
            <w:vAlign w:val="center"/>
          </w:tcPr>
          <w:p>
            <w:pPr>
              <w:adjustRightInd w:val="0"/>
              <w:snapToGrid w:val="0"/>
              <w:jc w:val="center"/>
              <w:textAlignment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restart"/>
            <w:vAlign w:val="center"/>
          </w:tcPr>
          <w:p>
            <w:pPr>
              <w:adjustRightInd w:val="0"/>
              <w:snapToGrid w:val="0"/>
              <w:jc w:val="center"/>
              <w:rPr>
                <w:szCs w:val="21"/>
              </w:rPr>
            </w:pPr>
            <w:r>
              <w:rPr>
                <w:rFonts w:hint="eastAsia"/>
                <w:szCs w:val="21"/>
              </w:rPr>
              <w:t>临时储粪房</w:t>
            </w:r>
          </w:p>
        </w:tc>
        <w:tc>
          <w:tcPr>
            <w:tcW w:w="581" w:type="pct"/>
            <w:vMerge w:val="continue"/>
            <w:vAlign w:val="center"/>
          </w:tcPr>
          <w:p>
            <w:pPr>
              <w:adjustRightInd w:val="0"/>
              <w:snapToGrid w:val="0"/>
              <w:jc w:val="center"/>
              <w:rPr>
                <w:szCs w:val="21"/>
              </w:rPr>
            </w:pPr>
          </w:p>
        </w:tc>
        <w:tc>
          <w:tcPr>
            <w:tcW w:w="749" w:type="pct"/>
            <w:vAlign w:val="center"/>
          </w:tcPr>
          <w:p>
            <w:pPr>
              <w:jc w:val="center"/>
              <w:rPr>
                <w:szCs w:val="21"/>
              </w:rPr>
            </w:pPr>
            <w:r>
              <w:rPr>
                <w:snapToGrid w:val="0"/>
                <w:szCs w:val="21"/>
              </w:rPr>
              <w:t>NH</w:t>
            </w:r>
            <w:r>
              <w:rPr>
                <w:snapToGrid w:val="0"/>
                <w:szCs w:val="21"/>
                <w:vertAlign w:val="subscript"/>
              </w:rPr>
              <w:t>3</w:t>
            </w:r>
          </w:p>
        </w:tc>
        <w:tc>
          <w:tcPr>
            <w:tcW w:w="814" w:type="pct"/>
            <w:vAlign w:val="center"/>
          </w:tcPr>
          <w:p>
            <w:pPr>
              <w:pStyle w:val="128"/>
              <w:rPr>
                <w:rFonts w:ascii="Times New Roman" w:hAnsi="Times New Roman"/>
                <w:kern w:val="0"/>
                <w:szCs w:val="21"/>
                <w:lang w:val="en-US"/>
              </w:rPr>
            </w:pPr>
            <w:r>
              <w:rPr>
                <w:rFonts w:ascii="Times New Roman" w:hAnsi="Times New Roman"/>
                <w:snapToGrid w:val="0"/>
                <w:kern w:val="0"/>
                <w:szCs w:val="21"/>
              </w:rPr>
              <w:t>200</w:t>
            </w:r>
          </w:p>
        </w:tc>
        <w:tc>
          <w:tcPr>
            <w:tcW w:w="714" w:type="pct"/>
            <w:vAlign w:val="center"/>
          </w:tcPr>
          <w:p>
            <w:pPr>
              <w:adjustRightInd w:val="0"/>
              <w:snapToGrid w:val="0"/>
              <w:jc w:val="center"/>
              <w:rPr>
                <w:rFonts w:hint="eastAsia"/>
                <w:szCs w:val="21"/>
              </w:rPr>
            </w:pPr>
            <w:r>
              <w:rPr>
                <w:rFonts w:hint="eastAsia"/>
                <w:szCs w:val="21"/>
              </w:rPr>
              <w:t>7</w:t>
            </w:r>
            <w:r>
              <w:rPr>
                <w:szCs w:val="21"/>
              </w:rPr>
              <w:t>.2</w:t>
            </w:r>
          </w:p>
        </w:tc>
        <w:tc>
          <w:tcPr>
            <w:tcW w:w="714" w:type="pct"/>
            <w:vAlign w:val="center"/>
          </w:tcPr>
          <w:p>
            <w:pPr>
              <w:adjustRightInd w:val="0"/>
              <w:snapToGrid w:val="0"/>
              <w:jc w:val="center"/>
              <w:rPr>
                <w:rFonts w:hint="eastAsia"/>
                <w:szCs w:val="21"/>
              </w:rPr>
            </w:pPr>
            <w:r>
              <w:rPr>
                <w:rFonts w:hint="eastAsia"/>
                <w:szCs w:val="21"/>
              </w:rPr>
              <w:t>3</w:t>
            </w:r>
            <w:r>
              <w:rPr>
                <w:szCs w:val="21"/>
              </w:rPr>
              <w:t>.60</w:t>
            </w:r>
          </w:p>
        </w:tc>
        <w:tc>
          <w:tcPr>
            <w:tcW w:w="714" w:type="pct"/>
            <w:vAlign w:val="center"/>
          </w:tcPr>
          <w:p>
            <w:pPr>
              <w:adjustRightInd w:val="0"/>
              <w:snapToGrid w:val="0"/>
              <w:jc w:val="center"/>
              <w:textAlignment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continue"/>
            <w:vAlign w:val="center"/>
          </w:tcPr>
          <w:p>
            <w:pPr>
              <w:adjustRightInd w:val="0"/>
              <w:snapToGrid w:val="0"/>
              <w:jc w:val="center"/>
              <w:rPr>
                <w:szCs w:val="21"/>
              </w:rPr>
            </w:pPr>
          </w:p>
        </w:tc>
        <w:tc>
          <w:tcPr>
            <w:tcW w:w="581" w:type="pct"/>
            <w:vMerge w:val="continue"/>
            <w:vAlign w:val="center"/>
          </w:tcPr>
          <w:p>
            <w:pPr>
              <w:adjustRightInd w:val="0"/>
              <w:snapToGrid w:val="0"/>
              <w:jc w:val="center"/>
              <w:rPr>
                <w:szCs w:val="21"/>
              </w:rPr>
            </w:pPr>
          </w:p>
        </w:tc>
        <w:tc>
          <w:tcPr>
            <w:tcW w:w="749" w:type="pct"/>
            <w:vAlign w:val="center"/>
          </w:tcPr>
          <w:p>
            <w:pPr>
              <w:adjustRightInd w:val="0"/>
              <w:snapToGrid w:val="0"/>
              <w:jc w:val="center"/>
              <w:rPr>
                <w:szCs w:val="21"/>
              </w:rPr>
            </w:pPr>
            <w:r>
              <w:rPr>
                <w:rFonts w:eastAsia="仿宋_GB2312"/>
                <w:snapToGrid w:val="0"/>
                <w:szCs w:val="21"/>
              </w:rPr>
              <w:t>H</w:t>
            </w:r>
            <w:r>
              <w:rPr>
                <w:rFonts w:eastAsia="仿宋_GB2312"/>
                <w:snapToGrid w:val="0"/>
                <w:szCs w:val="21"/>
                <w:vertAlign w:val="subscript"/>
              </w:rPr>
              <w:t>2</w:t>
            </w:r>
            <w:r>
              <w:rPr>
                <w:rFonts w:eastAsia="仿宋_GB2312"/>
                <w:snapToGrid w:val="0"/>
                <w:szCs w:val="21"/>
              </w:rPr>
              <w:t>S</w:t>
            </w:r>
          </w:p>
        </w:tc>
        <w:tc>
          <w:tcPr>
            <w:tcW w:w="814" w:type="pct"/>
            <w:vAlign w:val="center"/>
          </w:tcPr>
          <w:p>
            <w:pPr>
              <w:pStyle w:val="128"/>
              <w:rPr>
                <w:rFonts w:ascii="Times New Roman" w:hAnsi="Times New Roman"/>
                <w:kern w:val="0"/>
                <w:szCs w:val="21"/>
                <w:lang w:val="en-US"/>
              </w:rPr>
            </w:pPr>
            <w:r>
              <w:rPr>
                <w:rFonts w:ascii="Times New Roman" w:hAnsi="Times New Roman"/>
                <w:snapToGrid w:val="0"/>
                <w:kern w:val="0"/>
                <w:szCs w:val="21"/>
              </w:rPr>
              <w:t>10</w:t>
            </w:r>
          </w:p>
        </w:tc>
        <w:tc>
          <w:tcPr>
            <w:tcW w:w="714" w:type="pct"/>
            <w:vAlign w:val="center"/>
          </w:tcPr>
          <w:p>
            <w:pPr>
              <w:adjustRightInd w:val="0"/>
              <w:snapToGrid w:val="0"/>
              <w:jc w:val="center"/>
              <w:rPr>
                <w:rFonts w:hint="eastAsia"/>
                <w:szCs w:val="21"/>
              </w:rPr>
            </w:pPr>
            <w:r>
              <w:rPr>
                <w:rFonts w:hint="eastAsia"/>
                <w:szCs w:val="21"/>
              </w:rPr>
              <w:t>0</w:t>
            </w:r>
            <w:r>
              <w:rPr>
                <w:szCs w:val="21"/>
              </w:rPr>
              <w:t>.72</w:t>
            </w:r>
          </w:p>
        </w:tc>
        <w:tc>
          <w:tcPr>
            <w:tcW w:w="714" w:type="pct"/>
            <w:vAlign w:val="center"/>
          </w:tcPr>
          <w:p>
            <w:pPr>
              <w:adjustRightInd w:val="0"/>
              <w:snapToGrid w:val="0"/>
              <w:jc w:val="center"/>
              <w:rPr>
                <w:rFonts w:hint="eastAsia"/>
                <w:szCs w:val="21"/>
              </w:rPr>
            </w:pPr>
            <w:r>
              <w:rPr>
                <w:rFonts w:hint="eastAsia"/>
                <w:szCs w:val="21"/>
              </w:rPr>
              <w:t>7</w:t>
            </w:r>
            <w:r>
              <w:rPr>
                <w:szCs w:val="21"/>
              </w:rPr>
              <w:t>.20</w:t>
            </w:r>
          </w:p>
        </w:tc>
        <w:tc>
          <w:tcPr>
            <w:tcW w:w="714" w:type="pct"/>
            <w:vAlign w:val="center"/>
          </w:tcPr>
          <w:p>
            <w:pPr>
              <w:adjustRightInd w:val="0"/>
              <w:snapToGrid w:val="0"/>
              <w:jc w:val="center"/>
              <w:textAlignment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restart"/>
            <w:vAlign w:val="center"/>
          </w:tcPr>
          <w:p>
            <w:pPr>
              <w:adjustRightInd w:val="0"/>
              <w:snapToGrid w:val="0"/>
              <w:jc w:val="center"/>
              <w:rPr>
                <w:szCs w:val="21"/>
              </w:rPr>
            </w:pPr>
            <w:r>
              <w:rPr>
                <w:szCs w:val="21"/>
              </w:rPr>
              <w:t>污水处理站</w:t>
            </w:r>
          </w:p>
        </w:tc>
        <w:tc>
          <w:tcPr>
            <w:tcW w:w="581" w:type="pct"/>
            <w:vMerge w:val="continue"/>
            <w:vAlign w:val="center"/>
          </w:tcPr>
          <w:p>
            <w:pPr>
              <w:adjustRightInd w:val="0"/>
              <w:snapToGrid w:val="0"/>
              <w:jc w:val="center"/>
              <w:rPr>
                <w:szCs w:val="21"/>
              </w:rPr>
            </w:pPr>
          </w:p>
        </w:tc>
        <w:tc>
          <w:tcPr>
            <w:tcW w:w="749" w:type="pct"/>
            <w:vAlign w:val="center"/>
          </w:tcPr>
          <w:p>
            <w:pPr>
              <w:jc w:val="center"/>
              <w:rPr>
                <w:szCs w:val="21"/>
              </w:rPr>
            </w:pPr>
            <w:r>
              <w:rPr>
                <w:szCs w:val="21"/>
              </w:rPr>
              <w:t>NH</w:t>
            </w:r>
            <w:r>
              <w:rPr>
                <w:szCs w:val="21"/>
                <w:vertAlign w:val="subscript"/>
              </w:rPr>
              <w:t>3</w:t>
            </w:r>
          </w:p>
        </w:tc>
        <w:tc>
          <w:tcPr>
            <w:tcW w:w="814" w:type="pct"/>
            <w:vAlign w:val="center"/>
          </w:tcPr>
          <w:p>
            <w:pPr>
              <w:pStyle w:val="128"/>
              <w:rPr>
                <w:rFonts w:ascii="Times New Roman" w:hAnsi="Times New Roman"/>
                <w:kern w:val="0"/>
                <w:szCs w:val="21"/>
                <w:lang w:val="en-US"/>
              </w:rPr>
            </w:pPr>
            <w:r>
              <w:rPr>
                <w:rFonts w:ascii="Times New Roman" w:hAnsi="Times New Roman"/>
                <w:snapToGrid w:val="0"/>
                <w:kern w:val="0"/>
                <w:szCs w:val="21"/>
              </w:rPr>
              <w:t>200</w:t>
            </w:r>
          </w:p>
        </w:tc>
        <w:tc>
          <w:tcPr>
            <w:tcW w:w="714" w:type="pct"/>
            <w:vAlign w:val="center"/>
          </w:tcPr>
          <w:p>
            <w:pPr>
              <w:adjustRightInd w:val="0"/>
              <w:snapToGrid w:val="0"/>
              <w:jc w:val="center"/>
              <w:rPr>
                <w:szCs w:val="21"/>
              </w:rPr>
            </w:pPr>
            <w:r>
              <w:rPr>
                <w:rFonts w:hint="eastAsia"/>
                <w:szCs w:val="21"/>
              </w:rPr>
              <w:t>0</w:t>
            </w:r>
            <w:r>
              <w:rPr>
                <w:szCs w:val="21"/>
              </w:rPr>
              <w:t>.47</w:t>
            </w:r>
          </w:p>
        </w:tc>
        <w:tc>
          <w:tcPr>
            <w:tcW w:w="714" w:type="pct"/>
            <w:vAlign w:val="center"/>
          </w:tcPr>
          <w:p>
            <w:pPr>
              <w:adjustRightInd w:val="0"/>
              <w:snapToGrid w:val="0"/>
              <w:jc w:val="center"/>
              <w:rPr>
                <w:szCs w:val="21"/>
              </w:rPr>
            </w:pPr>
            <w:r>
              <w:rPr>
                <w:rFonts w:hint="eastAsia"/>
                <w:szCs w:val="21"/>
              </w:rPr>
              <w:t>0</w:t>
            </w:r>
            <w:r>
              <w:rPr>
                <w:szCs w:val="21"/>
              </w:rPr>
              <w:t>.23</w:t>
            </w:r>
          </w:p>
        </w:tc>
        <w:tc>
          <w:tcPr>
            <w:tcW w:w="714" w:type="pct"/>
            <w:vAlign w:val="center"/>
          </w:tcPr>
          <w:p>
            <w:pPr>
              <w:adjustRightInd w:val="0"/>
              <w:snapToGrid w:val="0"/>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4" w:type="pct"/>
            <w:vMerge w:val="continue"/>
            <w:vAlign w:val="center"/>
          </w:tcPr>
          <w:p>
            <w:pPr>
              <w:adjustRightInd w:val="0"/>
              <w:snapToGrid w:val="0"/>
              <w:jc w:val="center"/>
              <w:rPr>
                <w:szCs w:val="21"/>
              </w:rPr>
            </w:pPr>
          </w:p>
        </w:tc>
        <w:tc>
          <w:tcPr>
            <w:tcW w:w="581" w:type="pct"/>
            <w:vMerge w:val="continue"/>
            <w:vAlign w:val="center"/>
          </w:tcPr>
          <w:p>
            <w:pPr>
              <w:adjustRightInd w:val="0"/>
              <w:snapToGrid w:val="0"/>
              <w:jc w:val="center"/>
              <w:rPr>
                <w:szCs w:val="21"/>
              </w:rPr>
            </w:pPr>
          </w:p>
        </w:tc>
        <w:tc>
          <w:tcPr>
            <w:tcW w:w="749" w:type="pct"/>
            <w:vAlign w:val="center"/>
          </w:tcPr>
          <w:p>
            <w:pPr>
              <w:jc w:val="center"/>
              <w:rPr>
                <w:szCs w:val="21"/>
              </w:rPr>
            </w:pPr>
            <w:r>
              <w:rPr>
                <w:rFonts w:eastAsia="仿宋_GB2312"/>
                <w:snapToGrid w:val="0"/>
                <w:szCs w:val="21"/>
              </w:rPr>
              <w:t>H</w:t>
            </w:r>
            <w:r>
              <w:rPr>
                <w:rFonts w:eastAsia="仿宋_GB2312"/>
                <w:snapToGrid w:val="0"/>
                <w:szCs w:val="21"/>
                <w:vertAlign w:val="subscript"/>
              </w:rPr>
              <w:t>2</w:t>
            </w:r>
            <w:r>
              <w:rPr>
                <w:rFonts w:eastAsia="仿宋_GB2312"/>
                <w:snapToGrid w:val="0"/>
                <w:szCs w:val="21"/>
              </w:rPr>
              <w:t>S</w:t>
            </w:r>
          </w:p>
        </w:tc>
        <w:tc>
          <w:tcPr>
            <w:tcW w:w="814" w:type="pct"/>
            <w:vAlign w:val="center"/>
          </w:tcPr>
          <w:p>
            <w:pPr>
              <w:pStyle w:val="128"/>
              <w:rPr>
                <w:rFonts w:ascii="Times New Roman" w:hAnsi="Times New Roman"/>
                <w:kern w:val="0"/>
                <w:szCs w:val="21"/>
                <w:lang w:val="en-US"/>
              </w:rPr>
            </w:pPr>
            <w:r>
              <w:rPr>
                <w:rFonts w:ascii="Times New Roman" w:hAnsi="Times New Roman"/>
                <w:snapToGrid w:val="0"/>
                <w:kern w:val="0"/>
                <w:szCs w:val="21"/>
              </w:rPr>
              <w:t>10</w:t>
            </w:r>
          </w:p>
        </w:tc>
        <w:tc>
          <w:tcPr>
            <w:tcW w:w="714" w:type="pct"/>
            <w:vAlign w:val="center"/>
          </w:tcPr>
          <w:p>
            <w:pPr>
              <w:adjustRightInd w:val="0"/>
              <w:snapToGrid w:val="0"/>
              <w:jc w:val="center"/>
              <w:rPr>
                <w:szCs w:val="21"/>
              </w:rPr>
            </w:pPr>
            <w:r>
              <w:rPr>
                <w:rFonts w:hint="eastAsia"/>
                <w:szCs w:val="21"/>
              </w:rPr>
              <w:t>0</w:t>
            </w:r>
            <w:r>
              <w:rPr>
                <w:szCs w:val="21"/>
              </w:rPr>
              <w:t>.009</w:t>
            </w:r>
          </w:p>
        </w:tc>
        <w:tc>
          <w:tcPr>
            <w:tcW w:w="714" w:type="pct"/>
            <w:vAlign w:val="center"/>
          </w:tcPr>
          <w:p>
            <w:pPr>
              <w:adjustRightInd w:val="0"/>
              <w:snapToGrid w:val="0"/>
              <w:jc w:val="center"/>
              <w:rPr>
                <w:szCs w:val="21"/>
              </w:rPr>
            </w:pPr>
            <w:r>
              <w:rPr>
                <w:rFonts w:hint="eastAsia"/>
                <w:szCs w:val="21"/>
              </w:rPr>
              <w:t>0</w:t>
            </w:r>
            <w:r>
              <w:rPr>
                <w:szCs w:val="21"/>
              </w:rPr>
              <w:t>.09</w:t>
            </w:r>
          </w:p>
        </w:tc>
        <w:tc>
          <w:tcPr>
            <w:tcW w:w="714" w:type="pct"/>
            <w:vAlign w:val="center"/>
          </w:tcPr>
          <w:p>
            <w:pPr>
              <w:adjustRightInd w:val="0"/>
              <w:snapToGrid w:val="0"/>
              <w:jc w:val="center"/>
              <w:textAlignment w:val="center"/>
              <w:rPr>
                <w:szCs w:val="21"/>
              </w:rPr>
            </w:pPr>
            <w:r>
              <w:rPr>
                <w:rFonts w:hint="eastAsia"/>
                <w:szCs w:val="21"/>
              </w:rPr>
              <w:t>/</w:t>
            </w:r>
          </w:p>
        </w:tc>
      </w:tr>
    </w:tbl>
    <w:p>
      <w:pPr>
        <w:spacing w:line="480" w:lineRule="exact"/>
        <w:ind w:firstLine="480" w:firstLineChars="200"/>
        <w:rPr>
          <w:spacing w:val="4"/>
          <w:sz w:val="24"/>
          <w:szCs w:val="24"/>
        </w:rPr>
      </w:pPr>
      <w:r>
        <w:rPr>
          <w:sz w:val="24"/>
        </w:rPr>
        <w:t>根据上述评价级别判断，结合当地环境状况、行业污染特点及本项目采取的环保措施，确定本项目大气环境影响评价等级为</w:t>
      </w:r>
      <w:r>
        <w:rPr>
          <w:rFonts w:hint="eastAsia"/>
          <w:sz w:val="24"/>
        </w:rPr>
        <w:t>二</w:t>
      </w:r>
      <w:r>
        <w:rPr>
          <w:sz w:val="24"/>
        </w:rPr>
        <w:t>级。</w:t>
      </w:r>
      <w:r>
        <w:rPr>
          <w:rFonts w:hint="eastAsia"/>
          <w:sz w:val="24"/>
        </w:rPr>
        <w:t>本项目评价范围确定为以厂址中心，边长5km的矩形区域。</w:t>
      </w:r>
    </w:p>
    <w:p>
      <w:pPr>
        <w:pStyle w:val="57"/>
        <w:keepNext/>
        <w:keepLines/>
        <w:spacing w:before="0" w:after="0" w:line="480" w:lineRule="exact"/>
        <w:ind w:firstLine="0" w:firstLineChars="0"/>
        <w:outlineLvl w:val="2"/>
        <w:rPr>
          <w:b/>
        </w:rPr>
      </w:pPr>
      <w:r>
        <w:rPr>
          <w:rFonts w:hint="eastAsia"/>
          <w:b/>
        </w:rPr>
        <w:t>2</w:t>
      </w:r>
      <w:r>
        <w:rPr>
          <w:b/>
        </w:rPr>
        <w:t>.</w:t>
      </w:r>
      <w:r>
        <w:rPr>
          <w:rFonts w:hint="eastAsia"/>
          <w:b/>
        </w:rPr>
        <w:t>5</w:t>
      </w:r>
      <w:r>
        <w:rPr>
          <w:b/>
        </w:rPr>
        <w:t>.</w:t>
      </w:r>
      <w:r>
        <w:rPr>
          <w:rFonts w:hint="eastAsia"/>
          <w:b/>
        </w:rPr>
        <w:t>2</w:t>
      </w:r>
      <w:r>
        <w:rPr>
          <w:rFonts w:hint="eastAsia" w:ascii="宋体" w:hAnsi="宋体"/>
          <w:b/>
          <w:bCs/>
          <w:kern w:val="0"/>
        </w:rPr>
        <w:t>地表水</w:t>
      </w:r>
    </w:p>
    <w:p>
      <w:pPr>
        <w:pStyle w:val="85"/>
        <w:spacing w:line="480" w:lineRule="exact"/>
        <w:ind w:firstLine="480"/>
        <w:rPr>
          <w:rFonts w:ascii="Times New Roman" w:hAnsi="Times New Roman" w:cs="Times New Roman"/>
          <w:sz w:val="24"/>
        </w:rPr>
      </w:pPr>
      <w:bookmarkStart w:id="42" w:name="_Hlk8220182"/>
      <w:r>
        <w:rPr>
          <w:rFonts w:ascii="Times New Roman" w:cs="Times New Roman"/>
          <w:sz w:val="24"/>
        </w:rPr>
        <w:t>根据《畜禽养殖业污染防治技术规范》（</w:t>
      </w:r>
      <w:r>
        <w:rPr>
          <w:rFonts w:ascii="Times New Roman" w:hAnsi="Times New Roman" w:cs="Times New Roman"/>
          <w:sz w:val="24"/>
        </w:rPr>
        <w:t>HJ/T81-2001</w:t>
      </w:r>
      <w:r>
        <w:rPr>
          <w:rFonts w:ascii="Times New Roman" w:cs="Times New Roman"/>
          <w:sz w:val="24"/>
        </w:rPr>
        <w:t>），畜禽养殖场的建设应坚持</w:t>
      </w:r>
      <w:r>
        <w:rPr>
          <w:rFonts w:hint="eastAsia" w:ascii="Times New Roman" w:hAnsi="Times New Roman" w:cs="Times New Roman"/>
          <w:sz w:val="24"/>
        </w:rPr>
        <w:t>“</w:t>
      </w:r>
      <w:r>
        <w:rPr>
          <w:rFonts w:ascii="Times New Roman" w:cs="Times New Roman"/>
          <w:sz w:val="24"/>
        </w:rPr>
        <w:t>农牧结合、种养平衡</w:t>
      </w:r>
      <w:r>
        <w:rPr>
          <w:rFonts w:hint="eastAsia" w:ascii="Times New Roman" w:hAnsi="Times New Roman" w:cs="Times New Roman"/>
          <w:sz w:val="24"/>
        </w:rPr>
        <w:t>”</w:t>
      </w:r>
      <w:r>
        <w:rPr>
          <w:rFonts w:ascii="Times New Roman" w:cs="Times New Roman"/>
          <w:sz w:val="24"/>
        </w:rPr>
        <w:t>的原则，根据评价区域土地对畜禽粪便的消纳能力，确定新建畜禽养殖场的养殖规模。</w:t>
      </w:r>
      <w:r>
        <w:rPr>
          <w:rFonts w:ascii="Times New Roman" w:hAnsi="Times New Roman" w:cs="Times New Roman"/>
          <w:sz w:val="24"/>
        </w:rPr>
        <w:t>建设项目运行期产生的废水包括冲洗废水和生活污水。项目废水集中收集后进入场内污水处理站进行处理，处理后用于灌溉田，无废水外排。</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rPr>
        <w:t>根据《环境影响评价技术导则 地表水环境》（HJ2.3-2018），建设项目生产工艺中有废水产生，但作为回水利用，不排放到外环境的，按三级B评价。本项目无废水外排，地表水环境影响评价等级为三级B；本项目仅对</w:t>
      </w:r>
      <w:r>
        <w:rPr>
          <w:rFonts w:ascii="Times New Roman" w:hAnsi="Times New Roman" w:cs="Times New Roman"/>
          <w:sz w:val="24"/>
          <w:szCs w:val="24"/>
        </w:rPr>
        <w:t>生产废水回用不外排的可行性进行分析。</w:t>
      </w:r>
      <w:bookmarkEnd w:id="42"/>
    </w:p>
    <w:p>
      <w:pPr>
        <w:pStyle w:val="57"/>
        <w:keepNext/>
        <w:keepLines/>
        <w:spacing w:before="0" w:after="0" w:line="480" w:lineRule="exact"/>
        <w:ind w:firstLine="0" w:firstLineChars="0"/>
        <w:outlineLvl w:val="2"/>
        <w:rPr>
          <w:b/>
        </w:rPr>
      </w:pPr>
      <w:r>
        <w:rPr>
          <w:rFonts w:hint="eastAsia"/>
          <w:b/>
        </w:rPr>
        <w:t>2</w:t>
      </w:r>
      <w:r>
        <w:rPr>
          <w:b/>
        </w:rPr>
        <w:t>.</w:t>
      </w:r>
      <w:r>
        <w:rPr>
          <w:rFonts w:hint="eastAsia"/>
          <w:b/>
        </w:rPr>
        <w:t>5</w:t>
      </w:r>
      <w:r>
        <w:rPr>
          <w:b/>
        </w:rPr>
        <w:t>.</w:t>
      </w:r>
      <w:r>
        <w:rPr>
          <w:rFonts w:hint="eastAsia"/>
          <w:b/>
        </w:rPr>
        <w:t>3</w:t>
      </w:r>
      <w:r>
        <w:rPr>
          <w:rFonts w:hint="eastAsia" w:ascii="宋体" w:hAnsi="宋体"/>
          <w:b/>
          <w:bCs/>
          <w:kern w:val="0"/>
        </w:rPr>
        <w:t>地下水</w:t>
      </w:r>
    </w:p>
    <w:p>
      <w:pPr>
        <w:pStyle w:val="85"/>
        <w:spacing w:line="480" w:lineRule="exact"/>
        <w:ind w:firstLine="480"/>
        <w:rPr>
          <w:rFonts w:ascii="Times New Roman" w:hAnsi="Times New Roman" w:cs="Times New Roman"/>
          <w:spacing w:val="4"/>
          <w:sz w:val="24"/>
          <w:szCs w:val="24"/>
        </w:rPr>
      </w:pPr>
      <w:r>
        <w:rPr>
          <w:rFonts w:ascii="Times New Roman" w:cs="Times New Roman"/>
          <w:sz w:val="24"/>
        </w:rPr>
        <w:t>根据《环境影响评价技术导则</w:t>
      </w:r>
      <w:r>
        <w:rPr>
          <w:rFonts w:ascii="Times New Roman" w:hAnsi="Times New Roman" w:cs="Times New Roman"/>
          <w:sz w:val="24"/>
        </w:rPr>
        <w:t xml:space="preserve">  </w:t>
      </w:r>
      <w:r>
        <w:rPr>
          <w:rFonts w:ascii="Times New Roman" w:cs="Times New Roman"/>
          <w:sz w:val="24"/>
        </w:rPr>
        <w:t>地下水环境》（</w:t>
      </w:r>
      <w:r>
        <w:rPr>
          <w:rFonts w:ascii="Times New Roman" w:hAnsi="Times New Roman" w:cs="Times New Roman"/>
          <w:sz w:val="24"/>
        </w:rPr>
        <w:t>HJ610-2016</w:t>
      </w:r>
      <w:r>
        <w:rPr>
          <w:rFonts w:ascii="Times New Roman" w:cs="Times New Roman"/>
          <w:sz w:val="24"/>
        </w:rPr>
        <w:t>）附录</w:t>
      </w:r>
      <w:r>
        <w:rPr>
          <w:rFonts w:ascii="Times New Roman" w:hAnsi="Times New Roman" w:cs="Times New Roman"/>
          <w:sz w:val="24"/>
        </w:rPr>
        <w:t>A</w:t>
      </w:r>
      <w:r>
        <w:rPr>
          <w:rFonts w:ascii="Times New Roman" w:cs="Times New Roman"/>
          <w:sz w:val="24"/>
        </w:rPr>
        <w:t>地下水环境影响评价行业分类表，确定本项目行业类别属于</w:t>
      </w:r>
      <w:r>
        <w:rPr>
          <w:rFonts w:hint="eastAsia" w:ascii="Times New Roman" w:hAnsi="Times New Roman" w:cs="Times New Roman"/>
          <w:sz w:val="24"/>
        </w:rPr>
        <w:t>“1</w:t>
      </w:r>
      <w:r>
        <w:rPr>
          <w:rFonts w:ascii="Times New Roman" w:hAnsi="Times New Roman" w:cs="Times New Roman"/>
          <w:sz w:val="24"/>
        </w:rPr>
        <w:t>4</w:t>
      </w:r>
      <w:r>
        <w:rPr>
          <w:rFonts w:hint="eastAsia" w:ascii="Times New Roman" w:hAnsi="Times New Roman" w:cs="Times New Roman"/>
          <w:sz w:val="24"/>
        </w:rPr>
        <w:t>畜禽养殖场、养殖小区”</w:t>
      </w:r>
      <w:r>
        <w:rPr>
          <w:rFonts w:ascii="Times New Roman" w:cs="Times New Roman"/>
          <w:sz w:val="24"/>
        </w:rPr>
        <w:t>，为</w:t>
      </w:r>
      <w:r>
        <w:rPr>
          <w:rFonts w:hint="eastAsia" w:ascii="Times New Roman" w:cs="Times New Roman"/>
          <w:sz w:val="24"/>
        </w:rPr>
        <w:t>Ⅲ</w:t>
      </w:r>
      <w:r>
        <w:rPr>
          <w:rFonts w:ascii="Times New Roman" w:cs="Times New Roman"/>
          <w:sz w:val="24"/>
        </w:rPr>
        <w:t>类项目。</w:t>
      </w:r>
    </w:p>
    <w:p>
      <w:pPr>
        <w:pStyle w:val="85"/>
        <w:spacing w:line="480" w:lineRule="exact"/>
        <w:ind w:firstLine="504"/>
        <w:rPr>
          <w:rFonts w:ascii="Times New Roman" w:cs="Times New Roman"/>
          <w:bCs/>
          <w:spacing w:val="6"/>
          <w:sz w:val="24"/>
        </w:rPr>
      </w:pPr>
      <w:bookmarkStart w:id="43" w:name="_Hlk8220190"/>
      <w:r>
        <w:rPr>
          <w:rFonts w:hint="eastAsia" w:ascii="Times New Roman" w:cs="Times New Roman"/>
          <w:bCs/>
          <w:spacing w:val="6"/>
          <w:sz w:val="24"/>
        </w:rPr>
        <w:t>根据《环境影响评价技术导则 地下水环境》(HJ610-2016)，结合现场调查及区域水文地质资料，项目所在地及周边地下水流向为北至南，调查范围内无集中式饮用水源，厂址周边水井均不作为饮用水井，均用于工业生产、农业灌溉和养殖等。综上分析，建设项目场地地下水环境敏感程度为“不敏感”。</w:t>
      </w:r>
      <w:r>
        <w:rPr>
          <w:rFonts w:ascii="Times New Roman" w:cs="Times New Roman"/>
          <w:bCs/>
          <w:spacing w:val="6"/>
          <w:sz w:val="24"/>
        </w:rPr>
        <w:t>建设项目地下水环境影响评价工作等级划分表可知，本项目地下水评价工作等级为</w:t>
      </w:r>
      <w:r>
        <w:rPr>
          <w:rFonts w:hint="eastAsia" w:ascii="Times New Roman" w:cs="Times New Roman"/>
          <w:bCs/>
          <w:spacing w:val="6"/>
          <w:sz w:val="24"/>
        </w:rPr>
        <w:t>三</w:t>
      </w:r>
      <w:r>
        <w:rPr>
          <w:rFonts w:ascii="Times New Roman" w:cs="Times New Roman"/>
          <w:bCs/>
          <w:spacing w:val="6"/>
          <w:sz w:val="24"/>
        </w:rPr>
        <w:t>级。</w:t>
      </w:r>
      <w:bookmarkEnd w:id="43"/>
    </w:p>
    <w:p>
      <w:pPr>
        <w:pStyle w:val="97"/>
        <w:spacing w:line="480" w:lineRule="exact"/>
        <w:ind w:firstLine="0" w:firstLineChars="0"/>
        <w:jc w:val="center"/>
        <w:rPr>
          <w:rFonts w:ascii="黑体" w:hAnsi="黑体" w:eastAsia="黑体"/>
          <w:bCs/>
        </w:rPr>
      </w:pPr>
      <w:r>
        <w:rPr>
          <w:rFonts w:hint="eastAsia" w:ascii="黑体" w:hAnsi="黑体" w:eastAsia="黑体"/>
          <w:bCs/>
        </w:rPr>
        <w:t>表2.5-3  地下水环境敏感程度识别表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8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Align w:val="center"/>
          </w:tcPr>
          <w:p>
            <w:pPr>
              <w:pStyle w:val="97"/>
              <w:spacing w:line="240" w:lineRule="auto"/>
              <w:ind w:firstLine="0" w:firstLineChars="0"/>
              <w:jc w:val="center"/>
              <w:rPr>
                <w:rFonts w:ascii="宋体" w:cs="宋体"/>
                <w:kern w:val="0"/>
                <w:sz w:val="21"/>
                <w:szCs w:val="21"/>
              </w:rPr>
            </w:pPr>
            <w:r>
              <w:rPr>
                <w:rFonts w:hint="eastAsia" w:ascii="宋体" w:cs="宋体"/>
                <w:kern w:val="0"/>
                <w:sz w:val="21"/>
                <w:szCs w:val="21"/>
              </w:rPr>
              <w:t>敏感</w:t>
            </w:r>
          </w:p>
          <w:p>
            <w:pPr>
              <w:pStyle w:val="97"/>
              <w:spacing w:line="240" w:lineRule="auto"/>
              <w:ind w:firstLine="0" w:firstLineChars="0"/>
              <w:jc w:val="center"/>
              <w:rPr>
                <w:sz w:val="21"/>
                <w:szCs w:val="21"/>
              </w:rPr>
            </w:pPr>
            <w:r>
              <w:rPr>
                <w:rFonts w:hint="eastAsia" w:ascii="宋体" w:cs="宋体"/>
                <w:kern w:val="0"/>
                <w:sz w:val="21"/>
                <w:szCs w:val="21"/>
              </w:rPr>
              <w:t>程度</w:t>
            </w:r>
          </w:p>
        </w:tc>
        <w:tc>
          <w:tcPr>
            <w:tcW w:w="4461" w:type="pct"/>
            <w:vAlign w:val="center"/>
          </w:tcPr>
          <w:p>
            <w:pPr>
              <w:pStyle w:val="97"/>
              <w:spacing w:line="240" w:lineRule="auto"/>
              <w:ind w:firstLine="0" w:firstLineChars="0"/>
              <w:jc w:val="center"/>
              <w:rPr>
                <w:sz w:val="21"/>
                <w:szCs w:val="21"/>
              </w:rPr>
            </w:pPr>
            <w:r>
              <w:rPr>
                <w:rFonts w:hint="eastAsia"/>
                <w:sz w:val="21"/>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vAlign w:val="center"/>
          </w:tcPr>
          <w:p>
            <w:pPr>
              <w:pStyle w:val="97"/>
              <w:spacing w:line="240" w:lineRule="auto"/>
              <w:ind w:firstLine="0" w:firstLineChars="0"/>
              <w:jc w:val="center"/>
              <w:rPr>
                <w:sz w:val="21"/>
                <w:szCs w:val="21"/>
              </w:rPr>
            </w:pPr>
            <w:r>
              <w:rPr>
                <w:rFonts w:hint="eastAsia"/>
                <w:sz w:val="21"/>
                <w:szCs w:val="21"/>
              </w:rPr>
              <w:t>敏感</w:t>
            </w:r>
          </w:p>
        </w:tc>
        <w:tc>
          <w:tcPr>
            <w:tcW w:w="4461" w:type="pct"/>
          </w:tcPr>
          <w:p>
            <w:pPr>
              <w:pStyle w:val="97"/>
              <w:spacing w:line="240" w:lineRule="auto"/>
              <w:ind w:firstLine="420"/>
              <w:jc w:val="center"/>
              <w:rPr>
                <w:sz w:val="21"/>
                <w:szCs w:val="21"/>
              </w:rPr>
            </w:pPr>
            <w:r>
              <w:rPr>
                <w:rFonts w:hint="eastAsia"/>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tcBorders>
              <w:bottom w:val="single" w:color="auto" w:sz="4" w:space="0"/>
            </w:tcBorders>
            <w:vAlign w:val="center"/>
          </w:tcPr>
          <w:p>
            <w:pPr>
              <w:pStyle w:val="97"/>
              <w:spacing w:line="240" w:lineRule="auto"/>
              <w:ind w:firstLine="0" w:firstLineChars="0"/>
              <w:jc w:val="center"/>
              <w:rPr>
                <w:sz w:val="21"/>
                <w:szCs w:val="21"/>
              </w:rPr>
            </w:pPr>
            <w:r>
              <w:rPr>
                <w:rFonts w:hint="eastAsia"/>
                <w:sz w:val="21"/>
                <w:szCs w:val="21"/>
              </w:rPr>
              <w:t>较敏感</w:t>
            </w:r>
          </w:p>
        </w:tc>
        <w:tc>
          <w:tcPr>
            <w:tcW w:w="4461" w:type="pct"/>
            <w:tcBorders>
              <w:bottom w:val="single" w:color="auto" w:sz="4" w:space="0"/>
            </w:tcBorders>
          </w:tcPr>
          <w:p>
            <w:pPr>
              <w:pStyle w:val="97"/>
              <w:spacing w:line="240" w:lineRule="auto"/>
              <w:ind w:firstLine="420"/>
              <w:jc w:val="center"/>
              <w:rPr>
                <w:sz w:val="21"/>
                <w:szCs w:val="21"/>
              </w:rPr>
            </w:pPr>
            <w:r>
              <w:rPr>
                <w:rFonts w:hint="eastAsia"/>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sz w:val="21"/>
                <w:szCs w:val="21"/>
                <w:vertAlign w:val="superscript"/>
              </w:rPr>
              <w:t>a</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9" w:type="pct"/>
            <w:shd w:val="clear" w:color="auto" w:fill="CCCCCC"/>
          </w:tcPr>
          <w:p>
            <w:pPr>
              <w:pStyle w:val="97"/>
              <w:spacing w:line="240" w:lineRule="auto"/>
              <w:ind w:firstLine="0" w:firstLineChars="0"/>
              <w:jc w:val="center"/>
              <w:rPr>
                <w:sz w:val="21"/>
                <w:szCs w:val="21"/>
              </w:rPr>
            </w:pPr>
            <w:r>
              <w:rPr>
                <w:rFonts w:hint="eastAsia"/>
                <w:sz w:val="21"/>
                <w:szCs w:val="21"/>
              </w:rPr>
              <w:t>不敏感</w:t>
            </w:r>
          </w:p>
        </w:tc>
        <w:tc>
          <w:tcPr>
            <w:tcW w:w="4461" w:type="pct"/>
            <w:shd w:val="clear" w:color="auto" w:fill="CCCCCC"/>
          </w:tcPr>
          <w:p>
            <w:pPr>
              <w:pStyle w:val="97"/>
              <w:spacing w:line="240" w:lineRule="auto"/>
              <w:ind w:firstLine="0" w:firstLineChars="0"/>
              <w:jc w:val="center"/>
              <w:rPr>
                <w:sz w:val="21"/>
                <w:szCs w:val="21"/>
              </w:rPr>
            </w:pPr>
            <w:r>
              <w:rPr>
                <w:rFonts w:hint="eastAsia"/>
                <w:sz w:val="21"/>
                <w:szCs w:val="21"/>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Pr>
          <w:p>
            <w:pPr>
              <w:pStyle w:val="97"/>
              <w:spacing w:line="240" w:lineRule="auto"/>
              <w:ind w:firstLine="0" w:firstLineChars="0"/>
              <w:jc w:val="center"/>
              <w:rPr>
                <w:sz w:val="21"/>
                <w:szCs w:val="21"/>
              </w:rPr>
            </w:pPr>
            <w:r>
              <w:rPr>
                <w:rFonts w:hint="eastAsia" w:ascii="宋体" w:cs="宋体"/>
                <w:kern w:val="0"/>
                <w:sz w:val="21"/>
                <w:szCs w:val="21"/>
              </w:rPr>
              <w:t>注：</w:t>
            </w:r>
            <w:r>
              <w:rPr>
                <w:rFonts w:ascii="宋体" w:cs="宋体"/>
                <w:kern w:val="0"/>
                <w:sz w:val="21"/>
                <w:szCs w:val="21"/>
              </w:rPr>
              <w:t>a</w:t>
            </w:r>
            <w:r>
              <w:rPr>
                <w:rFonts w:hint="eastAsia" w:ascii="宋体" w:cs="宋体"/>
                <w:kern w:val="0"/>
                <w:sz w:val="21"/>
                <w:szCs w:val="21"/>
              </w:rPr>
              <w:t>“环境敏感区”是指《建设项目环境影响评价分类管理名录》中所界定的涉及地下水的环境敏感区。</w:t>
            </w:r>
          </w:p>
        </w:tc>
      </w:tr>
    </w:tbl>
    <w:p>
      <w:pPr>
        <w:pStyle w:val="97"/>
        <w:spacing w:line="480" w:lineRule="exact"/>
        <w:jc w:val="center"/>
        <w:rPr>
          <w:rFonts w:ascii="黑体" w:hAnsi="黑体" w:eastAsia="黑体"/>
          <w:bCs/>
        </w:rPr>
      </w:pPr>
      <w:r>
        <w:rPr>
          <w:rFonts w:hint="eastAsia" w:ascii="黑体" w:hAnsi="黑体" w:eastAsia="黑体"/>
          <w:bCs/>
        </w:rPr>
        <w:t>表2.5-4  地下水评价等级划分表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5"/>
        <w:gridCol w:w="2350"/>
        <w:gridCol w:w="2261"/>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tcBorders>
              <w:tl2br w:val="single" w:color="000000" w:sz="12" w:space="0"/>
            </w:tcBorders>
            <w:vAlign w:val="center"/>
          </w:tcPr>
          <w:p>
            <w:pPr>
              <w:pStyle w:val="97"/>
              <w:ind w:firstLine="0" w:firstLineChars="0"/>
              <w:jc w:val="center"/>
              <w:rPr>
                <w:sz w:val="21"/>
                <w:szCs w:val="21"/>
              </w:rPr>
            </w:pPr>
            <w:r>
              <w:rPr>
                <w:rFonts w:hint="eastAsia"/>
                <w:sz w:val="21"/>
                <w:szCs w:val="21"/>
              </w:rPr>
              <w:t xml:space="preserve">    项目类别</w:t>
            </w:r>
          </w:p>
          <w:p>
            <w:pPr>
              <w:pStyle w:val="97"/>
              <w:ind w:firstLine="0" w:firstLineChars="0"/>
              <w:rPr>
                <w:sz w:val="21"/>
                <w:szCs w:val="21"/>
              </w:rPr>
            </w:pPr>
            <w:r>
              <w:rPr>
                <w:rFonts w:hint="eastAsia"/>
                <w:sz w:val="21"/>
                <w:szCs w:val="21"/>
              </w:rPr>
              <w:t>环境敏感程度</w:t>
            </w:r>
          </w:p>
        </w:tc>
        <w:tc>
          <w:tcPr>
            <w:tcW w:w="1297" w:type="pct"/>
            <w:vAlign w:val="center"/>
          </w:tcPr>
          <w:p>
            <w:pPr>
              <w:pStyle w:val="97"/>
              <w:ind w:firstLine="210" w:firstLineChars="100"/>
              <w:jc w:val="center"/>
              <w:rPr>
                <w:sz w:val="21"/>
                <w:szCs w:val="21"/>
              </w:rPr>
            </w:pPr>
            <w:r>
              <w:rPr>
                <w:rFonts w:hint="eastAsia"/>
                <w:sz w:val="21"/>
                <w:szCs w:val="21"/>
              </w:rPr>
              <w:t>I类项目</w:t>
            </w:r>
          </w:p>
        </w:tc>
        <w:tc>
          <w:tcPr>
            <w:tcW w:w="1248" w:type="pct"/>
            <w:vAlign w:val="center"/>
          </w:tcPr>
          <w:p>
            <w:pPr>
              <w:pStyle w:val="97"/>
              <w:ind w:firstLine="0" w:firstLineChars="0"/>
              <w:jc w:val="center"/>
              <w:rPr>
                <w:sz w:val="21"/>
                <w:szCs w:val="21"/>
              </w:rPr>
            </w:pPr>
            <w:r>
              <w:rPr>
                <w:rFonts w:hint="eastAsia"/>
                <w:sz w:val="21"/>
                <w:szCs w:val="21"/>
              </w:rPr>
              <w:t>II类项目</w:t>
            </w:r>
          </w:p>
        </w:tc>
        <w:tc>
          <w:tcPr>
            <w:tcW w:w="1249" w:type="pct"/>
            <w:vAlign w:val="center"/>
          </w:tcPr>
          <w:p>
            <w:pPr>
              <w:pStyle w:val="97"/>
              <w:ind w:firstLine="0" w:firstLineChars="0"/>
              <w:jc w:val="center"/>
              <w:rPr>
                <w:sz w:val="21"/>
                <w:szCs w:val="21"/>
              </w:rPr>
            </w:pPr>
            <w:r>
              <w:rPr>
                <w:rFonts w:hint="eastAsia"/>
                <w:sz w:val="21"/>
                <w:szCs w:val="21"/>
              </w:rPr>
              <w:t>III类项目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Align w:val="center"/>
          </w:tcPr>
          <w:p>
            <w:pPr>
              <w:pStyle w:val="97"/>
              <w:spacing w:line="0" w:lineRule="atLeast"/>
              <w:ind w:firstLine="0" w:firstLineChars="0"/>
              <w:jc w:val="center"/>
              <w:rPr>
                <w:sz w:val="21"/>
                <w:szCs w:val="21"/>
              </w:rPr>
            </w:pPr>
            <w:r>
              <w:rPr>
                <w:rFonts w:hint="eastAsia"/>
                <w:sz w:val="21"/>
                <w:szCs w:val="21"/>
              </w:rPr>
              <w:t>敏感</w:t>
            </w:r>
          </w:p>
        </w:tc>
        <w:tc>
          <w:tcPr>
            <w:tcW w:w="1297" w:type="pct"/>
            <w:vAlign w:val="center"/>
          </w:tcPr>
          <w:p>
            <w:pPr>
              <w:pStyle w:val="97"/>
              <w:spacing w:line="0" w:lineRule="atLeast"/>
              <w:ind w:firstLine="0" w:firstLineChars="0"/>
              <w:jc w:val="center"/>
              <w:rPr>
                <w:sz w:val="21"/>
                <w:szCs w:val="21"/>
              </w:rPr>
            </w:pPr>
            <w:r>
              <w:rPr>
                <w:rFonts w:hint="eastAsia"/>
                <w:sz w:val="21"/>
                <w:szCs w:val="21"/>
              </w:rPr>
              <w:t>一</w:t>
            </w:r>
          </w:p>
        </w:tc>
        <w:tc>
          <w:tcPr>
            <w:tcW w:w="1248" w:type="pct"/>
            <w:vAlign w:val="center"/>
          </w:tcPr>
          <w:p>
            <w:pPr>
              <w:pStyle w:val="97"/>
              <w:spacing w:line="0" w:lineRule="atLeast"/>
              <w:ind w:firstLine="0" w:firstLineChars="0"/>
              <w:jc w:val="center"/>
              <w:rPr>
                <w:sz w:val="21"/>
                <w:szCs w:val="21"/>
              </w:rPr>
            </w:pPr>
            <w:r>
              <w:rPr>
                <w:rFonts w:hint="eastAsia"/>
                <w:sz w:val="21"/>
                <w:szCs w:val="21"/>
              </w:rPr>
              <w:t>一</w:t>
            </w:r>
          </w:p>
        </w:tc>
        <w:tc>
          <w:tcPr>
            <w:tcW w:w="1249" w:type="pct"/>
            <w:vAlign w:val="center"/>
          </w:tcPr>
          <w:p>
            <w:pPr>
              <w:pStyle w:val="97"/>
              <w:spacing w:line="0" w:lineRule="atLeast"/>
              <w:ind w:firstLine="0" w:firstLineChars="0"/>
              <w:jc w:val="center"/>
              <w:rPr>
                <w:sz w:val="21"/>
                <w:szCs w:val="21"/>
              </w:rPr>
            </w:pPr>
            <w:r>
              <w:rPr>
                <w:rFonts w:hint="eastAsia"/>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Align w:val="center"/>
          </w:tcPr>
          <w:p>
            <w:pPr>
              <w:pStyle w:val="97"/>
              <w:spacing w:line="0" w:lineRule="atLeast"/>
              <w:ind w:firstLine="0" w:firstLineChars="0"/>
              <w:jc w:val="center"/>
              <w:rPr>
                <w:sz w:val="21"/>
                <w:szCs w:val="21"/>
              </w:rPr>
            </w:pPr>
            <w:r>
              <w:rPr>
                <w:rFonts w:hint="eastAsia"/>
                <w:sz w:val="21"/>
                <w:szCs w:val="21"/>
              </w:rPr>
              <w:t>较敏感</w:t>
            </w:r>
          </w:p>
        </w:tc>
        <w:tc>
          <w:tcPr>
            <w:tcW w:w="1297" w:type="pct"/>
            <w:tcBorders>
              <w:bottom w:val="single" w:color="auto" w:sz="4" w:space="0"/>
            </w:tcBorders>
            <w:vAlign w:val="center"/>
          </w:tcPr>
          <w:p>
            <w:pPr>
              <w:pStyle w:val="97"/>
              <w:spacing w:line="0" w:lineRule="atLeast"/>
              <w:ind w:firstLine="0" w:firstLineChars="0"/>
              <w:jc w:val="center"/>
              <w:rPr>
                <w:sz w:val="21"/>
                <w:szCs w:val="21"/>
              </w:rPr>
            </w:pPr>
            <w:r>
              <w:rPr>
                <w:rFonts w:hint="eastAsia"/>
                <w:sz w:val="21"/>
                <w:szCs w:val="21"/>
              </w:rPr>
              <w:t>一</w:t>
            </w:r>
          </w:p>
        </w:tc>
        <w:tc>
          <w:tcPr>
            <w:tcW w:w="1248" w:type="pct"/>
            <w:vAlign w:val="center"/>
          </w:tcPr>
          <w:p>
            <w:pPr>
              <w:pStyle w:val="97"/>
              <w:spacing w:line="0" w:lineRule="atLeast"/>
              <w:ind w:firstLine="0" w:firstLineChars="0"/>
              <w:jc w:val="center"/>
              <w:rPr>
                <w:sz w:val="21"/>
                <w:szCs w:val="21"/>
              </w:rPr>
            </w:pPr>
            <w:r>
              <w:rPr>
                <w:rFonts w:hint="eastAsia"/>
                <w:sz w:val="21"/>
                <w:szCs w:val="21"/>
              </w:rPr>
              <w:t>二</w:t>
            </w:r>
          </w:p>
        </w:tc>
        <w:tc>
          <w:tcPr>
            <w:tcW w:w="1249" w:type="pct"/>
            <w:tcBorders>
              <w:bottom w:val="single" w:color="auto" w:sz="4" w:space="0"/>
            </w:tcBorders>
            <w:vAlign w:val="center"/>
          </w:tcPr>
          <w:p>
            <w:pPr>
              <w:pStyle w:val="97"/>
              <w:spacing w:line="0" w:lineRule="atLeast"/>
              <w:ind w:firstLine="0" w:firstLineChars="0"/>
              <w:jc w:val="center"/>
              <w:rPr>
                <w:sz w:val="21"/>
                <w:szCs w:val="21"/>
              </w:rPr>
            </w:pPr>
            <w:r>
              <w:rPr>
                <w:rFonts w:hint="eastAsia"/>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shd w:val="clear" w:color="auto" w:fill="FFFFFF"/>
            <w:vAlign w:val="center"/>
          </w:tcPr>
          <w:p>
            <w:pPr>
              <w:pStyle w:val="97"/>
              <w:spacing w:line="0" w:lineRule="atLeast"/>
              <w:ind w:firstLine="0" w:firstLineChars="0"/>
              <w:jc w:val="center"/>
              <w:rPr>
                <w:sz w:val="21"/>
                <w:szCs w:val="21"/>
              </w:rPr>
            </w:pPr>
            <w:r>
              <w:rPr>
                <w:rFonts w:hint="eastAsia"/>
                <w:sz w:val="21"/>
                <w:szCs w:val="21"/>
              </w:rPr>
              <w:t>不敏感</w:t>
            </w:r>
          </w:p>
        </w:tc>
        <w:tc>
          <w:tcPr>
            <w:tcW w:w="1297" w:type="pct"/>
            <w:shd w:val="clear" w:color="auto" w:fill="auto"/>
            <w:vAlign w:val="center"/>
          </w:tcPr>
          <w:p>
            <w:pPr>
              <w:pStyle w:val="97"/>
              <w:spacing w:line="0" w:lineRule="atLeast"/>
              <w:ind w:firstLine="0" w:firstLineChars="0"/>
              <w:jc w:val="center"/>
              <w:rPr>
                <w:sz w:val="21"/>
                <w:szCs w:val="21"/>
              </w:rPr>
            </w:pPr>
            <w:r>
              <w:rPr>
                <w:rFonts w:hint="eastAsia"/>
                <w:sz w:val="21"/>
                <w:szCs w:val="21"/>
              </w:rPr>
              <w:t>二</w:t>
            </w:r>
          </w:p>
        </w:tc>
        <w:tc>
          <w:tcPr>
            <w:tcW w:w="1248" w:type="pct"/>
            <w:shd w:val="clear" w:color="auto" w:fill="auto"/>
            <w:vAlign w:val="center"/>
          </w:tcPr>
          <w:p>
            <w:pPr>
              <w:pStyle w:val="97"/>
              <w:spacing w:line="0" w:lineRule="atLeast"/>
              <w:ind w:firstLine="0" w:firstLineChars="0"/>
              <w:jc w:val="center"/>
              <w:rPr>
                <w:sz w:val="21"/>
                <w:szCs w:val="21"/>
              </w:rPr>
            </w:pPr>
            <w:r>
              <w:rPr>
                <w:rFonts w:hint="eastAsia"/>
                <w:sz w:val="21"/>
                <w:szCs w:val="21"/>
              </w:rPr>
              <w:t>三</w:t>
            </w:r>
          </w:p>
        </w:tc>
        <w:tc>
          <w:tcPr>
            <w:tcW w:w="1249" w:type="pct"/>
            <w:shd w:val="clear" w:color="auto" w:fill="D8D8D8" w:themeFill="background1" w:themeFillShade="D9"/>
            <w:vAlign w:val="center"/>
          </w:tcPr>
          <w:p>
            <w:pPr>
              <w:pStyle w:val="97"/>
              <w:spacing w:line="0" w:lineRule="atLeast"/>
              <w:ind w:firstLine="0" w:firstLineChars="0"/>
              <w:jc w:val="center"/>
              <w:rPr>
                <w:sz w:val="21"/>
                <w:szCs w:val="21"/>
              </w:rPr>
            </w:pPr>
            <w:r>
              <w:rPr>
                <w:rFonts w:hint="eastAsia"/>
                <w:sz w:val="21"/>
                <w:szCs w:val="21"/>
              </w:rPr>
              <w:t>三</w:t>
            </w:r>
          </w:p>
        </w:tc>
      </w:tr>
    </w:tbl>
    <w:p>
      <w:pPr>
        <w:pStyle w:val="85"/>
        <w:spacing w:line="480" w:lineRule="exact"/>
        <w:ind w:firstLine="504"/>
        <w:rPr>
          <w:rFonts w:ascii="Times New Roman" w:cs="Times New Roman"/>
          <w:bCs/>
          <w:spacing w:val="6"/>
          <w:sz w:val="24"/>
        </w:rPr>
      </w:pPr>
      <w:r>
        <w:rPr>
          <w:rFonts w:hint="eastAsia" w:ascii="Times New Roman" w:cs="Times New Roman"/>
          <w:bCs/>
          <w:spacing w:val="6"/>
          <w:sz w:val="24"/>
        </w:rPr>
        <w:t>根据所在区域水文地质条件、地下水埋藏和径流方向确定，地下水评价范围：项目厂址地下水流向上游</w:t>
      </w:r>
      <w:r>
        <w:rPr>
          <w:rFonts w:ascii="Times New Roman" w:cs="Times New Roman"/>
          <w:bCs/>
          <w:spacing w:val="6"/>
          <w:sz w:val="24"/>
        </w:rPr>
        <w:t>1km</w:t>
      </w:r>
      <w:r>
        <w:rPr>
          <w:rFonts w:hint="eastAsia" w:ascii="Times New Roman" w:cs="Times New Roman"/>
          <w:bCs/>
          <w:spacing w:val="6"/>
          <w:sz w:val="24"/>
        </w:rPr>
        <w:t>，侧向</w:t>
      </w:r>
      <w:r>
        <w:rPr>
          <w:rFonts w:ascii="Times New Roman" w:cs="Times New Roman"/>
          <w:bCs/>
          <w:spacing w:val="6"/>
          <w:sz w:val="24"/>
        </w:rPr>
        <w:t>0.</w:t>
      </w:r>
      <w:r>
        <w:rPr>
          <w:rFonts w:hint="eastAsia" w:ascii="Times New Roman" w:cs="Times New Roman"/>
          <w:bCs/>
          <w:spacing w:val="6"/>
          <w:sz w:val="24"/>
        </w:rPr>
        <w:t>8</w:t>
      </w:r>
      <w:r>
        <w:rPr>
          <w:rFonts w:ascii="Times New Roman" w:cs="Times New Roman"/>
          <w:bCs/>
          <w:spacing w:val="6"/>
          <w:sz w:val="24"/>
        </w:rPr>
        <w:t>-</w:t>
      </w:r>
      <w:r>
        <w:rPr>
          <w:rFonts w:hint="eastAsia" w:ascii="Times New Roman" w:cs="Times New Roman"/>
          <w:bCs/>
          <w:spacing w:val="6"/>
          <w:sz w:val="24"/>
        </w:rPr>
        <w:t>1.</w:t>
      </w:r>
      <w:r>
        <w:rPr>
          <w:rFonts w:ascii="Times New Roman" w:cs="Times New Roman"/>
          <w:bCs/>
          <w:spacing w:val="6"/>
          <w:sz w:val="24"/>
        </w:rPr>
        <w:t>2km</w:t>
      </w:r>
      <w:r>
        <w:rPr>
          <w:rFonts w:hint="eastAsia" w:ascii="Times New Roman" w:cs="Times New Roman"/>
          <w:bCs/>
          <w:spacing w:val="6"/>
          <w:sz w:val="24"/>
        </w:rPr>
        <w:t>，下游约2</w:t>
      </w:r>
      <w:r>
        <w:rPr>
          <w:rFonts w:ascii="Times New Roman" w:cs="Times New Roman"/>
          <w:bCs/>
          <w:spacing w:val="6"/>
          <w:sz w:val="24"/>
        </w:rPr>
        <w:t>km</w:t>
      </w:r>
      <w:r>
        <w:rPr>
          <w:rFonts w:hint="eastAsia" w:ascii="Times New Roman" w:cs="Times New Roman"/>
          <w:bCs/>
          <w:spacing w:val="6"/>
          <w:sz w:val="24"/>
        </w:rPr>
        <w:t>范围内的不规则区域，面积约</w:t>
      </w:r>
      <w:r>
        <w:rPr>
          <w:rFonts w:ascii="Times New Roman" w:cs="Times New Roman"/>
          <w:bCs/>
          <w:spacing w:val="6"/>
          <w:sz w:val="24"/>
        </w:rPr>
        <w:t>6</w:t>
      </w:r>
      <w:r>
        <w:rPr>
          <w:rFonts w:hint="eastAsia" w:ascii="Times New Roman" w:cs="Times New Roman"/>
          <w:bCs/>
          <w:spacing w:val="6"/>
          <w:sz w:val="24"/>
        </w:rPr>
        <w:t>.8</w:t>
      </w:r>
      <w:r>
        <w:rPr>
          <w:rFonts w:ascii="Times New Roman" w:cs="Times New Roman"/>
          <w:bCs/>
          <w:spacing w:val="6"/>
          <w:sz w:val="24"/>
        </w:rPr>
        <w:t>km</w:t>
      </w:r>
      <w:r>
        <w:rPr>
          <w:rFonts w:ascii="Times New Roman" w:cs="Times New Roman"/>
          <w:bCs/>
          <w:spacing w:val="6"/>
          <w:sz w:val="24"/>
          <w:vertAlign w:val="superscript"/>
        </w:rPr>
        <w:t>2</w:t>
      </w:r>
      <w:r>
        <w:rPr>
          <w:rFonts w:hint="eastAsia" w:ascii="Times New Roman" w:cs="Times New Roman"/>
          <w:bCs/>
          <w:spacing w:val="6"/>
          <w:sz w:val="24"/>
        </w:rPr>
        <w:t>。地下水评价范围见图2.5-1。</w:t>
      </w:r>
    </w:p>
    <w:p>
      <w:pPr>
        <w:pStyle w:val="85"/>
        <w:spacing w:line="240" w:lineRule="auto"/>
        <w:ind w:firstLine="0" w:firstLineChars="0"/>
        <w:jc w:val="center"/>
        <w:rPr>
          <w:rFonts w:ascii="Times New Roman" w:cs="Times New Roman"/>
          <w:bCs/>
          <w:spacing w:val="6"/>
          <w:sz w:val="24"/>
        </w:rPr>
      </w:pPr>
      <w:r>
        <w:rPr>
          <w:rFonts w:hint="eastAsia"/>
          <w:bCs/>
          <w:spacing w:val="6"/>
          <w:sz w:val="24"/>
        </w:rPr>
        <w:drawing>
          <wp:inline distT="0" distB="0" distL="0" distR="0">
            <wp:extent cx="4876800" cy="447675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srcRect/>
                    <a:stretch>
                      <a:fillRect/>
                    </a:stretch>
                  </pic:blipFill>
                  <pic:spPr>
                    <a:xfrm>
                      <a:off x="0" y="0"/>
                      <a:ext cx="4876800" cy="4476750"/>
                    </a:xfrm>
                    <a:prstGeom prst="rect">
                      <a:avLst/>
                    </a:prstGeom>
                    <a:noFill/>
                    <a:ln w="9525">
                      <a:noFill/>
                      <a:miter lim="800000"/>
                      <a:headEnd/>
                      <a:tailEnd/>
                    </a:ln>
                  </pic:spPr>
                </pic:pic>
              </a:graphicData>
            </a:graphic>
          </wp:inline>
        </w:drawing>
      </w:r>
    </w:p>
    <w:p>
      <w:pPr>
        <w:pStyle w:val="85"/>
        <w:spacing w:line="480" w:lineRule="exact"/>
        <w:ind w:firstLine="0" w:firstLineChars="0"/>
        <w:jc w:val="center"/>
        <w:rPr>
          <w:rFonts w:ascii="黑体" w:hAnsi="黑体" w:eastAsia="黑体" w:cs="Times New Roman"/>
          <w:bCs/>
          <w:spacing w:val="6"/>
          <w:sz w:val="24"/>
        </w:rPr>
      </w:pPr>
      <w:r>
        <w:rPr>
          <w:rFonts w:hint="eastAsia" w:ascii="黑体" w:hAnsi="黑体" w:eastAsia="黑体" w:cs="Times New Roman"/>
          <w:bCs/>
          <w:spacing w:val="6"/>
          <w:sz w:val="24"/>
        </w:rPr>
        <w:t>图2.5-1  地下水评价范围图</w:t>
      </w:r>
    </w:p>
    <w:p>
      <w:pPr>
        <w:pStyle w:val="57"/>
        <w:keepNext/>
        <w:keepLines/>
        <w:spacing w:before="0" w:after="0" w:line="480" w:lineRule="exact"/>
        <w:ind w:firstLine="0" w:firstLineChars="0"/>
        <w:outlineLvl w:val="2"/>
        <w:rPr>
          <w:b/>
        </w:rPr>
      </w:pPr>
      <w:r>
        <w:rPr>
          <w:rFonts w:hint="eastAsia"/>
          <w:b/>
        </w:rPr>
        <w:t>2</w:t>
      </w:r>
      <w:r>
        <w:rPr>
          <w:b/>
        </w:rPr>
        <w:t>.</w:t>
      </w:r>
      <w:r>
        <w:rPr>
          <w:rFonts w:hint="eastAsia"/>
          <w:b/>
        </w:rPr>
        <w:t>5</w:t>
      </w:r>
      <w:r>
        <w:rPr>
          <w:b/>
        </w:rPr>
        <w:t>.</w:t>
      </w:r>
      <w:r>
        <w:rPr>
          <w:rFonts w:hint="eastAsia"/>
          <w:b/>
        </w:rPr>
        <w:t>4</w:t>
      </w:r>
      <w:r>
        <w:rPr>
          <w:rFonts w:hint="eastAsia" w:ascii="宋体" w:hAnsi="宋体"/>
          <w:b/>
          <w:bCs/>
          <w:kern w:val="0"/>
        </w:rPr>
        <w:t>声环境</w:t>
      </w:r>
    </w:p>
    <w:p>
      <w:pPr>
        <w:spacing w:line="480" w:lineRule="exact"/>
        <w:ind w:firstLine="496" w:firstLineChars="200"/>
        <w:rPr>
          <w:spacing w:val="4"/>
          <w:sz w:val="24"/>
          <w:szCs w:val="24"/>
        </w:rPr>
      </w:pPr>
      <w:r>
        <w:rPr>
          <w:spacing w:val="4"/>
          <w:sz w:val="24"/>
          <w:szCs w:val="24"/>
        </w:rPr>
        <w:t>按照《环境影响评价技术导则 声环境》（HJ2.4-2009）中评价等级划分的规定，本项目所在功能区属于适用于《声环境质量标准》（GB3096-2008）规定的</w:t>
      </w:r>
      <w:r>
        <w:rPr>
          <w:rFonts w:hint="eastAsia"/>
          <w:spacing w:val="4"/>
          <w:sz w:val="24"/>
          <w:szCs w:val="24"/>
        </w:rPr>
        <w:t>2</w:t>
      </w:r>
      <w:r>
        <w:rPr>
          <w:spacing w:val="4"/>
          <w:sz w:val="24"/>
          <w:szCs w:val="24"/>
        </w:rPr>
        <w:t>类区，项目建设前后噪声级增高量</w:t>
      </w:r>
      <w:r>
        <w:rPr>
          <w:rFonts w:hint="eastAsia"/>
          <w:spacing w:val="4"/>
          <w:sz w:val="24"/>
          <w:szCs w:val="24"/>
        </w:rPr>
        <w:t>在</w:t>
      </w:r>
      <w:r>
        <w:rPr>
          <w:spacing w:val="4"/>
          <w:sz w:val="24"/>
          <w:szCs w:val="24"/>
        </w:rPr>
        <w:t>3</w:t>
      </w:r>
      <w:r>
        <w:rPr>
          <w:rFonts w:hint="eastAsia"/>
          <w:spacing w:val="4"/>
          <w:sz w:val="24"/>
          <w:szCs w:val="24"/>
        </w:rPr>
        <w:t>~</w:t>
      </w:r>
      <w:r>
        <w:rPr>
          <w:spacing w:val="4"/>
          <w:sz w:val="24"/>
          <w:szCs w:val="24"/>
        </w:rPr>
        <w:t>5dB(A)，且受噪声影响的人口变化不大，故确定本项目声环境影响评价等级为二级。</w:t>
      </w:r>
    </w:p>
    <w:p>
      <w:pPr>
        <w:spacing w:line="480" w:lineRule="exact"/>
        <w:ind w:firstLine="496" w:firstLineChars="200"/>
        <w:rPr>
          <w:bCs/>
          <w:sz w:val="24"/>
          <w:szCs w:val="24"/>
        </w:rPr>
      </w:pPr>
      <w:r>
        <w:rPr>
          <w:spacing w:val="4"/>
          <w:sz w:val="24"/>
          <w:szCs w:val="24"/>
        </w:rPr>
        <w:t>声环境影响评价范围为厂界四周200m范围。</w:t>
      </w:r>
    </w:p>
    <w:p>
      <w:pPr>
        <w:pStyle w:val="57"/>
        <w:keepNext/>
        <w:keepLines/>
        <w:spacing w:before="0" w:after="0" w:line="480" w:lineRule="exact"/>
        <w:ind w:firstLine="0" w:firstLineChars="0"/>
        <w:outlineLvl w:val="2"/>
        <w:rPr>
          <w:b/>
        </w:rPr>
      </w:pPr>
      <w:r>
        <w:rPr>
          <w:rFonts w:hint="eastAsia"/>
          <w:b/>
        </w:rPr>
        <w:t>2</w:t>
      </w:r>
      <w:r>
        <w:rPr>
          <w:b/>
        </w:rPr>
        <w:t>.</w:t>
      </w:r>
      <w:r>
        <w:rPr>
          <w:rFonts w:hint="eastAsia"/>
          <w:b/>
        </w:rPr>
        <w:t>5</w:t>
      </w:r>
      <w:r>
        <w:rPr>
          <w:b/>
        </w:rPr>
        <w:t>.</w:t>
      </w:r>
      <w:r>
        <w:rPr>
          <w:rFonts w:hint="eastAsia"/>
          <w:b/>
        </w:rPr>
        <w:t>5</w:t>
      </w:r>
      <w:r>
        <w:rPr>
          <w:rFonts w:hint="eastAsia" w:ascii="宋体" w:hAnsi="宋体"/>
          <w:b/>
          <w:bCs/>
          <w:kern w:val="0"/>
        </w:rPr>
        <w:t>生态</w:t>
      </w:r>
    </w:p>
    <w:p>
      <w:pPr>
        <w:pStyle w:val="85"/>
        <w:spacing w:line="480" w:lineRule="exact"/>
        <w:ind w:firstLine="496"/>
        <w:rPr>
          <w:rFonts w:ascii="Times New Roman" w:hAnsi="Times New Roman" w:cs="Times New Roman"/>
          <w:spacing w:val="4"/>
          <w:sz w:val="24"/>
          <w:szCs w:val="24"/>
        </w:rPr>
      </w:pPr>
      <w:r>
        <w:rPr>
          <w:rFonts w:ascii="Times New Roman" w:hAnsi="Times New Roman" w:cs="Times New Roman"/>
          <w:spacing w:val="4"/>
          <w:sz w:val="24"/>
          <w:szCs w:val="24"/>
        </w:rPr>
        <w:t>根据《环境影响评价技术导则 生态影响》中关于生态环境影响评价等级的规定，结合评价范围，重点为厂址的生态环境现状，本项目工程占地范围</w:t>
      </w:r>
      <w:r>
        <w:rPr>
          <w:rFonts w:hint="eastAsia" w:ascii="Times New Roman" w:hAnsi="Times New Roman" w:cs="Times New Roman"/>
          <w:spacing w:val="4"/>
          <w:sz w:val="24"/>
          <w:szCs w:val="24"/>
        </w:rPr>
        <w:t>约</w:t>
      </w:r>
      <w:r>
        <w:rPr>
          <w:rFonts w:ascii="Times New Roman" w:hAnsi="Times New Roman" w:cs="Times New Roman"/>
          <w:spacing w:val="4"/>
          <w:sz w:val="24"/>
          <w:szCs w:val="24"/>
        </w:rPr>
        <w:t>为42000m</w:t>
      </w:r>
      <w:r>
        <w:rPr>
          <w:rFonts w:ascii="Times New Roman" w:hAnsi="Times New Roman" w:cs="Times New Roman"/>
          <w:spacing w:val="4"/>
          <w:sz w:val="24"/>
          <w:szCs w:val="24"/>
          <w:vertAlign w:val="superscript"/>
        </w:rPr>
        <w:t>2</w:t>
      </w:r>
      <w:r>
        <w:rPr>
          <w:rFonts w:ascii="Times New Roman" w:hAnsi="Times New Roman" w:cs="Times New Roman"/>
          <w:spacing w:val="4"/>
          <w:sz w:val="24"/>
          <w:szCs w:val="24"/>
        </w:rPr>
        <w:t>，小于2km</w:t>
      </w:r>
      <w:r>
        <w:rPr>
          <w:rFonts w:ascii="Times New Roman" w:hAnsi="Times New Roman" w:cs="Times New Roman"/>
          <w:spacing w:val="4"/>
          <w:sz w:val="24"/>
          <w:szCs w:val="24"/>
          <w:vertAlign w:val="superscript"/>
        </w:rPr>
        <w:t>2</w:t>
      </w:r>
      <w:r>
        <w:rPr>
          <w:rFonts w:ascii="Times New Roman" w:hAnsi="Times New Roman" w:cs="Times New Roman"/>
          <w:spacing w:val="4"/>
          <w:sz w:val="24"/>
          <w:szCs w:val="24"/>
        </w:rPr>
        <w:t>的一般区域，确定本次生态环境影响评价等级为三级评价。</w:t>
      </w:r>
    </w:p>
    <w:p>
      <w:pPr>
        <w:pStyle w:val="85"/>
        <w:spacing w:line="480" w:lineRule="exact"/>
        <w:ind w:firstLine="496"/>
        <w:rPr>
          <w:rFonts w:ascii="Times New Roman" w:hAnsi="Times New Roman" w:cs="Times New Roman"/>
          <w:spacing w:val="4"/>
          <w:sz w:val="24"/>
          <w:szCs w:val="24"/>
        </w:rPr>
      </w:pPr>
      <w:r>
        <w:rPr>
          <w:rFonts w:ascii="Times New Roman" w:hAnsi="Times New Roman" w:cs="Times New Roman"/>
          <w:spacing w:val="4"/>
          <w:sz w:val="24"/>
          <w:szCs w:val="24"/>
        </w:rPr>
        <w:t>评价范围</w:t>
      </w:r>
      <w:r>
        <w:rPr>
          <w:rFonts w:hint="eastAsia" w:ascii="Times New Roman" w:hAnsi="Times New Roman" w:cs="Times New Roman"/>
          <w:spacing w:val="4"/>
          <w:sz w:val="24"/>
          <w:szCs w:val="24"/>
        </w:rPr>
        <w:t>：</w:t>
      </w:r>
      <w:bookmarkStart w:id="44" w:name="_Hlk8220316"/>
      <w:r>
        <w:rPr>
          <w:rFonts w:ascii="Times New Roman" w:hAnsi="Times New Roman" w:cs="Times New Roman"/>
          <w:spacing w:val="4"/>
          <w:sz w:val="24"/>
          <w:szCs w:val="24"/>
        </w:rPr>
        <w:t>厂界</w:t>
      </w:r>
      <w:r>
        <w:rPr>
          <w:rFonts w:hint="eastAsia" w:ascii="Times New Roman" w:hAnsi="Times New Roman" w:cs="Times New Roman"/>
          <w:spacing w:val="4"/>
          <w:sz w:val="24"/>
          <w:szCs w:val="24"/>
        </w:rPr>
        <w:t>外5</w:t>
      </w:r>
      <w:r>
        <w:rPr>
          <w:rFonts w:ascii="Times New Roman" w:hAnsi="Times New Roman" w:cs="Times New Roman"/>
          <w:spacing w:val="4"/>
          <w:sz w:val="24"/>
          <w:szCs w:val="24"/>
        </w:rPr>
        <w:t>00m范围</w:t>
      </w:r>
      <w:bookmarkEnd w:id="44"/>
      <w:r>
        <w:rPr>
          <w:rFonts w:ascii="Times New Roman" w:hAnsi="Times New Roman" w:cs="Times New Roman"/>
          <w:spacing w:val="4"/>
          <w:sz w:val="24"/>
          <w:szCs w:val="24"/>
        </w:rPr>
        <w:t>。</w:t>
      </w:r>
    </w:p>
    <w:p>
      <w:pPr>
        <w:pStyle w:val="57"/>
        <w:keepNext/>
        <w:keepLines/>
        <w:spacing w:before="0" w:after="0" w:line="480" w:lineRule="exact"/>
        <w:ind w:firstLine="0" w:firstLineChars="0"/>
        <w:outlineLvl w:val="2"/>
        <w:rPr>
          <w:b/>
        </w:rPr>
      </w:pPr>
      <w:r>
        <w:rPr>
          <w:rFonts w:hint="eastAsia"/>
          <w:b/>
        </w:rPr>
        <w:t>2</w:t>
      </w:r>
      <w:r>
        <w:rPr>
          <w:b/>
        </w:rPr>
        <w:t>.</w:t>
      </w:r>
      <w:r>
        <w:rPr>
          <w:rFonts w:hint="eastAsia"/>
          <w:b/>
        </w:rPr>
        <w:t>5</w:t>
      </w:r>
      <w:r>
        <w:rPr>
          <w:b/>
        </w:rPr>
        <w:t>.</w:t>
      </w:r>
      <w:r>
        <w:rPr>
          <w:rFonts w:hint="eastAsia"/>
          <w:b/>
        </w:rPr>
        <w:t>6</w:t>
      </w:r>
      <w:r>
        <w:rPr>
          <w:rFonts w:hint="eastAsia" w:ascii="宋体" w:hAnsi="宋体"/>
          <w:b/>
          <w:bCs/>
          <w:kern w:val="0"/>
        </w:rPr>
        <w:t>土壤</w:t>
      </w:r>
    </w:p>
    <w:p>
      <w:pPr>
        <w:spacing w:line="480" w:lineRule="exact"/>
        <w:rPr>
          <w:b/>
          <w:bCs/>
          <w:sz w:val="24"/>
          <w:szCs w:val="24"/>
        </w:rPr>
      </w:pPr>
      <w:r>
        <w:rPr>
          <w:b/>
          <w:bCs/>
          <w:sz w:val="24"/>
          <w:szCs w:val="24"/>
        </w:rPr>
        <w:t>1</w:t>
      </w:r>
      <w:r>
        <w:rPr>
          <w:rFonts w:hint="eastAsia"/>
          <w:b/>
          <w:bCs/>
          <w:sz w:val="24"/>
          <w:szCs w:val="24"/>
        </w:rPr>
        <w:t>、土壤环境影响评价项目类别识别</w:t>
      </w:r>
    </w:p>
    <w:p>
      <w:pPr>
        <w:spacing w:line="480" w:lineRule="exact"/>
        <w:ind w:firstLine="482"/>
        <w:rPr>
          <w:bCs/>
          <w:sz w:val="24"/>
          <w:szCs w:val="24"/>
        </w:rPr>
      </w:pPr>
      <w:r>
        <w:rPr>
          <w:rFonts w:hint="eastAsia"/>
          <w:bCs/>
          <w:sz w:val="24"/>
          <w:szCs w:val="24"/>
        </w:rPr>
        <w:t>本项目所属的行业类别为农林牧渔业，本项目年出栏肉鸡</w:t>
      </w:r>
      <w:r>
        <w:rPr>
          <w:bCs/>
          <w:sz w:val="24"/>
          <w:szCs w:val="24"/>
        </w:rPr>
        <w:t>140</w:t>
      </w:r>
      <w:r>
        <w:rPr>
          <w:rFonts w:hint="eastAsia"/>
          <w:bCs/>
          <w:sz w:val="24"/>
          <w:szCs w:val="24"/>
        </w:rPr>
        <w:t>万只，折算猪约为</w:t>
      </w:r>
      <w:r>
        <w:rPr>
          <w:bCs/>
          <w:sz w:val="24"/>
          <w:szCs w:val="24"/>
        </w:rPr>
        <w:t>23333</w:t>
      </w:r>
      <w:r>
        <w:rPr>
          <w:rFonts w:hint="eastAsia"/>
          <w:bCs/>
          <w:sz w:val="24"/>
          <w:szCs w:val="24"/>
        </w:rPr>
        <w:t>头，属于土壤环境影响评价项目类别的</w:t>
      </w:r>
      <w:r>
        <w:rPr>
          <w:rFonts w:hint="eastAsia" w:ascii="宋体" w:hAnsi="宋体" w:cs="宋体"/>
          <w:bCs/>
          <w:sz w:val="24"/>
          <w:szCs w:val="24"/>
        </w:rPr>
        <w:t>Ⅲ</w:t>
      </w:r>
      <w:r>
        <w:rPr>
          <w:rFonts w:hint="eastAsia"/>
          <w:bCs/>
          <w:sz w:val="24"/>
          <w:szCs w:val="24"/>
        </w:rPr>
        <w:t>类项目。</w:t>
      </w:r>
    </w:p>
    <w:p>
      <w:pPr>
        <w:spacing w:line="480" w:lineRule="exact"/>
        <w:rPr>
          <w:b/>
          <w:bCs/>
          <w:sz w:val="24"/>
          <w:szCs w:val="24"/>
        </w:rPr>
      </w:pPr>
      <w:r>
        <w:rPr>
          <w:b/>
          <w:bCs/>
          <w:sz w:val="24"/>
          <w:szCs w:val="24"/>
        </w:rPr>
        <w:t>2</w:t>
      </w:r>
      <w:r>
        <w:rPr>
          <w:rFonts w:hint="eastAsia"/>
          <w:b/>
          <w:bCs/>
          <w:sz w:val="24"/>
          <w:szCs w:val="24"/>
        </w:rPr>
        <w:t>、土壤环境影响类型与影响途经识别</w:t>
      </w:r>
    </w:p>
    <w:p>
      <w:pPr>
        <w:spacing w:line="480" w:lineRule="exact"/>
        <w:ind w:firstLine="482"/>
        <w:rPr>
          <w:bCs/>
          <w:sz w:val="24"/>
          <w:szCs w:val="24"/>
        </w:rPr>
      </w:pPr>
      <w:r>
        <w:rPr>
          <w:rFonts w:hint="eastAsia" w:ascii="宋体" w:hAnsi="宋体"/>
          <w:bCs/>
          <w:sz w:val="24"/>
          <w:szCs w:val="24"/>
        </w:rPr>
        <w:t>本项目</w:t>
      </w:r>
      <w:r>
        <w:rPr>
          <w:rFonts w:hint="eastAsia"/>
          <w:bCs/>
          <w:sz w:val="24"/>
          <w:szCs w:val="24"/>
        </w:rPr>
        <w:t>土壤环境影响类型与影响途经识别见下表。</w:t>
      </w:r>
    </w:p>
    <w:p>
      <w:pPr>
        <w:spacing w:line="480" w:lineRule="exact"/>
        <w:jc w:val="center"/>
        <w:rPr>
          <w:rFonts w:ascii="黑体" w:hAnsi="黑体" w:eastAsia="黑体"/>
          <w:bCs/>
          <w:sz w:val="24"/>
          <w:szCs w:val="24"/>
        </w:rPr>
      </w:pPr>
      <w:r>
        <w:rPr>
          <w:rFonts w:hint="eastAsia" w:ascii="黑体" w:hAnsi="黑体" w:eastAsia="黑体"/>
          <w:bCs/>
          <w:sz w:val="24"/>
          <w:szCs w:val="24"/>
        </w:rPr>
        <w:t>表2.5-5  本项目土壤环境影响类型与影响途经识别表</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89"/>
        <w:gridCol w:w="1789"/>
        <w:gridCol w:w="1789"/>
        <w:gridCol w:w="1789"/>
        <w:gridCol w:w="179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不同时段</w:t>
            </w:r>
          </w:p>
        </w:tc>
        <w:tc>
          <w:tcPr>
            <w:tcW w:w="7157"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污染影响型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jc w:val="left"/>
              <w:rPr>
                <w:rFonts w:ascii="宋体" w:hAnsi="宋体"/>
                <w:bCs/>
                <w:szCs w:val="24"/>
              </w:rPr>
            </w:pP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大气沉降</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地面漫流</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垂直入渗</w:t>
            </w:r>
          </w:p>
        </w:tc>
        <w:tc>
          <w:tcPr>
            <w:tcW w:w="179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其他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建设期</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79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运营期</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MS Mincho" w:hAnsi="MS Mincho" w:eastAsia="MS Mincho" w:cs="MS Mincho"/>
                <w:bCs/>
                <w:szCs w:val="24"/>
              </w:rPr>
              <w:t>✔</w:t>
            </w:r>
          </w:p>
        </w:tc>
        <w:tc>
          <w:tcPr>
            <w:tcW w:w="179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服务期满后</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78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79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r>
    </w:tbl>
    <w:p>
      <w:pPr>
        <w:spacing w:line="480" w:lineRule="exact"/>
        <w:rPr>
          <w:b/>
          <w:bCs/>
          <w:sz w:val="24"/>
          <w:szCs w:val="24"/>
        </w:rPr>
      </w:pPr>
      <w:r>
        <w:rPr>
          <w:rFonts w:hint="eastAsia"/>
          <w:b/>
          <w:bCs/>
          <w:sz w:val="24"/>
          <w:szCs w:val="24"/>
        </w:rPr>
        <w:t>3、土壤环境影响源与影响因子识别</w:t>
      </w:r>
    </w:p>
    <w:p>
      <w:pPr>
        <w:spacing w:line="480" w:lineRule="exact"/>
        <w:ind w:firstLine="482"/>
        <w:rPr>
          <w:bCs/>
          <w:sz w:val="24"/>
          <w:szCs w:val="24"/>
        </w:rPr>
      </w:pPr>
      <w:r>
        <w:rPr>
          <w:rFonts w:hint="eastAsia" w:ascii="宋体" w:hAnsi="宋体"/>
          <w:bCs/>
          <w:sz w:val="24"/>
          <w:szCs w:val="24"/>
        </w:rPr>
        <w:t>本项目</w:t>
      </w:r>
      <w:r>
        <w:rPr>
          <w:rFonts w:hint="eastAsia"/>
          <w:bCs/>
          <w:sz w:val="24"/>
          <w:szCs w:val="24"/>
        </w:rPr>
        <w:t>土壤环境影响源与影响因子识别见下表。</w:t>
      </w:r>
    </w:p>
    <w:p>
      <w:pPr>
        <w:spacing w:line="480" w:lineRule="exact"/>
        <w:jc w:val="center"/>
        <w:rPr>
          <w:rFonts w:ascii="黑体" w:hAnsi="黑体" w:eastAsia="黑体"/>
          <w:bCs/>
          <w:sz w:val="24"/>
          <w:szCs w:val="24"/>
        </w:rPr>
      </w:pPr>
      <w:r>
        <w:rPr>
          <w:rFonts w:hint="eastAsia" w:ascii="黑体" w:hAnsi="黑体" w:eastAsia="黑体"/>
          <w:bCs/>
          <w:sz w:val="24"/>
          <w:szCs w:val="24"/>
        </w:rPr>
        <w:t>表2.5-6  本项目土壤环境影响源与影响因子识别表</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1843"/>
        <w:gridCol w:w="1276"/>
        <w:gridCol w:w="1842"/>
        <w:gridCol w:w="1276"/>
        <w:gridCol w:w="13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38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污染源</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工艺流程/节点</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污染途经</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全部污染物指标</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特征因子</w:t>
            </w:r>
          </w:p>
        </w:tc>
        <w:tc>
          <w:tcPr>
            <w:tcW w:w="13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38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鸡舍</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干清粪跌落、冲洗</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垂直入渗</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bCs/>
                <w:szCs w:val="24"/>
              </w:rPr>
            </w:pPr>
            <w:r>
              <w:rPr>
                <w:rFonts w:hint="eastAsia"/>
                <w:bCs/>
                <w:szCs w:val="24"/>
              </w:rPr>
              <w:t>鸡粪、粪污水</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3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间断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38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填埋井</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病死鸡填埋</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垂直入渗</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bCs/>
                <w:szCs w:val="24"/>
              </w:rPr>
            </w:pPr>
            <w:r>
              <w:rPr>
                <w:rFonts w:hint="eastAsia"/>
                <w:bCs/>
                <w:szCs w:val="24"/>
              </w:rPr>
              <w:t>病死鸡尸体</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3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38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污水处理站</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污水收集池</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垂直入渗</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bCs/>
                <w:szCs w:val="24"/>
              </w:rPr>
            </w:pPr>
            <w:r>
              <w:rPr>
                <w:rFonts w:hint="eastAsia"/>
                <w:bCs/>
                <w:szCs w:val="24"/>
              </w:rPr>
              <w:t>污水</w:t>
            </w:r>
          </w:p>
        </w:tc>
        <w:tc>
          <w:tcPr>
            <w:tcW w:w="12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w:t>
            </w:r>
          </w:p>
        </w:tc>
        <w:tc>
          <w:tcPr>
            <w:tcW w:w="13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宋体" w:hAnsi="宋体"/>
                <w:bCs/>
                <w:szCs w:val="24"/>
              </w:rPr>
            </w:pPr>
            <w:r>
              <w:rPr>
                <w:rFonts w:hint="eastAsia" w:ascii="宋体" w:hAnsi="宋体"/>
                <w:bCs/>
                <w:szCs w:val="24"/>
              </w:rPr>
              <w:t>事故</w:t>
            </w:r>
          </w:p>
        </w:tc>
      </w:tr>
    </w:tbl>
    <w:p>
      <w:pPr>
        <w:spacing w:line="480" w:lineRule="exact"/>
        <w:rPr>
          <w:b/>
          <w:bCs/>
          <w:sz w:val="24"/>
          <w:szCs w:val="24"/>
        </w:rPr>
      </w:pPr>
      <w:r>
        <w:rPr>
          <w:rFonts w:hint="eastAsia"/>
          <w:b/>
          <w:bCs/>
          <w:sz w:val="24"/>
          <w:szCs w:val="24"/>
        </w:rPr>
        <w:t>4、土壤环境影响评价等级判定</w:t>
      </w:r>
    </w:p>
    <w:p>
      <w:pPr>
        <w:pStyle w:val="6"/>
        <w:spacing w:line="480" w:lineRule="exact"/>
        <w:ind w:firstLine="480" w:firstLineChars="200"/>
        <w:jc w:val="left"/>
        <w:rPr>
          <w:sz w:val="24"/>
        </w:rPr>
      </w:pPr>
      <w:r>
        <w:rPr>
          <w:rFonts w:hint="eastAsia"/>
          <w:sz w:val="24"/>
        </w:rPr>
        <w:t>根据《环境影响评价技术导则</w:t>
      </w:r>
      <w:r>
        <w:rPr>
          <w:sz w:val="24"/>
        </w:rPr>
        <w:t>--</w:t>
      </w:r>
      <w:r>
        <w:rPr>
          <w:rFonts w:hint="eastAsia"/>
          <w:sz w:val="24"/>
        </w:rPr>
        <w:t>土壤环境（试行）》（</w:t>
      </w:r>
      <w:r>
        <w:rPr>
          <w:sz w:val="24"/>
        </w:rPr>
        <w:t>HJ964-2018</w:t>
      </w:r>
      <w:r>
        <w:rPr>
          <w:rFonts w:hint="eastAsia"/>
          <w:sz w:val="24"/>
        </w:rPr>
        <w:t>）中规定，建设项目占地规模为小型（</w:t>
      </w:r>
      <w:r>
        <w:rPr>
          <w:rFonts w:ascii="Arial" w:hAnsi="Arial" w:cs="Arial"/>
          <w:sz w:val="24"/>
        </w:rPr>
        <w:t>≤</w:t>
      </w:r>
      <w:r>
        <w:rPr>
          <w:sz w:val="24"/>
        </w:rPr>
        <w:t>5hm</w:t>
      </w:r>
      <w:r>
        <w:rPr>
          <w:sz w:val="24"/>
          <w:vertAlign w:val="superscript"/>
        </w:rPr>
        <w:t>2</w:t>
      </w:r>
      <w:r>
        <w:rPr>
          <w:rFonts w:hint="eastAsia"/>
          <w:sz w:val="24"/>
        </w:rPr>
        <w:t>）。建设项目周边存在耕地、居民区、学校等土壤环境敏感目标，因此污染影响型敏感程度分级为敏感。</w:t>
      </w:r>
    </w:p>
    <w:p>
      <w:pPr>
        <w:spacing w:line="480" w:lineRule="exact"/>
        <w:ind w:firstLine="480" w:firstLineChars="200"/>
        <w:jc w:val="left"/>
        <w:rPr>
          <w:rFonts w:ascii="宋体" w:hAnsi="宋体"/>
          <w:bCs/>
          <w:sz w:val="24"/>
          <w:szCs w:val="24"/>
        </w:rPr>
      </w:pPr>
      <w:r>
        <w:rPr>
          <w:rFonts w:hint="eastAsia"/>
          <w:sz w:val="24"/>
        </w:rPr>
        <w:t>根据土壤环境影响评价项目类别、占地规模与敏感程度划分评价工作等级，详见下表所示：</w:t>
      </w:r>
    </w:p>
    <w:p>
      <w:pPr>
        <w:spacing w:line="500" w:lineRule="exact"/>
        <w:ind w:firstLine="225" w:firstLineChars="94"/>
        <w:jc w:val="center"/>
        <w:rPr>
          <w:rFonts w:ascii="黑体" w:hAnsi="黑体" w:eastAsia="黑体"/>
          <w:sz w:val="24"/>
          <w:szCs w:val="21"/>
        </w:rPr>
      </w:pPr>
      <w:r>
        <w:rPr>
          <w:rFonts w:hint="eastAsia" w:ascii="黑体" w:hAnsi="黑体" w:eastAsia="黑体"/>
          <w:sz w:val="24"/>
          <w:szCs w:val="21"/>
        </w:rPr>
        <w:t>表2.5-7  评价工作等级判别表</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53"/>
        <w:gridCol w:w="719"/>
        <w:gridCol w:w="721"/>
        <w:gridCol w:w="701"/>
        <w:gridCol w:w="681"/>
        <w:gridCol w:w="721"/>
        <w:gridCol w:w="741"/>
        <w:gridCol w:w="681"/>
        <w:gridCol w:w="702"/>
        <w:gridCol w:w="7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464" w:type="pct"/>
            <w:vMerge w:val="restar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占地规模</w:t>
            </w:r>
          </w:p>
          <w:p>
            <w:pPr>
              <w:pStyle w:val="6"/>
              <w:widowControl/>
              <w:ind w:firstLine="0"/>
              <w:jc w:val="center"/>
              <w:rPr>
                <w:sz w:val="21"/>
                <w:szCs w:val="21"/>
              </w:rPr>
            </w:pPr>
            <w:r>
              <w:rPr>
                <w:rFonts w:hint="eastAsia"/>
                <w:sz w:val="21"/>
                <w:szCs w:val="21"/>
              </w:rPr>
              <w:t>评价工作等级</w:t>
            </w:r>
          </w:p>
          <w:p>
            <w:pPr>
              <w:pStyle w:val="6"/>
              <w:widowControl/>
              <w:ind w:firstLine="0"/>
              <w:jc w:val="center"/>
              <w:rPr>
                <w:sz w:val="21"/>
                <w:szCs w:val="21"/>
              </w:rPr>
            </w:pPr>
            <w:r>
              <w:rPr>
                <w:rFonts w:hint="eastAsia"/>
                <w:sz w:val="21"/>
                <w:szCs w:val="21"/>
              </w:rPr>
              <w:t>敏感程度</w:t>
            </w:r>
          </w:p>
        </w:tc>
        <w:tc>
          <w:tcPr>
            <w:tcW w:w="1182" w:type="pct"/>
            <w:gridSpan w:val="3"/>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ascii="宋体" w:hAnsi="宋体" w:cs="宋体"/>
                <w:b/>
                <w:bCs/>
                <w:sz w:val="21"/>
                <w:szCs w:val="21"/>
              </w:rPr>
              <w:t>Ⅰ类</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ascii="宋体" w:hAnsi="宋体" w:cs="宋体"/>
                <w:b/>
                <w:bCs/>
                <w:sz w:val="21"/>
                <w:szCs w:val="21"/>
              </w:rPr>
              <w:t>Ⅱ类</w:t>
            </w:r>
          </w:p>
        </w:tc>
        <w:tc>
          <w:tcPr>
            <w:tcW w:w="1171" w:type="pct"/>
            <w:gridSpan w:val="3"/>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ascii="宋体" w:hAnsi="宋体" w:cs="宋体"/>
                <w:b/>
                <w:bCs/>
                <w:sz w:val="21"/>
                <w:szCs w:val="21"/>
              </w:rPr>
              <w:t>Ⅲ类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39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大</w:t>
            </w:r>
          </w:p>
        </w:tc>
        <w:tc>
          <w:tcPr>
            <w:tcW w:w="39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中</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小</w:t>
            </w:r>
          </w:p>
        </w:tc>
        <w:tc>
          <w:tcPr>
            <w:tcW w:w="376"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大</w:t>
            </w:r>
          </w:p>
        </w:tc>
        <w:tc>
          <w:tcPr>
            <w:tcW w:w="39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中</w:t>
            </w:r>
          </w:p>
        </w:tc>
        <w:tc>
          <w:tcPr>
            <w:tcW w:w="409"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小</w:t>
            </w:r>
          </w:p>
        </w:tc>
        <w:tc>
          <w:tcPr>
            <w:tcW w:w="376"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大</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中</w:t>
            </w:r>
          </w:p>
        </w:tc>
        <w:tc>
          <w:tcPr>
            <w:tcW w:w="40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464"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敏感</w:t>
            </w:r>
          </w:p>
        </w:tc>
        <w:tc>
          <w:tcPr>
            <w:tcW w:w="39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一级</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一级</w:t>
            </w:r>
          </w:p>
        </w:tc>
        <w:tc>
          <w:tcPr>
            <w:tcW w:w="38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一级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409"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二级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8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408"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szCs w:val="21"/>
              </w:rPr>
            </w:pPr>
            <w:r>
              <w:rPr>
                <w:rFonts w:hint="eastAsia"/>
                <w:szCs w:val="21"/>
              </w:rPr>
              <w:t>三级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464"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较敏感</w:t>
            </w:r>
          </w:p>
        </w:tc>
        <w:tc>
          <w:tcPr>
            <w:tcW w:w="39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一级</w:t>
            </w:r>
          </w:p>
        </w:tc>
        <w:tc>
          <w:tcPr>
            <w:tcW w:w="39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一级</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二级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409"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三级</w:t>
            </w:r>
          </w:p>
        </w:tc>
        <w:tc>
          <w:tcPr>
            <w:tcW w:w="40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464"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不敏感</w:t>
            </w:r>
          </w:p>
        </w:tc>
        <w:tc>
          <w:tcPr>
            <w:tcW w:w="39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一级</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8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9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三级</w:t>
            </w:r>
          </w:p>
        </w:tc>
        <w:tc>
          <w:tcPr>
            <w:tcW w:w="409"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sz w:val="21"/>
                <w:szCs w:val="21"/>
              </w:rPr>
              <w:t>-</w:t>
            </w:r>
          </w:p>
        </w:tc>
        <w:tc>
          <w:tcPr>
            <w:tcW w:w="40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w:t>
            </w:r>
          </w:p>
        </w:tc>
      </w:tr>
    </w:tbl>
    <w:p>
      <w:pPr>
        <w:pStyle w:val="85"/>
        <w:spacing w:line="480" w:lineRule="exact"/>
        <w:ind w:firstLine="480"/>
        <w:rPr>
          <w:rFonts w:ascii="Times New Roman" w:hAnsi="Times New Roman" w:cs="Times New Roman"/>
          <w:spacing w:val="4"/>
          <w:sz w:val="24"/>
          <w:szCs w:val="24"/>
        </w:rPr>
      </w:pPr>
      <w:r>
        <w:rPr>
          <w:rFonts w:ascii="Times New Roman" w:cs="Times New Roman"/>
          <w:kern w:val="0"/>
          <w:sz w:val="24"/>
          <w:szCs w:val="32"/>
        </w:rPr>
        <w:t>根据上表可知，本项目</w:t>
      </w:r>
      <w:r>
        <w:rPr>
          <w:rFonts w:ascii="Times New Roman" w:cs="Times New Roman"/>
          <w:kern w:val="0"/>
          <w:sz w:val="24"/>
        </w:rPr>
        <w:t>评价工作等级为三级。现状调查范围为占地范围内以及占地范围外</w:t>
      </w:r>
      <w:r>
        <w:rPr>
          <w:rFonts w:ascii="Times New Roman" w:hAnsi="Times New Roman" w:cs="Times New Roman"/>
          <w:kern w:val="0"/>
          <w:sz w:val="24"/>
        </w:rPr>
        <w:t>0.05km</w:t>
      </w:r>
      <w:r>
        <w:rPr>
          <w:rFonts w:ascii="Times New Roman" w:cs="Times New Roman"/>
          <w:kern w:val="0"/>
          <w:sz w:val="24"/>
        </w:rPr>
        <w:t>。</w:t>
      </w:r>
    </w:p>
    <w:p>
      <w:pPr>
        <w:pStyle w:val="57"/>
        <w:keepNext/>
        <w:keepLines/>
        <w:spacing w:before="0" w:after="0" w:line="480" w:lineRule="exact"/>
        <w:ind w:firstLine="0" w:firstLineChars="0"/>
        <w:outlineLvl w:val="2"/>
        <w:rPr>
          <w:b/>
        </w:rPr>
      </w:pPr>
      <w:r>
        <w:rPr>
          <w:rFonts w:hint="eastAsia"/>
          <w:b/>
        </w:rPr>
        <w:t>2</w:t>
      </w:r>
      <w:r>
        <w:rPr>
          <w:b/>
        </w:rPr>
        <w:t>.</w:t>
      </w:r>
      <w:r>
        <w:rPr>
          <w:rFonts w:hint="eastAsia"/>
          <w:b/>
        </w:rPr>
        <w:t>5</w:t>
      </w:r>
      <w:r>
        <w:rPr>
          <w:b/>
        </w:rPr>
        <w:t>.</w:t>
      </w:r>
      <w:r>
        <w:rPr>
          <w:rFonts w:hint="eastAsia"/>
          <w:b/>
        </w:rPr>
        <w:t>7</w:t>
      </w:r>
      <w:r>
        <w:rPr>
          <w:rFonts w:hint="eastAsia" w:ascii="宋体" w:hAnsi="宋体"/>
          <w:b/>
          <w:bCs/>
          <w:kern w:val="0"/>
        </w:rPr>
        <w:t>环境风险</w:t>
      </w:r>
    </w:p>
    <w:p>
      <w:pPr>
        <w:spacing w:line="480" w:lineRule="exact"/>
        <w:ind w:firstLine="480" w:firstLineChars="200"/>
        <w:rPr>
          <w:sz w:val="24"/>
        </w:rPr>
      </w:pPr>
      <w:bookmarkStart w:id="45" w:name="_Hlk8220380"/>
      <w:r>
        <w:rPr>
          <w:rFonts w:hint="eastAsia"/>
          <w:bCs/>
          <w:kern w:val="0"/>
          <w:sz w:val="24"/>
          <w:szCs w:val="24"/>
        </w:rPr>
        <w:t>根据《建设项目环境风险评价技术导则》（</w:t>
      </w:r>
      <w:r>
        <w:rPr>
          <w:bCs/>
          <w:kern w:val="0"/>
          <w:sz w:val="24"/>
          <w:szCs w:val="24"/>
        </w:rPr>
        <w:t>HJ169-2018</w:t>
      </w:r>
      <w:r>
        <w:rPr>
          <w:rFonts w:hint="eastAsia"/>
          <w:bCs/>
          <w:kern w:val="0"/>
          <w:sz w:val="24"/>
          <w:szCs w:val="24"/>
        </w:rPr>
        <w:t>）的有关规定，</w:t>
      </w:r>
      <w:r>
        <w:rPr>
          <w:rFonts w:hint="eastAsia"/>
          <w:sz w:val="24"/>
        </w:rPr>
        <w:t>环境风险评价工作等级划分为一级、二级、三级。根据建设项目涉及的物质及工艺系统危险性和所在地的环境敏感性确定环境风险潜势，按照下表确定评价工作等级。</w:t>
      </w:r>
    </w:p>
    <w:p>
      <w:pPr>
        <w:spacing w:line="480" w:lineRule="exact"/>
        <w:jc w:val="center"/>
        <w:rPr>
          <w:rFonts w:ascii="黑体" w:hAnsi="黑体" w:eastAsia="黑体"/>
          <w:sz w:val="24"/>
        </w:rPr>
      </w:pPr>
      <w:r>
        <w:rPr>
          <w:rFonts w:hint="eastAsia" w:ascii="黑体" w:hAnsi="黑体" w:eastAsia="黑体"/>
          <w:sz w:val="24"/>
        </w:rPr>
        <w:t>表</w:t>
      </w:r>
      <w:r>
        <w:rPr>
          <w:rFonts w:ascii="黑体" w:hAnsi="黑体" w:eastAsia="黑体"/>
          <w:sz w:val="24"/>
        </w:rPr>
        <w:t>2.5-</w:t>
      </w:r>
      <w:r>
        <w:rPr>
          <w:rFonts w:hint="eastAsia" w:ascii="黑体" w:hAnsi="黑体" w:eastAsia="黑体"/>
          <w:sz w:val="24"/>
        </w:rPr>
        <w:t>8</w:t>
      </w:r>
      <w:r>
        <w:rPr>
          <w:rFonts w:ascii="黑体" w:hAnsi="黑体" w:eastAsia="黑体"/>
          <w:sz w:val="24"/>
        </w:rPr>
        <w:t xml:space="preserve">  </w:t>
      </w:r>
      <w:r>
        <w:rPr>
          <w:rFonts w:hint="eastAsia" w:ascii="黑体" w:hAnsi="黑体" w:eastAsia="黑体"/>
          <w:sz w:val="24"/>
        </w:rPr>
        <w:t>环境风险评价工作等级划分表（H</w:t>
      </w:r>
      <w:r>
        <w:rPr>
          <w:rFonts w:ascii="黑体" w:hAnsi="黑体" w:eastAsia="黑体"/>
          <w:sz w:val="24"/>
        </w:rPr>
        <w:t>J169-2018</w:t>
      </w:r>
      <w:r>
        <w:rPr>
          <w:rFonts w:hint="eastAsia" w:ascii="黑体" w:hAnsi="黑体" w:eastAsia="黑体"/>
          <w:sz w:val="24"/>
        </w:rPr>
        <w:t>）</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89"/>
        <w:gridCol w:w="1789"/>
        <w:gridCol w:w="1789"/>
        <w:gridCol w:w="1789"/>
        <w:gridCol w:w="179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vAlign w:val="center"/>
          </w:tcPr>
          <w:p>
            <w:pPr>
              <w:jc w:val="center"/>
              <w:rPr>
                <w:szCs w:val="21"/>
              </w:rPr>
            </w:pPr>
            <w:r>
              <w:rPr>
                <w:rFonts w:hint="eastAsia"/>
                <w:szCs w:val="21"/>
              </w:rPr>
              <w:t>环境风险潜势</w:t>
            </w:r>
          </w:p>
        </w:tc>
        <w:tc>
          <w:tcPr>
            <w:tcW w:w="1789" w:type="dxa"/>
            <w:vAlign w:val="center"/>
          </w:tcPr>
          <w:p>
            <w:pPr>
              <w:jc w:val="center"/>
              <w:rPr>
                <w:szCs w:val="21"/>
              </w:rPr>
            </w:pPr>
            <w:r>
              <w:rPr>
                <w:szCs w:val="21"/>
              </w:rPr>
              <w:t>Ⅳ</w:t>
            </w:r>
            <w:r>
              <w:rPr>
                <w:rFonts w:hint="eastAsia"/>
                <w:szCs w:val="21"/>
              </w:rPr>
              <w:t>、</w:t>
            </w:r>
            <w:r>
              <w:rPr>
                <w:szCs w:val="21"/>
              </w:rPr>
              <w:t>Ⅳ</w:t>
            </w:r>
            <w:r>
              <w:rPr>
                <w:szCs w:val="21"/>
                <w:vertAlign w:val="superscript"/>
              </w:rPr>
              <w:t>+</w:t>
            </w:r>
          </w:p>
        </w:tc>
        <w:tc>
          <w:tcPr>
            <w:tcW w:w="1789" w:type="dxa"/>
            <w:vAlign w:val="center"/>
          </w:tcPr>
          <w:p>
            <w:pPr>
              <w:jc w:val="center"/>
              <w:rPr>
                <w:szCs w:val="21"/>
              </w:rPr>
            </w:pPr>
            <w:r>
              <w:rPr>
                <w:szCs w:val="21"/>
              </w:rPr>
              <w:t>Ⅲ</w:t>
            </w:r>
          </w:p>
        </w:tc>
        <w:tc>
          <w:tcPr>
            <w:tcW w:w="1789" w:type="dxa"/>
            <w:vAlign w:val="center"/>
          </w:tcPr>
          <w:p>
            <w:pPr>
              <w:jc w:val="center"/>
              <w:rPr>
                <w:szCs w:val="21"/>
              </w:rPr>
            </w:pPr>
            <w:r>
              <w:rPr>
                <w:szCs w:val="21"/>
              </w:rPr>
              <w:t>Ⅱ</w:t>
            </w:r>
          </w:p>
        </w:tc>
        <w:tc>
          <w:tcPr>
            <w:tcW w:w="1790" w:type="dxa"/>
            <w:vAlign w:val="center"/>
          </w:tcPr>
          <w:p>
            <w:pPr>
              <w:jc w:val="center"/>
              <w:rPr>
                <w:szCs w:val="21"/>
              </w:rPr>
            </w:pPr>
            <w:r>
              <w:rPr>
                <w:szCs w:val="21"/>
              </w:rPr>
              <w:t>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vAlign w:val="center"/>
          </w:tcPr>
          <w:p>
            <w:pPr>
              <w:jc w:val="center"/>
              <w:rPr>
                <w:szCs w:val="21"/>
              </w:rPr>
            </w:pPr>
            <w:r>
              <w:rPr>
                <w:rFonts w:hint="eastAsia"/>
                <w:szCs w:val="21"/>
              </w:rPr>
              <w:t>评价工作等级</w:t>
            </w:r>
          </w:p>
        </w:tc>
        <w:tc>
          <w:tcPr>
            <w:tcW w:w="1789" w:type="dxa"/>
            <w:vAlign w:val="center"/>
          </w:tcPr>
          <w:p>
            <w:pPr>
              <w:jc w:val="center"/>
              <w:rPr>
                <w:szCs w:val="21"/>
              </w:rPr>
            </w:pPr>
            <w:r>
              <w:rPr>
                <w:rFonts w:hint="eastAsia"/>
                <w:szCs w:val="21"/>
              </w:rPr>
              <w:t>一</w:t>
            </w:r>
          </w:p>
        </w:tc>
        <w:tc>
          <w:tcPr>
            <w:tcW w:w="1789" w:type="dxa"/>
            <w:vAlign w:val="center"/>
          </w:tcPr>
          <w:p>
            <w:pPr>
              <w:jc w:val="center"/>
              <w:rPr>
                <w:szCs w:val="21"/>
              </w:rPr>
            </w:pPr>
            <w:r>
              <w:rPr>
                <w:rFonts w:hint="eastAsia"/>
                <w:szCs w:val="21"/>
              </w:rPr>
              <w:t>二</w:t>
            </w:r>
          </w:p>
        </w:tc>
        <w:tc>
          <w:tcPr>
            <w:tcW w:w="1789" w:type="dxa"/>
            <w:vAlign w:val="center"/>
          </w:tcPr>
          <w:p>
            <w:pPr>
              <w:jc w:val="center"/>
              <w:rPr>
                <w:szCs w:val="21"/>
              </w:rPr>
            </w:pPr>
            <w:r>
              <w:rPr>
                <w:rFonts w:hint="eastAsia"/>
                <w:szCs w:val="21"/>
              </w:rPr>
              <w:t>三</w:t>
            </w:r>
          </w:p>
        </w:tc>
        <w:tc>
          <w:tcPr>
            <w:tcW w:w="1790" w:type="dxa"/>
            <w:vAlign w:val="center"/>
          </w:tcPr>
          <w:p>
            <w:pPr>
              <w:jc w:val="center"/>
              <w:rPr>
                <w:szCs w:val="21"/>
              </w:rPr>
            </w:pPr>
            <w:r>
              <w:rPr>
                <w:rFonts w:hint="eastAsia"/>
                <w:szCs w:val="21"/>
              </w:rPr>
              <w:t>简单分析</w:t>
            </w:r>
            <w:r>
              <w:rPr>
                <w:rFonts w:hint="eastAsia"/>
                <w:szCs w:val="21"/>
                <w:vertAlign w:val="superscript"/>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946" w:type="dxa"/>
            <w:gridSpan w:val="5"/>
            <w:vAlign w:val="center"/>
          </w:tcPr>
          <w:p>
            <w:pPr>
              <w:jc w:val="left"/>
              <w:rPr>
                <w:rFonts w:ascii="黑体" w:hAnsi="黑体" w:eastAsia="黑体"/>
                <w:szCs w:val="21"/>
              </w:rPr>
            </w:pPr>
            <w:r>
              <w:rPr>
                <w:rFonts w:hint="eastAsia" w:ascii="黑体" w:hAnsi="黑体" w:eastAsia="黑体"/>
                <w:szCs w:val="21"/>
                <w:vertAlign w:val="superscript"/>
              </w:rPr>
              <w:t>a</w:t>
            </w:r>
            <w:r>
              <w:rPr>
                <w:rFonts w:hint="eastAsia" w:ascii="黑体" w:hAnsi="黑体" w:eastAsia="黑体"/>
                <w:szCs w:val="21"/>
              </w:rPr>
              <w:t>是相对于详细评价工作内容而言，在描述危险物质、环境影响途径、环境危害后果、风险防范措施等方面给出定性的说明。</w:t>
            </w:r>
          </w:p>
        </w:tc>
      </w:tr>
    </w:tbl>
    <w:p>
      <w:pPr>
        <w:spacing w:line="480" w:lineRule="exact"/>
        <w:ind w:firstLine="480" w:firstLineChars="200"/>
        <w:rPr>
          <w:sz w:val="24"/>
          <w:szCs w:val="24"/>
        </w:rPr>
      </w:pPr>
      <w:r>
        <w:rPr>
          <w:rFonts w:hint="eastAsia"/>
          <w:sz w:val="24"/>
          <w:szCs w:val="24"/>
        </w:rPr>
        <w:t>按下表确定环境风险潜势。</w:t>
      </w:r>
    </w:p>
    <w:p>
      <w:pPr>
        <w:spacing w:line="480" w:lineRule="exact"/>
        <w:jc w:val="center"/>
        <w:rPr>
          <w:rFonts w:ascii="黑体" w:hAnsi="黑体" w:eastAsia="黑体"/>
          <w:sz w:val="24"/>
          <w:szCs w:val="24"/>
        </w:rPr>
      </w:pPr>
      <w:r>
        <w:rPr>
          <w:rFonts w:hint="eastAsia" w:ascii="黑体" w:hAnsi="黑体" w:eastAsia="黑体"/>
          <w:sz w:val="24"/>
          <w:szCs w:val="24"/>
        </w:rPr>
        <w:t>表</w:t>
      </w:r>
      <w:r>
        <w:rPr>
          <w:rFonts w:ascii="黑体" w:hAnsi="黑体" w:eastAsia="黑体"/>
          <w:sz w:val="24"/>
          <w:szCs w:val="24"/>
        </w:rPr>
        <w:t>2.5-</w:t>
      </w:r>
      <w:r>
        <w:rPr>
          <w:rFonts w:hint="eastAsia" w:ascii="黑体" w:hAnsi="黑体" w:eastAsia="黑体"/>
          <w:sz w:val="24"/>
          <w:szCs w:val="24"/>
        </w:rPr>
        <w:t xml:space="preserve">9 </w:t>
      </w:r>
      <w:r>
        <w:rPr>
          <w:rFonts w:ascii="黑体" w:hAnsi="黑体" w:eastAsia="黑体"/>
          <w:sz w:val="24"/>
          <w:szCs w:val="24"/>
        </w:rPr>
        <w:t xml:space="preserve"> </w:t>
      </w:r>
      <w:r>
        <w:rPr>
          <w:rFonts w:hint="eastAsia" w:ascii="黑体" w:hAnsi="黑体" w:eastAsia="黑体"/>
          <w:sz w:val="24"/>
          <w:szCs w:val="24"/>
        </w:rPr>
        <w:t>建设项目环境风险潜势划分</w:t>
      </w:r>
      <w:r>
        <w:rPr>
          <w:rFonts w:hint="eastAsia" w:ascii="黑体" w:hAnsi="黑体" w:eastAsia="黑体"/>
          <w:sz w:val="24"/>
        </w:rPr>
        <w:t>（H</w:t>
      </w:r>
      <w:r>
        <w:rPr>
          <w:rFonts w:ascii="黑体" w:hAnsi="黑体" w:eastAsia="黑体"/>
          <w:sz w:val="24"/>
        </w:rPr>
        <w:t>J169-2018</w:t>
      </w:r>
      <w:r>
        <w:rPr>
          <w:rFonts w:hint="eastAsia" w:ascii="黑体" w:hAnsi="黑体" w:eastAsia="黑体"/>
          <w:sz w:val="24"/>
        </w:rPr>
        <w:t>）</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4"/>
        <w:gridCol w:w="1700"/>
        <w:gridCol w:w="1700"/>
        <w:gridCol w:w="1700"/>
        <w:gridCol w:w="16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Merge w:val="restart"/>
            <w:vAlign w:val="center"/>
          </w:tcPr>
          <w:p>
            <w:pPr>
              <w:jc w:val="center"/>
              <w:rPr>
                <w:szCs w:val="21"/>
              </w:rPr>
            </w:pPr>
            <w:r>
              <w:rPr>
                <w:rFonts w:hint="eastAsia"/>
                <w:szCs w:val="21"/>
              </w:rPr>
              <w:t>环境敏感程度(</w:t>
            </w:r>
            <w:r>
              <w:rPr>
                <w:szCs w:val="21"/>
              </w:rPr>
              <w:t>E)</w:t>
            </w:r>
          </w:p>
        </w:tc>
        <w:tc>
          <w:tcPr>
            <w:tcW w:w="3750" w:type="pct"/>
            <w:gridSpan w:val="4"/>
            <w:vAlign w:val="center"/>
          </w:tcPr>
          <w:p>
            <w:pPr>
              <w:jc w:val="center"/>
              <w:rPr>
                <w:szCs w:val="21"/>
              </w:rPr>
            </w:pPr>
            <w:r>
              <w:rPr>
                <w:rFonts w:hint="eastAsia"/>
                <w:szCs w:val="21"/>
              </w:rPr>
              <w:t>危险物质及工艺系统危险性(</w:t>
            </w:r>
            <w:r>
              <w:rPr>
                <w:szCs w:val="21"/>
              </w:rPr>
              <w:t>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Merge w:val="continue"/>
            <w:vAlign w:val="center"/>
          </w:tcPr>
          <w:p>
            <w:pPr>
              <w:jc w:val="center"/>
              <w:rPr>
                <w:szCs w:val="21"/>
              </w:rPr>
            </w:pPr>
          </w:p>
        </w:tc>
        <w:tc>
          <w:tcPr>
            <w:tcW w:w="938" w:type="pct"/>
            <w:vAlign w:val="center"/>
          </w:tcPr>
          <w:p>
            <w:pPr>
              <w:jc w:val="center"/>
              <w:rPr>
                <w:szCs w:val="21"/>
              </w:rPr>
            </w:pPr>
            <w:r>
              <w:rPr>
                <w:rFonts w:hint="eastAsia"/>
                <w:szCs w:val="21"/>
              </w:rPr>
              <w:t>极高危害(</w:t>
            </w:r>
            <w:r>
              <w:rPr>
                <w:szCs w:val="21"/>
              </w:rPr>
              <w:t>P1)</w:t>
            </w:r>
          </w:p>
        </w:tc>
        <w:tc>
          <w:tcPr>
            <w:tcW w:w="938" w:type="pct"/>
            <w:vAlign w:val="center"/>
          </w:tcPr>
          <w:p>
            <w:pPr>
              <w:jc w:val="center"/>
              <w:rPr>
                <w:szCs w:val="21"/>
              </w:rPr>
            </w:pPr>
            <w:r>
              <w:rPr>
                <w:rFonts w:hint="eastAsia"/>
                <w:szCs w:val="21"/>
              </w:rPr>
              <w:t>高度危害(</w:t>
            </w:r>
            <w:r>
              <w:rPr>
                <w:szCs w:val="21"/>
              </w:rPr>
              <w:t>P2)</w:t>
            </w:r>
          </w:p>
        </w:tc>
        <w:tc>
          <w:tcPr>
            <w:tcW w:w="938" w:type="pct"/>
            <w:vAlign w:val="center"/>
          </w:tcPr>
          <w:p>
            <w:pPr>
              <w:jc w:val="center"/>
              <w:rPr>
                <w:szCs w:val="21"/>
              </w:rPr>
            </w:pPr>
            <w:r>
              <w:rPr>
                <w:rFonts w:hint="eastAsia"/>
                <w:szCs w:val="21"/>
              </w:rPr>
              <w:t>中度危害(</w:t>
            </w:r>
            <w:r>
              <w:rPr>
                <w:szCs w:val="21"/>
              </w:rPr>
              <w:t>P3)</w:t>
            </w:r>
          </w:p>
        </w:tc>
        <w:tc>
          <w:tcPr>
            <w:tcW w:w="936" w:type="pct"/>
            <w:vAlign w:val="center"/>
          </w:tcPr>
          <w:p>
            <w:pPr>
              <w:jc w:val="center"/>
              <w:rPr>
                <w:szCs w:val="21"/>
              </w:rPr>
            </w:pPr>
            <w:r>
              <w:rPr>
                <w:rFonts w:hint="eastAsia"/>
                <w:szCs w:val="21"/>
              </w:rPr>
              <w:t>轻度危害(</w:t>
            </w:r>
            <w:r>
              <w:rPr>
                <w:szCs w:val="21"/>
              </w:rPr>
              <w:t>P4)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jc w:val="center"/>
              <w:rPr>
                <w:szCs w:val="21"/>
              </w:rPr>
            </w:pPr>
            <w:r>
              <w:rPr>
                <w:rFonts w:hint="eastAsia"/>
                <w:szCs w:val="21"/>
              </w:rPr>
              <w:t>环境高度敏感区(</w:t>
            </w:r>
            <w:r>
              <w:rPr>
                <w:szCs w:val="21"/>
              </w:rPr>
              <w:t>E1)</w:t>
            </w:r>
          </w:p>
        </w:tc>
        <w:tc>
          <w:tcPr>
            <w:tcW w:w="938" w:type="pct"/>
            <w:vAlign w:val="center"/>
          </w:tcPr>
          <w:p>
            <w:pPr>
              <w:jc w:val="center"/>
              <w:rPr>
                <w:szCs w:val="21"/>
              </w:rPr>
            </w:pPr>
            <w:r>
              <w:rPr>
                <w:sz w:val="24"/>
                <w:szCs w:val="24"/>
              </w:rPr>
              <w:t>Ⅳ</w:t>
            </w:r>
            <w:r>
              <w:rPr>
                <w:sz w:val="24"/>
                <w:szCs w:val="24"/>
                <w:vertAlign w:val="superscript"/>
              </w:rPr>
              <w:t>+</w:t>
            </w:r>
          </w:p>
        </w:tc>
        <w:tc>
          <w:tcPr>
            <w:tcW w:w="938" w:type="pct"/>
            <w:vAlign w:val="center"/>
          </w:tcPr>
          <w:p>
            <w:pPr>
              <w:jc w:val="center"/>
              <w:rPr>
                <w:szCs w:val="21"/>
              </w:rPr>
            </w:pPr>
            <w:r>
              <w:rPr>
                <w:sz w:val="24"/>
                <w:szCs w:val="24"/>
              </w:rPr>
              <w:t>Ⅳ</w:t>
            </w:r>
          </w:p>
        </w:tc>
        <w:tc>
          <w:tcPr>
            <w:tcW w:w="938" w:type="pct"/>
            <w:vAlign w:val="center"/>
          </w:tcPr>
          <w:p>
            <w:pPr>
              <w:jc w:val="center"/>
              <w:rPr>
                <w:szCs w:val="21"/>
              </w:rPr>
            </w:pPr>
            <w:r>
              <w:rPr>
                <w:sz w:val="24"/>
                <w:szCs w:val="24"/>
              </w:rPr>
              <w:t>Ⅲ</w:t>
            </w:r>
          </w:p>
        </w:tc>
        <w:tc>
          <w:tcPr>
            <w:tcW w:w="936" w:type="pct"/>
            <w:vAlign w:val="center"/>
          </w:tcPr>
          <w:p>
            <w:pPr>
              <w:jc w:val="center"/>
              <w:rPr>
                <w:szCs w:val="21"/>
              </w:rPr>
            </w:pPr>
            <w:r>
              <w:rPr>
                <w:sz w:val="24"/>
                <w:szCs w:val="24"/>
              </w:rPr>
              <w:t>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jc w:val="center"/>
              <w:rPr>
                <w:szCs w:val="21"/>
              </w:rPr>
            </w:pPr>
            <w:r>
              <w:rPr>
                <w:rFonts w:hint="eastAsia"/>
                <w:szCs w:val="21"/>
              </w:rPr>
              <w:t>环境中度敏感区(</w:t>
            </w:r>
            <w:r>
              <w:rPr>
                <w:szCs w:val="21"/>
              </w:rPr>
              <w:t>E2)</w:t>
            </w:r>
          </w:p>
        </w:tc>
        <w:tc>
          <w:tcPr>
            <w:tcW w:w="938" w:type="pct"/>
            <w:vAlign w:val="center"/>
          </w:tcPr>
          <w:p>
            <w:pPr>
              <w:jc w:val="center"/>
              <w:rPr>
                <w:szCs w:val="21"/>
              </w:rPr>
            </w:pPr>
            <w:r>
              <w:rPr>
                <w:sz w:val="24"/>
                <w:szCs w:val="24"/>
              </w:rPr>
              <w:t>Ⅳ</w:t>
            </w:r>
          </w:p>
        </w:tc>
        <w:tc>
          <w:tcPr>
            <w:tcW w:w="938" w:type="pct"/>
            <w:vAlign w:val="center"/>
          </w:tcPr>
          <w:p>
            <w:pPr>
              <w:jc w:val="center"/>
              <w:rPr>
                <w:szCs w:val="21"/>
              </w:rPr>
            </w:pPr>
            <w:r>
              <w:rPr>
                <w:sz w:val="24"/>
                <w:szCs w:val="24"/>
              </w:rPr>
              <w:t>Ⅲ</w:t>
            </w:r>
          </w:p>
        </w:tc>
        <w:tc>
          <w:tcPr>
            <w:tcW w:w="938" w:type="pct"/>
            <w:vAlign w:val="center"/>
          </w:tcPr>
          <w:p>
            <w:pPr>
              <w:jc w:val="center"/>
              <w:rPr>
                <w:szCs w:val="21"/>
              </w:rPr>
            </w:pPr>
            <w:r>
              <w:rPr>
                <w:sz w:val="24"/>
                <w:szCs w:val="24"/>
              </w:rPr>
              <w:t>Ⅲ</w:t>
            </w:r>
          </w:p>
        </w:tc>
        <w:tc>
          <w:tcPr>
            <w:tcW w:w="936" w:type="pct"/>
            <w:vAlign w:val="center"/>
          </w:tcPr>
          <w:p>
            <w:pPr>
              <w:jc w:val="center"/>
              <w:rPr>
                <w:szCs w:val="21"/>
              </w:rPr>
            </w:pPr>
            <w:r>
              <w:rPr>
                <w:sz w:val="24"/>
                <w:szCs w:val="24"/>
              </w:rPr>
              <w:t>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jc w:val="center"/>
              <w:rPr>
                <w:szCs w:val="21"/>
              </w:rPr>
            </w:pPr>
            <w:r>
              <w:rPr>
                <w:rFonts w:hint="eastAsia"/>
                <w:szCs w:val="21"/>
              </w:rPr>
              <w:t>环境低度敏感区(</w:t>
            </w:r>
            <w:r>
              <w:rPr>
                <w:szCs w:val="21"/>
              </w:rPr>
              <w:t>E2)</w:t>
            </w:r>
          </w:p>
        </w:tc>
        <w:tc>
          <w:tcPr>
            <w:tcW w:w="938" w:type="pct"/>
            <w:vAlign w:val="center"/>
          </w:tcPr>
          <w:p>
            <w:pPr>
              <w:jc w:val="center"/>
              <w:rPr>
                <w:szCs w:val="21"/>
              </w:rPr>
            </w:pPr>
            <w:r>
              <w:rPr>
                <w:sz w:val="24"/>
                <w:szCs w:val="24"/>
              </w:rPr>
              <w:t>Ⅲ</w:t>
            </w:r>
          </w:p>
        </w:tc>
        <w:tc>
          <w:tcPr>
            <w:tcW w:w="938" w:type="pct"/>
            <w:vAlign w:val="center"/>
          </w:tcPr>
          <w:p>
            <w:pPr>
              <w:jc w:val="center"/>
              <w:rPr>
                <w:szCs w:val="21"/>
              </w:rPr>
            </w:pPr>
            <w:r>
              <w:rPr>
                <w:sz w:val="24"/>
                <w:szCs w:val="24"/>
              </w:rPr>
              <w:t>Ⅲ</w:t>
            </w:r>
          </w:p>
        </w:tc>
        <w:tc>
          <w:tcPr>
            <w:tcW w:w="938" w:type="pct"/>
            <w:vAlign w:val="center"/>
          </w:tcPr>
          <w:p>
            <w:pPr>
              <w:jc w:val="center"/>
              <w:rPr>
                <w:szCs w:val="21"/>
              </w:rPr>
            </w:pPr>
            <w:r>
              <w:rPr>
                <w:sz w:val="24"/>
                <w:szCs w:val="24"/>
              </w:rPr>
              <w:t>Ⅱ</w:t>
            </w:r>
          </w:p>
        </w:tc>
        <w:tc>
          <w:tcPr>
            <w:tcW w:w="936" w:type="pct"/>
            <w:vAlign w:val="center"/>
          </w:tcPr>
          <w:p>
            <w:pPr>
              <w:jc w:val="center"/>
              <w:rPr>
                <w:szCs w:val="21"/>
              </w:rPr>
            </w:pPr>
            <w:r>
              <w:rPr>
                <w:sz w:val="24"/>
                <w:szCs w:val="24"/>
              </w:rPr>
              <w:t>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000" w:type="pct"/>
            <w:gridSpan w:val="5"/>
            <w:vAlign w:val="center"/>
          </w:tcPr>
          <w:p>
            <w:pPr>
              <w:jc w:val="left"/>
              <w:rPr>
                <w:szCs w:val="21"/>
              </w:rPr>
            </w:pPr>
            <w:r>
              <w:rPr>
                <w:rFonts w:hint="eastAsia"/>
                <w:szCs w:val="21"/>
              </w:rPr>
              <w:t>注：</w:t>
            </w:r>
            <w:r>
              <w:rPr>
                <w:sz w:val="24"/>
                <w:szCs w:val="24"/>
              </w:rPr>
              <w:t>Ⅳ</w:t>
            </w:r>
            <w:r>
              <w:rPr>
                <w:sz w:val="24"/>
                <w:szCs w:val="24"/>
                <w:vertAlign w:val="superscript"/>
              </w:rPr>
              <w:t>+</w:t>
            </w:r>
            <w:r>
              <w:rPr>
                <w:rFonts w:hint="eastAsia"/>
                <w:szCs w:val="21"/>
              </w:rPr>
              <w:t>为极高环境风险。</w:t>
            </w:r>
          </w:p>
        </w:tc>
      </w:tr>
    </w:tbl>
    <w:p>
      <w:pPr>
        <w:spacing w:line="480" w:lineRule="exact"/>
        <w:ind w:firstLine="480" w:firstLineChars="200"/>
        <w:rPr>
          <w:sz w:val="24"/>
        </w:rPr>
      </w:pPr>
      <w:r>
        <w:rPr>
          <w:rFonts w:hint="eastAsia"/>
          <w:sz w:val="24"/>
          <w:szCs w:val="24"/>
        </w:rPr>
        <w:t>结合项目特点，此次评价将液化天然气储罐划定为一个危险单元；</w:t>
      </w:r>
      <w:r>
        <w:rPr>
          <w:rFonts w:hint="eastAsia"/>
          <w:sz w:val="24"/>
        </w:rPr>
        <w:t>本项目建成后全厂危险物质数量与临界量比值计算结果见表</w:t>
      </w:r>
      <w:r>
        <w:rPr>
          <w:sz w:val="24"/>
        </w:rPr>
        <w:t>2.5-7</w:t>
      </w:r>
      <w:r>
        <w:rPr>
          <w:rFonts w:hint="eastAsia"/>
          <w:sz w:val="24"/>
        </w:rPr>
        <w:t>。</w:t>
      </w:r>
    </w:p>
    <w:p>
      <w:pPr>
        <w:spacing w:line="480" w:lineRule="exact"/>
        <w:jc w:val="center"/>
        <w:rPr>
          <w:rFonts w:ascii="黑体" w:hAnsi="黑体" w:eastAsia="黑体"/>
          <w:sz w:val="24"/>
        </w:rPr>
      </w:pPr>
      <w:r>
        <w:rPr>
          <w:rFonts w:hint="eastAsia" w:ascii="黑体" w:hAnsi="黑体" w:eastAsia="黑体"/>
          <w:sz w:val="24"/>
        </w:rPr>
        <w:t>表</w:t>
      </w:r>
      <w:r>
        <w:rPr>
          <w:rFonts w:ascii="黑体" w:hAnsi="黑体" w:eastAsia="黑体"/>
          <w:sz w:val="24"/>
        </w:rPr>
        <w:t>2.5-</w:t>
      </w:r>
      <w:r>
        <w:rPr>
          <w:rFonts w:hint="eastAsia" w:ascii="黑体" w:hAnsi="黑体" w:eastAsia="黑体"/>
          <w:sz w:val="24"/>
        </w:rPr>
        <w:t>10</w:t>
      </w:r>
      <w:r>
        <w:rPr>
          <w:rFonts w:ascii="黑体" w:hAnsi="黑体" w:eastAsia="黑体"/>
          <w:sz w:val="24"/>
        </w:rPr>
        <w:t xml:space="preserve">  </w:t>
      </w:r>
      <w:r>
        <w:rPr>
          <w:rFonts w:hint="eastAsia" w:ascii="黑体" w:hAnsi="黑体" w:eastAsia="黑体"/>
          <w:sz w:val="24"/>
        </w:rPr>
        <w:t>重大危险源辨识表</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29"/>
        <w:gridCol w:w="1153"/>
        <w:gridCol w:w="944"/>
        <w:gridCol w:w="1111"/>
        <w:gridCol w:w="1078"/>
        <w:gridCol w:w="1117"/>
        <w:gridCol w:w="1112"/>
        <w:gridCol w:w="107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129" w:type="dxa"/>
            <w:vAlign w:val="center"/>
          </w:tcPr>
          <w:p>
            <w:pPr>
              <w:jc w:val="center"/>
              <w:rPr>
                <w:szCs w:val="21"/>
              </w:rPr>
            </w:pPr>
            <w:r>
              <w:rPr>
                <w:rFonts w:hint="eastAsia"/>
                <w:szCs w:val="21"/>
              </w:rPr>
              <w:t>区域</w:t>
            </w:r>
          </w:p>
        </w:tc>
        <w:tc>
          <w:tcPr>
            <w:tcW w:w="1153" w:type="dxa"/>
            <w:vAlign w:val="center"/>
          </w:tcPr>
          <w:p>
            <w:pPr>
              <w:jc w:val="center"/>
              <w:rPr>
                <w:szCs w:val="21"/>
              </w:rPr>
            </w:pPr>
            <w:r>
              <w:rPr>
                <w:rFonts w:hint="eastAsia"/>
                <w:szCs w:val="21"/>
              </w:rPr>
              <w:t>工序</w:t>
            </w:r>
          </w:p>
        </w:tc>
        <w:tc>
          <w:tcPr>
            <w:tcW w:w="944" w:type="dxa"/>
            <w:vAlign w:val="center"/>
          </w:tcPr>
          <w:p>
            <w:pPr>
              <w:jc w:val="center"/>
              <w:rPr>
                <w:szCs w:val="21"/>
              </w:rPr>
            </w:pPr>
            <w:r>
              <w:rPr>
                <w:rFonts w:hint="eastAsia"/>
                <w:szCs w:val="21"/>
              </w:rPr>
              <w:t>名称</w:t>
            </w:r>
          </w:p>
        </w:tc>
        <w:tc>
          <w:tcPr>
            <w:tcW w:w="1111" w:type="dxa"/>
            <w:vAlign w:val="center"/>
          </w:tcPr>
          <w:p>
            <w:pPr>
              <w:jc w:val="center"/>
              <w:rPr>
                <w:szCs w:val="21"/>
              </w:rPr>
            </w:pPr>
            <w:r>
              <w:rPr>
                <w:rFonts w:hint="eastAsia"/>
                <w:szCs w:val="21"/>
              </w:rPr>
              <w:t>最大存在量t</w:t>
            </w:r>
          </w:p>
        </w:tc>
        <w:tc>
          <w:tcPr>
            <w:tcW w:w="1078" w:type="dxa"/>
            <w:vAlign w:val="center"/>
          </w:tcPr>
          <w:p>
            <w:pPr>
              <w:jc w:val="center"/>
              <w:rPr>
                <w:szCs w:val="21"/>
              </w:rPr>
            </w:pPr>
            <w:r>
              <w:rPr>
                <w:rFonts w:hint="eastAsia"/>
                <w:szCs w:val="21"/>
              </w:rPr>
              <w:t>临界量t</w:t>
            </w:r>
          </w:p>
        </w:tc>
        <w:tc>
          <w:tcPr>
            <w:tcW w:w="1117" w:type="dxa"/>
            <w:vAlign w:val="center"/>
          </w:tcPr>
          <w:p>
            <w:pPr>
              <w:jc w:val="center"/>
              <w:rPr>
                <w:szCs w:val="21"/>
              </w:rPr>
            </w:pPr>
            <w:r>
              <w:rPr>
                <w:rFonts w:hint="eastAsia"/>
                <w:szCs w:val="21"/>
              </w:rPr>
              <w:t>q</w:t>
            </w:r>
            <w:r>
              <w:rPr>
                <w:szCs w:val="21"/>
              </w:rPr>
              <w:t>i/Qi</w:t>
            </w:r>
          </w:p>
        </w:tc>
        <w:tc>
          <w:tcPr>
            <w:tcW w:w="1112" w:type="dxa"/>
            <w:vAlign w:val="center"/>
          </w:tcPr>
          <w:p>
            <w:pPr>
              <w:jc w:val="center"/>
              <w:rPr>
                <w:szCs w:val="21"/>
              </w:rPr>
            </w:pPr>
            <w:r>
              <w:rPr>
                <w:rFonts w:hint="eastAsia"/>
                <w:szCs w:val="21"/>
              </w:rPr>
              <w:t>功能单元∑q</w:t>
            </w:r>
            <w:r>
              <w:rPr>
                <w:szCs w:val="21"/>
              </w:rPr>
              <w:t>i/Qi</w:t>
            </w:r>
          </w:p>
        </w:tc>
        <w:tc>
          <w:tcPr>
            <w:tcW w:w="1076" w:type="dxa"/>
            <w:vAlign w:val="center"/>
          </w:tcPr>
          <w:p>
            <w:pPr>
              <w:jc w:val="center"/>
              <w:rPr>
                <w:szCs w:val="21"/>
              </w:rPr>
            </w:pPr>
            <w:r>
              <w:rPr>
                <w:rFonts w:hint="eastAsia"/>
                <w:szCs w:val="21"/>
              </w:rPr>
              <w:t>是否为重大危险源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129" w:type="dxa"/>
            <w:vAlign w:val="center"/>
          </w:tcPr>
          <w:p>
            <w:pPr>
              <w:jc w:val="center"/>
              <w:rPr>
                <w:color w:val="FF0000"/>
                <w:szCs w:val="21"/>
              </w:rPr>
            </w:pPr>
            <w:r>
              <w:rPr>
                <w:rFonts w:hint="eastAsia"/>
                <w:szCs w:val="21"/>
              </w:rPr>
              <w:t>液化天然气储罐</w:t>
            </w:r>
          </w:p>
        </w:tc>
        <w:tc>
          <w:tcPr>
            <w:tcW w:w="1153" w:type="dxa"/>
            <w:vAlign w:val="center"/>
          </w:tcPr>
          <w:p>
            <w:pPr>
              <w:jc w:val="center"/>
              <w:rPr>
                <w:color w:val="FF0000"/>
                <w:szCs w:val="21"/>
              </w:rPr>
            </w:pPr>
            <w:r>
              <w:rPr>
                <w:rFonts w:hint="eastAsia"/>
                <w:szCs w:val="21"/>
              </w:rPr>
              <w:t>热水锅炉燃烧使用</w:t>
            </w:r>
          </w:p>
        </w:tc>
        <w:tc>
          <w:tcPr>
            <w:tcW w:w="944" w:type="dxa"/>
            <w:vAlign w:val="center"/>
          </w:tcPr>
          <w:p>
            <w:pPr>
              <w:jc w:val="center"/>
              <w:rPr>
                <w:color w:val="FF0000"/>
                <w:szCs w:val="21"/>
              </w:rPr>
            </w:pPr>
            <w:r>
              <w:rPr>
                <w:rFonts w:hint="eastAsia"/>
                <w:szCs w:val="21"/>
              </w:rPr>
              <w:t>甲烷</w:t>
            </w:r>
          </w:p>
        </w:tc>
        <w:tc>
          <w:tcPr>
            <w:tcW w:w="1111" w:type="dxa"/>
            <w:vAlign w:val="center"/>
          </w:tcPr>
          <w:p>
            <w:pPr>
              <w:jc w:val="center"/>
              <w:rPr>
                <w:rFonts w:eastAsia="等线"/>
                <w:color w:val="FF0000"/>
                <w:szCs w:val="21"/>
              </w:rPr>
            </w:pPr>
            <w:r>
              <w:rPr>
                <w:rFonts w:hint="eastAsia" w:eastAsia="等线"/>
                <w:color w:val="000000"/>
                <w:szCs w:val="21"/>
              </w:rPr>
              <w:t>8</w:t>
            </w:r>
            <w:r>
              <w:rPr>
                <w:rFonts w:eastAsia="等线"/>
                <w:color w:val="000000"/>
                <w:szCs w:val="21"/>
              </w:rPr>
              <w:t>.1</w:t>
            </w:r>
          </w:p>
        </w:tc>
        <w:tc>
          <w:tcPr>
            <w:tcW w:w="1078" w:type="dxa"/>
            <w:vAlign w:val="center"/>
          </w:tcPr>
          <w:p>
            <w:pPr>
              <w:jc w:val="center"/>
              <w:rPr>
                <w:color w:val="FF0000"/>
                <w:szCs w:val="21"/>
              </w:rPr>
            </w:pPr>
            <w:r>
              <w:rPr>
                <w:rFonts w:hint="eastAsia"/>
                <w:szCs w:val="21"/>
              </w:rPr>
              <w:t>1</w:t>
            </w:r>
            <w:r>
              <w:rPr>
                <w:szCs w:val="21"/>
              </w:rPr>
              <w:t>0</w:t>
            </w:r>
          </w:p>
        </w:tc>
        <w:tc>
          <w:tcPr>
            <w:tcW w:w="1117" w:type="dxa"/>
            <w:vAlign w:val="center"/>
          </w:tcPr>
          <w:p>
            <w:pPr>
              <w:jc w:val="center"/>
              <w:rPr>
                <w:rFonts w:eastAsia="等线"/>
                <w:color w:val="FF0000"/>
                <w:szCs w:val="21"/>
              </w:rPr>
            </w:pPr>
            <w:r>
              <w:rPr>
                <w:rFonts w:hint="eastAsia" w:eastAsia="等线"/>
                <w:color w:val="000000"/>
                <w:szCs w:val="21"/>
              </w:rPr>
              <w:t>0</w:t>
            </w:r>
            <w:r>
              <w:rPr>
                <w:rFonts w:eastAsia="等线"/>
                <w:color w:val="000000"/>
                <w:szCs w:val="21"/>
              </w:rPr>
              <w:t>.81</w:t>
            </w:r>
          </w:p>
        </w:tc>
        <w:tc>
          <w:tcPr>
            <w:tcW w:w="1112" w:type="dxa"/>
            <w:vAlign w:val="center"/>
          </w:tcPr>
          <w:p>
            <w:pPr>
              <w:jc w:val="center"/>
              <w:rPr>
                <w:szCs w:val="21"/>
              </w:rPr>
            </w:pPr>
            <w:r>
              <w:rPr>
                <w:rFonts w:hint="eastAsia"/>
                <w:szCs w:val="21"/>
              </w:rPr>
              <w:t>0</w:t>
            </w:r>
            <w:r>
              <w:rPr>
                <w:szCs w:val="21"/>
              </w:rPr>
              <w:t>.81</w:t>
            </w:r>
          </w:p>
        </w:tc>
        <w:tc>
          <w:tcPr>
            <w:tcW w:w="1076" w:type="dxa"/>
            <w:vAlign w:val="center"/>
          </w:tcPr>
          <w:p>
            <w:pPr>
              <w:jc w:val="center"/>
              <w:rPr>
                <w:szCs w:val="21"/>
              </w:rPr>
            </w:pPr>
            <w:r>
              <w:rPr>
                <w:rFonts w:hint="eastAsia"/>
                <w:szCs w:val="21"/>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532" w:type="dxa"/>
            <w:gridSpan w:val="6"/>
            <w:vAlign w:val="center"/>
          </w:tcPr>
          <w:p>
            <w:pPr>
              <w:jc w:val="center"/>
              <w:rPr>
                <w:rFonts w:eastAsia="等线"/>
                <w:color w:val="000000"/>
                <w:szCs w:val="21"/>
              </w:rPr>
            </w:pPr>
            <w:r>
              <w:rPr>
                <w:rFonts w:hint="eastAsia" w:eastAsia="等线"/>
                <w:color w:val="000000"/>
                <w:szCs w:val="21"/>
              </w:rPr>
              <w:t>合计</w:t>
            </w:r>
          </w:p>
        </w:tc>
        <w:tc>
          <w:tcPr>
            <w:tcW w:w="1112" w:type="dxa"/>
            <w:vAlign w:val="center"/>
          </w:tcPr>
          <w:p>
            <w:pPr>
              <w:jc w:val="center"/>
              <w:rPr>
                <w:szCs w:val="21"/>
              </w:rPr>
            </w:pPr>
            <w:r>
              <w:rPr>
                <w:rFonts w:hint="eastAsia"/>
                <w:szCs w:val="21"/>
              </w:rPr>
              <w:t>0</w:t>
            </w:r>
            <w:r>
              <w:rPr>
                <w:szCs w:val="21"/>
              </w:rPr>
              <w:t>.810166</w:t>
            </w:r>
          </w:p>
        </w:tc>
        <w:tc>
          <w:tcPr>
            <w:tcW w:w="1076" w:type="dxa"/>
            <w:vAlign w:val="center"/>
          </w:tcPr>
          <w:p>
            <w:pPr>
              <w:jc w:val="center"/>
              <w:rPr>
                <w:szCs w:val="21"/>
              </w:rPr>
            </w:pPr>
            <w:r>
              <w:rPr>
                <w:rFonts w:hint="eastAsia"/>
                <w:szCs w:val="21"/>
              </w:rPr>
              <w:t>否</w:t>
            </w:r>
          </w:p>
        </w:tc>
      </w:tr>
    </w:tbl>
    <w:p>
      <w:pPr>
        <w:spacing w:line="480" w:lineRule="exact"/>
        <w:ind w:firstLine="480" w:firstLineChars="200"/>
        <w:rPr>
          <w:bCs/>
          <w:sz w:val="24"/>
          <w:szCs w:val="24"/>
        </w:rPr>
      </w:pPr>
      <w:r>
        <w:rPr>
          <w:rFonts w:hint="eastAsia"/>
          <w:sz w:val="24"/>
        </w:rPr>
        <w:t>根据表</w:t>
      </w:r>
      <w:r>
        <w:rPr>
          <w:sz w:val="24"/>
        </w:rPr>
        <w:t>2.5-6</w:t>
      </w:r>
      <w:r>
        <w:rPr>
          <w:rFonts w:hint="eastAsia"/>
          <w:sz w:val="24"/>
        </w:rPr>
        <w:t>、</w:t>
      </w:r>
      <w:r>
        <w:rPr>
          <w:sz w:val="24"/>
        </w:rPr>
        <w:t>2.5-7</w:t>
      </w:r>
      <w:r>
        <w:rPr>
          <w:rFonts w:hint="eastAsia"/>
          <w:sz w:val="24"/>
        </w:rPr>
        <w:t>可知，本项目环境风险潜势为</w:t>
      </w:r>
      <w:r>
        <w:rPr>
          <w:sz w:val="24"/>
          <w:szCs w:val="24"/>
        </w:rPr>
        <w:t>Ⅰ</w:t>
      </w:r>
      <w:r>
        <w:rPr>
          <w:rFonts w:hint="eastAsia"/>
          <w:sz w:val="24"/>
          <w:szCs w:val="24"/>
        </w:rPr>
        <w:t>；因此判定本项目环境环境风险评价等级为简单分析。</w:t>
      </w:r>
      <w:bookmarkEnd w:id="45"/>
    </w:p>
    <w:p>
      <w:pPr>
        <w:pStyle w:val="56"/>
        <w:spacing w:before="156"/>
      </w:pPr>
      <w:bookmarkStart w:id="46" w:name="_Toc19105453"/>
      <w:r>
        <w:t>2.</w:t>
      </w:r>
      <w:r>
        <w:rPr>
          <w:rFonts w:hint="eastAsia"/>
        </w:rPr>
        <w:t>6主要环境保护目标</w:t>
      </w:r>
      <w:bookmarkEnd w:id="46"/>
    </w:p>
    <w:p>
      <w:pPr>
        <w:spacing w:line="480" w:lineRule="exact"/>
        <w:ind w:firstLine="496" w:firstLineChars="200"/>
        <w:rPr>
          <w:bCs/>
          <w:spacing w:val="4"/>
          <w:kern w:val="0"/>
          <w:sz w:val="24"/>
        </w:rPr>
      </w:pPr>
      <w:r>
        <w:rPr>
          <w:rFonts w:hint="eastAsia"/>
          <w:bCs/>
          <w:spacing w:val="4"/>
          <w:kern w:val="0"/>
          <w:sz w:val="24"/>
        </w:rPr>
        <w:t>本项目评价区域内主要环境保护对象见表</w:t>
      </w:r>
      <w:r>
        <w:rPr>
          <w:bCs/>
          <w:spacing w:val="4"/>
          <w:kern w:val="0"/>
          <w:sz w:val="24"/>
        </w:rPr>
        <w:t>2.6-1</w:t>
      </w:r>
      <w:r>
        <w:rPr>
          <w:rFonts w:hint="eastAsia"/>
          <w:bCs/>
          <w:spacing w:val="4"/>
          <w:kern w:val="0"/>
          <w:sz w:val="24"/>
        </w:rPr>
        <w:t>、</w:t>
      </w:r>
      <w:r>
        <w:rPr>
          <w:bCs/>
          <w:spacing w:val="4"/>
          <w:kern w:val="0"/>
          <w:sz w:val="24"/>
        </w:rPr>
        <w:t>2.6-2</w:t>
      </w:r>
      <w:r>
        <w:rPr>
          <w:rFonts w:hint="eastAsia"/>
          <w:bCs/>
          <w:spacing w:val="4"/>
          <w:kern w:val="0"/>
          <w:sz w:val="24"/>
        </w:rPr>
        <w:t>，环境保护目标图见图</w:t>
      </w:r>
      <w:r>
        <w:rPr>
          <w:bCs/>
          <w:spacing w:val="4"/>
          <w:kern w:val="0"/>
          <w:sz w:val="24"/>
        </w:rPr>
        <w:t>2.6-1</w:t>
      </w:r>
      <w:r>
        <w:rPr>
          <w:rFonts w:hint="eastAsia"/>
          <w:bCs/>
          <w:spacing w:val="4"/>
          <w:kern w:val="0"/>
          <w:sz w:val="24"/>
        </w:rPr>
        <w:t>。</w:t>
      </w:r>
    </w:p>
    <w:p>
      <w:pPr>
        <w:spacing w:line="480" w:lineRule="exact"/>
        <w:jc w:val="center"/>
        <w:rPr>
          <w:rFonts w:ascii="黑体" w:hAnsi="黑体" w:eastAsia="黑体"/>
          <w:bCs/>
          <w:sz w:val="24"/>
          <w:szCs w:val="24"/>
        </w:rPr>
      </w:pPr>
    </w:p>
    <w:p>
      <w:pPr>
        <w:spacing w:line="480" w:lineRule="exact"/>
        <w:jc w:val="center"/>
        <w:rPr>
          <w:rFonts w:ascii="黑体" w:hAnsi="黑体" w:eastAsia="黑体"/>
          <w:bCs/>
          <w:sz w:val="24"/>
          <w:szCs w:val="24"/>
        </w:rPr>
      </w:pPr>
    </w:p>
    <w:p>
      <w:pPr>
        <w:spacing w:line="480" w:lineRule="exact"/>
        <w:jc w:val="center"/>
        <w:rPr>
          <w:rFonts w:ascii="黑体" w:hAnsi="黑体" w:eastAsia="黑体"/>
          <w:bCs/>
          <w:sz w:val="24"/>
          <w:szCs w:val="24"/>
        </w:rPr>
      </w:pPr>
    </w:p>
    <w:p>
      <w:pPr>
        <w:spacing w:line="480" w:lineRule="exact"/>
        <w:jc w:val="center"/>
        <w:rPr>
          <w:rFonts w:ascii="黑体" w:hAnsi="黑体" w:eastAsia="黑体"/>
          <w:bCs/>
          <w:sz w:val="24"/>
          <w:szCs w:val="24"/>
        </w:rPr>
      </w:pPr>
      <w:r>
        <w:rPr>
          <w:rFonts w:hint="eastAsia" w:ascii="黑体" w:hAnsi="黑体" w:eastAsia="黑体"/>
          <w:bCs/>
          <w:sz w:val="24"/>
          <w:szCs w:val="24"/>
        </w:rPr>
        <w:t>表2.6-1  环境保护对象一览表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1002"/>
        <w:gridCol w:w="864"/>
        <w:gridCol w:w="1158"/>
        <w:gridCol w:w="969"/>
        <w:gridCol w:w="1861"/>
        <w:gridCol w:w="748"/>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名称</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坐标</w:t>
            </w:r>
            <w:r>
              <w:rPr>
                <w:b/>
                <w:kern w:val="0"/>
                <w:szCs w:val="21"/>
              </w:rPr>
              <w:t>/m</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 w:val="24"/>
              </w:rPr>
            </w:pPr>
            <w:r>
              <w:rPr>
                <w:rFonts w:hint="eastAsia"/>
                <w:b/>
                <w:kern w:val="0"/>
                <w:sz w:val="24"/>
              </w:rPr>
              <w:t>人口</w:t>
            </w:r>
          </w:p>
          <w:p>
            <w:pPr>
              <w:jc w:val="center"/>
              <w:rPr>
                <w:b/>
                <w:kern w:val="0"/>
                <w:szCs w:val="21"/>
              </w:rPr>
            </w:pPr>
            <w:r>
              <w:rPr>
                <w:rFonts w:hint="eastAsia"/>
                <w:b/>
                <w:kern w:val="0"/>
                <w:sz w:val="24"/>
              </w:rPr>
              <w:t>数量</w:t>
            </w:r>
            <w:r>
              <w:rPr>
                <w:b/>
                <w:kern w:val="0"/>
                <w:sz w:val="24"/>
              </w:rPr>
              <w:t>/</w:t>
            </w:r>
            <w:r>
              <w:rPr>
                <w:rFonts w:hint="eastAsia"/>
                <w:b/>
                <w:kern w:val="0"/>
                <w:sz w:val="24"/>
              </w:rPr>
              <w:t>口</w:t>
            </w:r>
          </w:p>
        </w:tc>
        <w:tc>
          <w:tcPr>
            <w:tcW w:w="535"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保护</w:t>
            </w:r>
          </w:p>
          <w:p>
            <w:pPr>
              <w:jc w:val="center"/>
              <w:rPr>
                <w:b/>
                <w:kern w:val="0"/>
                <w:szCs w:val="21"/>
              </w:rPr>
            </w:pPr>
            <w:r>
              <w:rPr>
                <w:rFonts w:hint="eastAsia"/>
                <w:b/>
                <w:kern w:val="0"/>
                <w:szCs w:val="21"/>
              </w:rPr>
              <w:t>对象</w:t>
            </w:r>
          </w:p>
        </w:tc>
        <w:tc>
          <w:tcPr>
            <w:tcW w:w="1027"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环境功能区划</w:t>
            </w:r>
          </w:p>
        </w:tc>
        <w:tc>
          <w:tcPr>
            <w:tcW w:w="413"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相对厂址方位</w:t>
            </w:r>
          </w:p>
        </w:tc>
        <w:tc>
          <w:tcPr>
            <w:tcW w:w="581"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相对厂界距离</w:t>
            </w:r>
            <w:r>
              <w:rPr>
                <w:b/>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b/>
                <w:kern w:val="0"/>
                <w:szCs w:val="21"/>
              </w:rPr>
              <w:t>x</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b/>
                <w:kern w:val="0"/>
                <w:szCs w:val="21"/>
              </w:rPr>
              <w:t>y</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柏草坡村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757</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7</w:t>
            </w:r>
            <w:r>
              <w:rPr>
                <w:szCs w:val="21"/>
              </w:rPr>
              <w:t>74</w:t>
            </w:r>
          </w:p>
        </w:tc>
        <w:tc>
          <w:tcPr>
            <w:tcW w:w="639"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8</w:t>
            </w:r>
            <w:r>
              <w:rPr>
                <w:szCs w:val="21"/>
              </w:rPr>
              <w:t>07</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1027"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kern w:val="0"/>
                <w:szCs w:val="21"/>
              </w:rPr>
              <w:t>《环境空气质量标准》（</w:t>
            </w:r>
            <w:r>
              <w:rPr>
                <w:kern w:val="0"/>
                <w:szCs w:val="21"/>
              </w:rPr>
              <w:t>GB3095-2012</w:t>
            </w:r>
            <w:r>
              <w:rPr>
                <w:rFonts w:hint="eastAsia"/>
                <w:kern w:val="0"/>
                <w:szCs w:val="21"/>
              </w:rPr>
              <w:t>）中二类</w:t>
            </w: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N</w:t>
            </w:r>
            <w:r>
              <w:rPr>
                <w:szCs w:val="21"/>
              </w:rPr>
              <w:t>W</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张家坡村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41</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237</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5</w:t>
            </w:r>
            <w:r>
              <w:rPr>
                <w:szCs w:val="21"/>
              </w:rPr>
              <w:t>00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N</w:t>
            </w:r>
            <w:r>
              <w:rPr>
                <w:szCs w:val="21"/>
              </w:rPr>
              <w:t>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水泉村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10</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06</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000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N</w:t>
            </w:r>
            <w:r>
              <w:rPr>
                <w:szCs w:val="21"/>
              </w:rPr>
              <w:t>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田褚村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365</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19</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00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崖头寸</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069</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283</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40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李家沟村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100</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315</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87</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梁家沟村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241</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291</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6</w:t>
            </w:r>
            <w:r>
              <w:rPr>
                <w:szCs w:val="21"/>
              </w:rPr>
              <w:t>30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赵家街村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069</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307</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70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峪口村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000</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718</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6</w:t>
            </w:r>
            <w:r>
              <w:rPr>
                <w:szCs w:val="21"/>
              </w:rPr>
              <w:t>00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刘村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433</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1109</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077</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肃静村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167</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1201</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58</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圪垛村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35</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690</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110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8</w:t>
            </w: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下张家庄村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1252</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1523</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7</w:t>
            </w:r>
            <w:r>
              <w:rPr>
                <w:szCs w:val="21"/>
              </w:rPr>
              <w:t>86</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S</w:t>
            </w:r>
            <w:r>
              <w:rPr>
                <w:szCs w:val="21"/>
              </w:rPr>
              <w:t>W</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上张家庄村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2177</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1057</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4</w:t>
            </w:r>
            <w:r>
              <w:rPr>
                <w:szCs w:val="21"/>
              </w:rPr>
              <w:t>80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S</w:t>
            </w:r>
            <w:r>
              <w:rPr>
                <w:szCs w:val="21"/>
              </w:rPr>
              <w:t>W</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姜垣村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1552</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267</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6</w:t>
            </w:r>
            <w:r>
              <w:rPr>
                <w:szCs w:val="21"/>
              </w:rPr>
              <w:t>52</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W</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400</w:t>
            </w:r>
          </w:p>
        </w:tc>
      </w:tr>
    </w:tbl>
    <w:p>
      <w:pPr>
        <w:spacing w:line="480" w:lineRule="exact"/>
        <w:jc w:val="center"/>
        <w:rPr>
          <w:rFonts w:ascii="黑体" w:hAnsi="黑体" w:eastAsia="黑体"/>
          <w:bCs/>
          <w:sz w:val="24"/>
          <w:szCs w:val="24"/>
        </w:rPr>
      </w:pPr>
      <w:r>
        <w:rPr>
          <w:rFonts w:hint="eastAsia" w:ascii="黑体" w:hAnsi="黑体" w:eastAsia="黑体"/>
          <w:bCs/>
          <w:sz w:val="24"/>
          <w:szCs w:val="24"/>
        </w:rPr>
        <w:t>表2.6-2  地表水、地下水环境保护对象一览表</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06"/>
        <w:gridCol w:w="1580"/>
        <w:gridCol w:w="853"/>
        <w:gridCol w:w="1299"/>
        <w:gridCol w:w="39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76" w:type="pct"/>
            <w:vAlign w:val="center"/>
          </w:tcPr>
          <w:p>
            <w:pPr>
              <w:jc w:val="center"/>
              <w:rPr>
                <w:b/>
                <w:kern w:val="0"/>
                <w:szCs w:val="21"/>
              </w:rPr>
            </w:pPr>
            <w:r>
              <w:rPr>
                <w:b/>
                <w:kern w:val="0"/>
                <w:szCs w:val="21"/>
              </w:rPr>
              <w:t>环境要素</w:t>
            </w:r>
          </w:p>
        </w:tc>
        <w:tc>
          <w:tcPr>
            <w:tcW w:w="872" w:type="pct"/>
            <w:vAlign w:val="center"/>
          </w:tcPr>
          <w:p>
            <w:pPr>
              <w:jc w:val="center"/>
              <w:rPr>
                <w:b/>
                <w:kern w:val="0"/>
                <w:szCs w:val="21"/>
              </w:rPr>
            </w:pPr>
            <w:r>
              <w:rPr>
                <w:b/>
                <w:kern w:val="0"/>
                <w:szCs w:val="21"/>
              </w:rPr>
              <w:t>环境保护对象</w:t>
            </w:r>
          </w:p>
        </w:tc>
        <w:tc>
          <w:tcPr>
            <w:tcW w:w="471" w:type="pct"/>
            <w:vAlign w:val="center"/>
          </w:tcPr>
          <w:p>
            <w:pPr>
              <w:jc w:val="center"/>
              <w:rPr>
                <w:b/>
                <w:kern w:val="0"/>
                <w:szCs w:val="21"/>
              </w:rPr>
            </w:pPr>
            <w:r>
              <w:rPr>
                <w:b/>
                <w:kern w:val="0"/>
                <w:szCs w:val="21"/>
              </w:rPr>
              <w:t>方位</w:t>
            </w:r>
          </w:p>
        </w:tc>
        <w:tc>
          <w:tcPr>
            <w:tcW w:w="717" w:type="pct"/>
            <w:vAlign w:val="center"/>
          </w:tcPr>
          <w:p>
            <w:pPr>
              <w:jc w:val="center"/>
              <w:rPr>
                <w:b/>
                <w:kern w:val="0"/>
                <w:szCs w:val="21"/>
              </w:rPr>
            </w:pPr>
            <w:r>
              <w:rPr>
                <w:b/>
                <w:kern w:val="0"/>
                <w:szCs w:val="21"/>
              </w:rPr>
              <w:t>距离（m）</w:t>
            </w:r>
          </w:p>
        </w:tc>
        <w:tc>
          <w:tcPr>
            <w:tcW w:w="2164" w:type="pct"/>
            <w:vAlign w:val="center"/>
          </w:tcPr>
          <w:p>
            <w:pPr>
              <w:jc w:val="center"/>
              <w:rPr>
                <w:b/>
                <w:kern w:val="0"/>
                <w:szCs w:val="21"/>
              </w:rPr>
            </w:pPr>
            <w:r>
              <w:rPr>
                <w:b/>
                <w:kern w:val="0"/>
                <w:szCs w:val="21"/>
              </w:rPr>
              <w:t>环境功能</w:t>
            </w:r>
          </w:p>
        </w:tc>
      </w:tr>
      <w:tr>
        <w:tblPrEx>
          <w:tblCellMar>
            <w:top w:w="0" w:type="dxa"/>
            <w:left w:w="108" w:type="dxa"/>
            <w:bottom w:w="0" w:type="dxa"/>
            <w:right w:w="108" w:type="dxa"/>
          </w:tblCellMar>
        </w:tblPrEx>
        <w:trPr>
          <w:trHeight w:val="340" w:hRule="atLeast"/>
          <w:jc w:val="center"/>
        </w:trPr>
        <w:tc>
          <w:tcPr>
            <w:tcW w:w="776" w:type="pct"/>
            <w:vAlign w:val="center"/>
          </w:tcPr>
          <w:p>
            <w:pPr>
              <w:jc w:val="center"/>
              <w:rPr>
                <w:kern w:val="0"/>
                <w:szCs w:val="21"/>
              </w:rPr>
            </w:pPr>
            <w:r>
              <w:rPr>
                <w:kern w:val="0"/>
                <w:szCs w:val="21"/>
              </w:rPr>
              <w:t>地下水</w:t>
            </w:r>
          </w:p>
        </w:tc>
        <w:tc>
          <w:tcPr>
            <w:tcW w:w="2060" w:type="pct"/>
            <w:gridSpan w:val="3"/>
            <w:vAlign w:val="center"/>
          </w:tcPr>
          <w:p>
            <w:pPr>
              <w:jc w:val="center"/>
              <w:rPr>
                <w:szCs w:val="21"/>
              </w:rPr>
            </w:pPr>
            <w:r>
              <w:rPr>
                <w:rFonts w:hint="eastAsia"/>
                <w:szCs w:val="21"/>
              </w:rPr>
              <w:t>评价范围内潜水含水层</w:t>
            </w:r>
          </w:p>
        </w:tc>
        <w:tc>
          <w:tcPr>
            <w:tcW w:w="2164" w:type="pct"/>
            <w:vAlign w:val="center"/>
          </w:tcPr>
          <w:p>
            <w:pPr>
              <w:adjustRightInd w:val="0"/>
              <w:snapToGrid w:val="0"/>
              <w:jc w:val="center"/>
              <w:rPr>
                <w:spacing w:val="4"/>
                <w:szCs w:val="21"/>
              </w:rPr>
            </w:pPr>
            <w:r>
              <w:rPr>
                <w:spacing w:val="4"/>
                <w:szCs w:val="21"/>
              </w:rPr>
              <w:t>《地下水质量标准》</w:t>
            </w:r>
          </w:p>
          <w:p>
            <w:pPr>
              <w:adjustRightInd w:val="0"/>
              <w:snapToGrid w:val="0"/>
              <w:jc w:val="center"/>
              <w:rPr>
                <w:szCs w:val="21"/>
              </w:rPr>
            </w:pPr>
            <w:r>
              <w:rPr>
                <w:spacing w:val="4"/>
                <w:szCs w:val="21"/>
              </w:rPr>
              <w:t>（GB/T14848-2017）Ⅲ类标准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6" w:type="pct"/>
            <w:vAlign w:val="center"/>
          </w:tcPr>
          <w:p>
            <w:pPr>
              <w:jc w:val="center"/>
              <w:rPr>
                <w:kern w:val="0"/>
                <w:szCs w:val="21"/>
              </w:rPr>
            </w:pPr>
            <w:r>
              <w:rPr>
                <w:kern w:val="0"/>
                <w:szCs w:val="21"/>
              </w:rPr>
              <w:t>生态环境</w:t>
            </w:r>
          </w:p>
        </w:tc>
        <w:tc>
          <w:tcPr>
            <w:tcW w:w="4224" w:type="pct"/>
            <w:gridSpan w:val="4"/>
            <w:vAlign w:val="center"/>
          </w:tcPr>
          <w:p>
            <w:pPr>
              <w:jc w:val="center"/>
              <w:rPr>
                <w:kern w:val="0"/>
                <w:szCs w:val="21"/>
              </w:rPr>
            </w:pPr>
            <w:r>
              <w:rPr>
                <w:szCs w:val="21"/>
              </w:rPr>
              <w:t>厂址周围耕地及地表植被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6" w:type="pct"/>
            <w:vAlign w:val="center"/>
          </w:tcPr>
          <w:p>
            <w:pPr>
              <w:jc w:val="center"/>
              <w:rPr>
                <w:kern w:val="0"/>
                <w:szCs w:val="21"/>
              </w:rPr>
            </w:pPr>
            <w:r>
              <w:rPr>
                <w:rFonts w:hint="eastAsia"/>
                <w:kern w:val="0"/>
                <w:szCs w:val="21"/>
              </w:rPr>
              <w:t>土壤环境</w:t>
            </w:r>
          </w:p>
        </w:tc>
        <w:tc>
          <w:tcPr>
            <w:tcW w:w="4224" w:type="pct"/>
            <w:gridSpan w:val="4"/>
            <w:vAlign w:val="center"/>
          </w:tcPr>
          <w:p>
            <w:pPr>
              <w:jc w:val="center"/>
              <w:rPr>
                <w:szCs w:val="21"/>
              </w:rPr>
            </w:pPr>
            <w:r>
              <w:rPr>
                <w:szCs w:val="21"/>
              </w:rPr>
              <w:t>厂址周围耕地及</w:t>
            </w:r>
            <w:r>
              <w:rPr>
                <w:rFonts w:hint="eastAsia"/>
                <w:szCs w:val="21"/>
              </w:rPr>
              <w:t>占地范围内土壤</w:t>
            </w:r>
          </w:p>
        </w:tc>
      </w:tr>
    </w:tbl>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ind w:firstLine="480" w:firstLineChars="200"/>
        <w:rPr>
          <w:bCs/>
          <w:sz w:val="24"/>
          <w:szCs w:val="24"/>
        </w:rPr>
      </w:pPr>
    </w:p>
    <w:p>
      <w:pPr>
        <w:spacing w:line="40" w:lineRule="exact"/>
        <w:ind w:firstLine="480" w:firstLineChars="200"/>
        <w:rPr>
          <w:bCs/>
          <w:sz w:val="24"/>
          <w:szCs w:val="24"/>
        </w:rPr>
      </w:pPr>
    </w:p>
    <w:p>
      <w:pPr>
        <w:spacing w:line="40" w:lineRule="exact"/>
        <w:ind w:firstLine="480" w:firstLineChars="200"/>
        <w:rPr>
          <w:bCs/>
          <w:sz w:val="24"/>
          <w:szCs w:val="24"/>
        </w:rPr>
      </w:pPr>
    </w:p>
    <w:p>
      <w:pPr>
        <w:spacing w:line="40" w:lineRule="exact"/>
        <w:ind w:firstLine="480" w:firstLineChars="200"/>
        <w:rPr>
          <w:bCs/>
          <w:sz w:val="24"/>
          <w:szCs w:val="24"/>
        </w:rPr>
      </w:pPr>
    </w:p>
    <w:p>
      <w:pPr>
        <w:spacing w:line="40" w:lineRule="exact"/>
        <w:ind w:firstLine="480" w:firstLineChars="200"/>
        <w:rPr>
          <w:bCs/>
          <w:sz w:val="24"/>
          <w:szCs w:val="24"/>
        </w:rPr>
      </w:pPr>
    </w:p>
    <w:p>
      <w:pPr>
        <w:spacing w:line="40" w:lineRule="exact"/>
        <w:ind w:firstLine="480" w:firstLineChars="200"/>
        <w:rPr>
          <w:bCs/>
          <w:sz w:val="24"/>
          <w:szCs w:val="24"/>
        </w:rPr>
      </w:pPr>
    </w:p>
    <w:p>
      <w:pPr>
        <w:spacing w:line="460" w:lineRule="exact"/>
        <w:ind w:firstLine="480" w:firstLineChars="200"/>
        <w:rPr>
          <w:sz w:val="24"/>
        </w:rPr>
        <w:sectPr>
          <w:headerReference r:id="rId7" w:type="default"/>
          <w:pgSz w:w="11906" w:h="16838"/>
          <w:pgMar w:top="1418" w:right="1531" w:bottom="1418" w:left="1531" w:header="851" w:footer="992" w:gutter="0"/>
          <w:cols w:space="425" w:num="1"/>
          <w:docGrid w:type="linesAndChars" w:linePitch="312" w:charSpace="0"/>
        </w:sectPr>
      </w:pPr>
    </w:p>
    <w:p>
      <w:pPr>
        <w:spacing w:line="720" w:lineRule="auto"/>
        <w:jc w:val="center"/>
        <w:outlineLvl w:val="0"/>
        <w:rPr>
          <w:rFonts w:hAnsi="黑体" w:eastAsia="黑体"/>
          <w:b/>
          <w:bCs/>
          <w:sz w:val="44"/>
          <w:szCs w:val="44"/>
        </w:rPr>
      </w:pPr>
      <w:bookmarkStart w:id="47" w:name="_Toc19105454"/>
      <w:r>
        <w:rPr>
          <w:rFonts w:hint="eastAsia" w:hAnsi="黑体" w:eastAsia="黑体"/>
          <w:b/>
          <w:bCs/>
          <w:sz w:val="44"/>
          <w:szCs w:val="44"/>
        </w:rPr>
        <w:t>3工程分析</w:t>
      </w:r>
      <w:bookmarkEnd w:id="47"/>
    </w:p>
    <w:p>
      <w:pPr>
        <w:pStyle w:val="2"/>
        <w:spacing w:before="156" w:beforeLines="50" w:after="0" w:line="480" w:lineRule="exact"/>
        <w:rPr>
          <w:rFonts w:ascii="宋体" w:hAnsi="宋体" w:eastAsia="宋体" w:cs="Times New Roman"/>
          <w:spacing w:val="4"/>
          <w:sz w:val="28"/>
          <w:szCs w:val="28"/>
        </w:rPr>
      </w:pPr>
      <w:bookmarkStart w:id="48" w:name="_Toc19105455"/>
      <w:r>
        <w:rPr>
          <w:rFonts w:ascii="Times New Roman" w:hAnsi="Times New Roman" w:eastAsia="黑体" w:cs="Times New Roman"/>
          <w:spacing w:val="4"/>
          <w:sz w:val="28"/>
          <w:szCs w:val="28"/>
        </w:rPr>
        <w:t>3.</w:t>
      </w:r>
      <w:r>
        <w:rPr>
          <w:rFonts w:hint="eastAsia" w:ascii="Times New Roman" w:hAnsi="Times New Roman" w:eastAsia="黑体" w:cs="Times New Roman"/>
          <w:spacing w:val="4"/>
          <w:sz w:val="28"/>
          <w:szCs w:val="28"/>
        </w:rPr>
        <w:t>1</w:t>
      </w:r>
      <w:r>
        <w:rPr>
          <w:rFonts w:hint="eastAsia" w:ascii="宋体" w:hAnsi="宋体" w:eastAsia="宋体" w:cs="Times New Roman"/>
          <w:spacing w:val="4"/>
          <w:sz w:val="28"/>
          <w:szCs w:val="28"/>
        </w:rPr>
        <w:t>项目概况</w:t>
      </w:r>
      <w:bookmarkEnd w:id="48"/>
    </w:p>
    <w:p>
      <w:pPr>
        <w:spacing w:line="480" w:lineRule="exact"/>
        <w:ind w:firstLine="480" w:firstLineChars="200"/>
        <w:rPr>
          <w:sz w:val="24"/>
          <w:szCs w:val="24"/>
        </w:rPr>
      </w:pPr>
      <w:r>
        <w:rPr>
          <w:rFonts w:hint="eastAsia" w:hAnsi="宋体"/>
          <w:bCs/>
          <w:sz w:val="24"/>
          <w:szCs w:val="24"/>
        </w:rPr>
        <w:t>“汾阳市褚凤肉鸡养殖项目”位于汾阳市峪道河镇田褚村，占地面积约42000m</w:t>
      </w:r>
      <w:r>
        <w:rPr>
          <w:rFonts w:hint="eastAsia" w:hAnsi="宋体"/>
          <w:bCs/>
          <w:sz w:val="24"/>
          <w:szCs w:val="24"/>
          <w:vertAlign w:val="superscript"/>
        </w:rPr>
        <w:t>2</w:t>
      </w:r>
      <w:r>
        <w:rPr>
          <w:rFonts w:hint="eastAsia" w:hAnsi="宋体"/>
          <w:bCs/>
          <w:sz w:val="24"/>
          <w:szCs w:val="24"/>
        </w:rPr>
        <w:t>，本项目主要建设内容为新建鸡舍</w:t>
      </w:r>
      <w:r>
        <w:rPr>
          <w:rFonts w:hAnsi="宋体"/>
          <w:bCs/>
          <w:sz w:val="24"/>
          <w:szCs w:val="24"/>
        </w:rPr>
        <w:t>7</w:t>
      </w:r>
      <w:r>
        <w:rPr>
          <w:rFonts w:hint="eastAsia" w:hAnsi="宋体"/>
          <w:bCs/>
          <w:sz w:val="24"/>
          <w:szCs w:val="24"/>
        </w:rPr>
        <w:t>栋，并配套锅炉房、污水处理站等构建筑物；本项目为采购鸡苗养殖，不含孵化过程。本项目</w:t>
      </w:r>
      <w:r>
        <w:rPr>
          <w:rFonts w:hAnsi="宋体"/>
          <w:bCs/>
          <w:sz w:val="24"/>
          <w:szCs w:val="24"/>
        </w:rPr>
        <w:t>每栋鸡舍每批次可养殖肉鸡</w:t>
      </w:r>
      <w:r>
        <w:rPr>
          <w:rFonts w:hint="eastAsia" w:hAnsi="宋体"/>
          <w:bCs/>
          <w:sz w:val="24"/>
          <w:szCs w:val="24"/>
        </w:rPr>
        <w:t>约</w:t>
      </w:r>
      <w:r>
        <w:rPr>
          <w:rFonts w:hAnsi="宋体"/>
          <w:bCs/>
          <w:sz w:val="24"/>
          <w:szCs w:val="24"/>
        </w:rPr>
        <w:t>3.4万只，</w:t>
      </w:r>
      <w:r>
        <w:rPr>
          <w:rFonts w:hint="eastAsia" w:hAnsi="宋体"/>
          <w:bCs/>
          <w:sz w:val="24"/>
          <w:szCs w:val="24"/>
        </w:rPr>
        <w:t>项目达产后可年出栏</w:t>
      </w:r>
      <w:r>
        <w:rPr>
          <w:rFonts w:hAnsi="宋体"/>
          <w:bCs/>
          <w:sz w:val="24"/>
          <w:szCs w:val="24"/>
        </w:rPr>
        <w:t>6</w:t>
      </w:r>
      <w:r>
        <w:rPr>
          <w:rFonts w:hint="eastAsia" w:hAnsi="宋体"/>
          <w:bCs/>
          <w:sz w:val="24"/>
          <w:szCs w:val="24"/>
        </w:rPr>
        <w:t>个批次，年出栏肉鸡约</w:t>
      </w:r>
      <w:r>
        <w:rPr>
          <w:rFonts w:hAnsi="宋体"/>
          <w:bCs/>
          <w:sz w:val="24"/>
          <w:szCs w:val="24"/>
        </w:rPr>
        <w:t>140</w:t>
      </w:r>
      <w:r>
        <w:rPr>
          <w:rFonts w:hint="eastAsia" w:hAnsi="宋体"/>
          <w:bCs/>
          <w:sz w:val="24"/>
          <w:szCs w:val="24"/>
        </w:rPr>
        <w:t>万羽。</w:t>
      </w:r>
    </w:p>
    <w:p>
      <w:pPr>
        <w:pStyle w:val="57"/>
        <w:keepNext/>
        <w:keepLines/>
        <w:spacing w:before="0" w:after="0" w:line="480" w:lineRule="exact"/>
        <w:ind w:firstLine="0" w:firstLineChars="0"/>
        <w:outlineLvl w:val="2"/>
        <w:rPr>
          <w:rFonts w:eastAsia="黑体"/>
          <w:b/>
        </w:rPr>
      </w:pPr>
      <w:r>
        <w:rPr>
          <w:b/>
        </w:rPr>
        <w:t>3.</w:t>
      </w:r>
      <w:r>
        <w:rPr>
          <w:rFonts w:hint="eastAsia"/>
          <w:b/>
        </w:rPr>
        <w:t>1</w:t>
      </w:r>
      <w:r>
        <w:rPr>
          <w:b/>
        </w:rPr>
        <w:t>.1</w:t>
      </w:r>
      <w:r>
        <w:rPr>
          <w:rFonts w:hint="eastAsia" w:ascii="宋体" w:hAnsi="宋体"/>
          <w:b/>
        </w:rPr>
        <w:t>项目基本信息</w:t>
      </w:r>
    </w:p>
    <w:p>
      <w:pPr>
        <w:pStyle w:val="57"/>
        <w:spacing w:before="0" w:after="0" w:line="480" w:lineRule="exact"/>
        <w:ind w:firstLine="480"/>
        <w:rPr>
          <w:color w:val="000000"/>
        </w:rPr>
      </w:pPr>
      <w:r>
        <w:rPr>
          <w:rFonts w:hint="eastAsia"/>
          <w:bCs/>
        </w:rPr>
        <w:t>项目基本信息见表3.1-1。</w:t>
      </w:r>
    </w:p>
    <w:p>
      <w:pPr>
        <w:spacing w:line="480" w:lineRule="exact"/>
        <w:jc w:val="center"/>
        <w:rPr>
          <w:rFonts w:ascii="黑体" w:hAnsi="黑体" w:eastAsia="黑体"/>
          <w:bCs/>
          <w:sz w:val="24"/>
          <w:szCs w:val="24"/>
        </w:rPr>
      </w:pPr>
      <w:r>
        <w:rPr>
          <w:rFonts w:hint="eastAsia" w:ascii="黑体" w:hAnsi="黑体" w:eastAsia="黑体"/>
          <w:bCs/>
          <w:sz w:val="24"/>
          <w:szCs w:val="24"/>
        </w:rPr>
        <w:t>表3.</w:t>
      </w:r>
      <w:r>
        <w:rPr>
          <w:rFonts w:ascii="黑体" w:hAnsi="黑体" w:eastAsia="黑体"/>
          <w:bCs/>
          <w:sz w:val="24"/>
          <w:szCs w:val="24"/>
        </w:rPr>
        <w:t>1</w:t>
      </w:r>
      <w:r>
        <w:rPr>
          <w:rFonts w:hint="eastAsia" w:ascii="黑体" w:hAnsi="黑体" w:eastAsia="黑体"/>
          <w:bCs/>
          <w:sz w:val="24"/>
          <w:szCs w:val="24"/>
        </w:rPr>
        <w:t>-1  项目基本信息</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7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pct"/>
            <w:vAlign w:val="center"/>
          </w:tcPr>
          <w:p>
            <w:pPr>
              <w:jc w:val="center"/>
              <w:rPr>
                <w:bCs/>
                <w:szCs w:val="21"/>
              </w:rPr>
            </w:pPr>
            <w:r>
              <w:rPr>
                <w:rFonts w:hint="eastAsia"/>
                <w:bCs/>
                <w:szCs w:val="21"/>
              </w:rPr>
              <w:t>项目</w:t>
            </w:r>
          </w:p>
        </w:tc>
        <w:tc>
          <w:tcPr>
            <w:tcW w:w="4226" w:type="pct"/>
            <w:vAlign w:val="center"/>
          </w:tcPr>
          <w:p>
            <w:pPr>
              <w:jc w:val="center"/>
              <w:rPr>
                <w:bCs/>
                <w:szCs w:val="21"/>
              </w:rPr>
            </w:pPr>
            <w:r>
              <w:rPr>
                <w:rFonts w:hint="eastAsia"/>
                <w:bCs/>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pct"/>
            <w:vAlign w:val="center"/>
          </w:tcPr>
          <w:p>
            <w:pPr>
              <w:jc w:val="center"/>
              <w:rPr>
                <w:bCs/>
                <w:szCs w:val="21"/>
              </w:rPr>
            </w:pPr>
            <w:r>
              <w:rPr>
                <w:rFonts w:hint="eastAsia"/>
                <w:bCs/>
                <w:szCs w:val="21"/>
              </w:rPr>
              <w:t>项目名称</w:t>
            </w:r>
          </w:p>
        </w:tc>
        <w:tc>
          <w:tcPr>
            <w:tcW w:w="4226" w:type="pct"/>
            <w:vAlign w:val="center"/>
          </w:tcPr>
          <w:p>
            <w:pPr>
              <w:jc w:val="center"/>
              <w:rPr>
                <w:bCs/>
                <w:szCs w:val="21"/>
              </w:rPr>
            </w:pPr>
            <w:r>
              <w:rPr>
                <w:rFonts w:hint="eastAsia"/>
              </w:rPr>
              <w:t>汾阳市褚凤肉鸡养殖项目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pct"/>
            <w:vAlign w:val="center"/>
          </w:tcPr>
          <w:p>
            <w:pPr>
              <w:jc w:val="center"/>
              <w:rPr>
                <w:bCs/>
                <w:szCs w:val="21"/>
              </w:rPr>
            </w:pPr>
            <w:r>
              <w:rPr>
                <w:rFonts w:hint="eastAsia"/>
                <w:bCs/>
                <w:szCs w:val="21"/>
              </w:rPr>
              <w:t>备案号</w:t>
            </w:r>
          </w:p>
        </w:tc>
        <w:tc>
          <w:tcPr>
            <w:tcW w:w="4226" w:type="pct"/>
            <w:vAlign w:val="center"/>
          </w:tcPr>
          <w:p>
            <w:pPr>
              <w:jc w:val="center"/>
            </w:pPr>
            <w:r>
              <w:rPr>
                <w:rFonts w:hint="eastAsia"/>
              </w:rPr>
              <w:t>汾阳市发展和改革局，编号2019-111号；项目编码：</w:t>
            </w:r>
            <w:r>
              <w:t>2019-141182-03-03-010469</w:t>
            </w:r>
            <w:r>
              <w:rPr>
                <w:rFonts w:hint="eastAsia"/>
              </w:rPr>
              <w:t>，2</w:t>
            </w:r>
            <w:r>
              <w:t>019</w:t>
            </w:r>
            <w:r>
              <w:rPr>
                <w:rFonts w:hint="eastAsia"/>
              </w:rPr>
              <w:t>年6月3日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pct"/>
            <w:vAlign w:val="center"/>
          </w:tcPr>
          <w:p>
            <w:pPr>
              <w:jc w:val="center"/>
              <w:rPr>
                <w:bCs/>
                <w:szCs w:val="21"/>
              </w:rPr>
            </w:pPr>
            <w:r>
              <w:rPr>
                <w:rFonts w:hint="eastAsia"/>
                <w:bCs/>
                <w:szCs w:val="21"/>
              </w:rPr>
              <w:t>建设单位</w:t>
            </w:r>
          </w:p>
        </w:tc>
        <w:tc>
          <w:tcPr>
            <w:tcW w:w="4226" w:type="pct"/>
            <w:vAlign w:val="center"/>
          </w:tcPr>
          <w:p>
            <w:pPr>
              <w:jc w:val="center"/>
              <w:rPr>
                <w:bCs/>
                <w:szCs w:val="21"/>
              </w:rPr>
            </w:pPr>
            <w:r>
              <w:rPr>
                <w:rFonts w:hint="eastAsia"/>
              </w:rPr>
              <w:t>汾阳市褚凤养殖场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pct"/>
            <w:vAlign w:val="center"/>
          </w:tcPr>
          <w:p>
            <w:pPr>
              <w:jc w:val="center"/>
              <w:rPr>
                <w:bCs/>
                <w:szCs w:val="21"/>
              </w:rPr>
            </w:pPr>
            <w:r>
              <w:rPr>
                <w:rFonts w:hint="eastAsia"/>
                <w:bCs/>
                <w:szCs w:val="21"/>
              </w:rPr>
              <w:t>建设性质</w:t>
            </w:r>
          </w:p>
        </w:tc>
        <w:tc>
          <w:tcPr>
            <w:tcW w:w="4226" w:type="pct"/>
            <w:vAlign w:val="center"/>
          </w:tcPr>
          <w:p>
            <w:pPr>
              <w:jc w:val="center"/>
              <w:rPr>
                <w:bCs/>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pct"/>
            <w:vAlign w:val="center"/>
          </w:tcPr>
          <w:p>
            <w:pPr>
              <w:jc w:val="center"/>
              <w:rPr>
                <w:bCs/>
                <w:szCs w:val="21"/>
              </w:rPr>
            </w:pPr>
            <w:r>
              <w:rPr>
                <w:rFonts w:hint="eastAsia"/>
                <w:bCs/>
                <w:szCs w:val="21"/>
              </w:rPr>
              <w:t>建设地点</w:t>
            </w:r>
          </w:p>
        </w:tc>
        <w:tc>
          <w:tcPr>
            <w:tcW w:w="4226" w:type="pct"/>
            <w:vAlign w:val="center"/>
          </w:tcPr>
          <w:p>
            <w:pPr>
              <w:jc w:val="center"/>
              <w:rPr>
                <w:bCs/>
                <w:szCs w:val="21"/>
              </w:rPr>
            </w:pPr>
            <w:r>
              <w:rPr>
                <w:rFonts w:hint="eastAsia"/>
                <w:bCs/>
                <w:szCs w:val="21"/>
              </w:rPr>
              <w:t>汾阳市峪道河镇田褚村西侧约1km处</w:t>
            </w:r>
            <w:r>
              <w:rPr>
                <w:rFonts w:hint="eastAsia"/>
              </w:rPr>
              <w:t>，厂址中心点坐标为E</w:t>
            </w:r>
            <w:r>
              <w:t>111.769097</w:t>
            </w:r>
            <w:r>
              <w:rPr>
                <w:rFonts w:hint="eastAsia"/>
              </w:rPr>
              <w:t>°，N</w:t>
            </w:r>
            <w:r>
              <w:t>37.331297</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pct"/>
            <w:vAlign w:val="center"/>
          </w:tcPr>
          <w:p>
            <w:pPr>
              <w:jc w:val="center"/>
              <w:rPr>
                <w:bCs/>
                <w:szCs w:val="21"/>
              </w:rPr>
            </w:pPr>
            <w:r>
              <w:rPr>
                <w:rFonts w:hint="eastAsia"/>
                <w:bCs/>
                <w:szCs w:val="21"/>
              </w:rPr>
              <w:t>总投资</w:t>
            </w:r>
          </w:p>
        </w:tc>
        <w:tc>
          <w:tcPr>
            <w:tcW w:w="4226" w:type="pct"/>
            <w:vAlign w:val="center"/>
          </w:tcPr>
          <w:p>
            <w:pPr>
              <w:jc w:val="center"/>
              <w:rPr>
                <w:bCs/>
                <w:szCs w:val="21"/>
              </w:rPr>
            </w:pPr>
            <w:r>
              <w:rPr>
                <w:bCs/>
                <w:szCs w:val="21"/>
              </w:rPr>
              <w:t>总投资为1500万元，全部由企业自筹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pct"/>
            <w:vAlign w:val="center"/>
          </w:tcPr>
          <w:p>
            <w:pPr>
              <w:jc w:val="center"/>
              <w:rPr>
                <w:bCs/>
                <w:szCs w:val="21"/>
              </w:rPr>
            </w:pPr>
            <w:r>
              <w:rPr>
                <w:rFonts w:hint="eastAsia"/>
                <w:bCs/>
                <w:szCs w:val="21"/>
              </w:rPr>
              <w:t>建设规模</w:t>
            </w:r>
          </w:p>
        </w:tc>
        <w:tc>
          <w:tcPr>
            <w:tcW w:w="4226" w:type="pct"/>
            <w:vAlign w:val="center"/>
          </w:tcPr>
          <w:p>
            <w:pPr>
              <w:jc w:val="center"/>
              <w:rPr>
                <w:bCs/>
                <w:szCs w:val="21"/>
              </w:rPr>
            </w:pPr>
            <w:r>
              <w:rPr>
                <w:rFonts w:hint="eastAsia" w:hAnsi="宋体"/>
                <w:bCs/>
              </w:rPr>
              <w:t>鸡舍7栋，</w:t>
            </w:r>
            <w:r>
              <w:rPr>
                <w:rFonts w:hAnsi="宋体"/>
                <w:bCs/>
              </w:rPr>
              <w:t>每栋鸡舍每批次可养殖肉鸡</w:t>
            </w:r>
            <w:r>
              <w:rPr>
                <w:rFonts w:hint="eastAsia" w:hAnsi="宋体"/>
                <w:bCs/>
              </w:rPr>
              <w:t>约</w:t>
            </w:r>
            <w:r>
              <w:rPr>
                <w:rFonts w:hAnsi="宋体"/>
                <w:bCs/>
              </w:rPr>
              <w:t>3.4万只</w:t>
            </w:r>
            <w:r>
              <w:rPr>
                <w:rFonts w:hint="eastAsia"/>
                <w:bCs/>
                <w:szCs w:val="21"/>
              </w:rPr>
              <w:t>，项目达产后可年出栏6个批次，年出栏肉鸡约140万羽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pct"/>
            <w:vAlign w:val="center"/>
          </w:tcPr>
          <w:p>
            <w:pPr>
              <w:jc w:val="center"/>
              <w:rPr>
                <w:bCs/>
                <w:szCs w:val="21"/>
              </w:rPr>
            </w:pPr>
            <w:r>
              <w:rPr>
                <w:bCs/>
                <w:szCs w:val="21"/>
              </w:rPr>
              <w:t>工作制度及劳动定员</w:t>
            </w:r>
          </w:p>
        </w:tc>
        <w:tc>
          <w:tcPr>
            <w:tcW w:w="4226" w:type="pct"/>
            <w:vAlign w:val="center"/>
          </w:tcPr>
          <w:p>
            <w:pPr>
              <w:jc w:val="center"/>
              <w:rPr>
                <w:bCs/>
                <w:szCs w:val="21"/>
              </w:rPr>
            </w:pPr>
            <w:r>
              <w:rPr>
                <w:bCs/>
                <w:szCs w:val="21"/>
              </w:rPr>
              <w:t>年工作日3</w:t>
            </w:r>
            <w:r>
              <w:rPr>
                <w:rFonts w:hint="eastAsia"/>
                <w:bCs/>
                <w:szCs w:val="21"/>
              </w:rPr>
              <w:t>6</w:t>
            </w:r>
            <w:r>
              <w:rPr>
                <w:bCs/>
                <w:szCs w:val="21"/>
              </w:rPr>
              <w:t>5天</w:t>
            </w:r>
            <w:r>
              <w:rPr>
                <w:rFonts w:hint="eastAsia"/>
                <w:bCs/>
                <w:szCs w:val="21"/>
              </w:rPr>
              <w:t>，24h/d；工作定员</w:t>
            </w:r>
            <w:r>
              <w:rPr>
                <w:bCs/>
                <w:szCs w:val="21"/>
              </w:rPr>
              <w:t>15</w:t>
            </w:r>
            <w:r>
              <w:rPr>
                <w:rFonts w:hint="eastAsia"/>
                <w:bCs/>
                <w:szCs w:val="21"/>
              </w:rPr>
              <w:t>人</w:t>
            </w:r>
          </w:p>
        </w:tc>
      </w:tr>
    </w:tbl>
    <w:p>
      <w:pPr>
        <w:pStyle w:val="57"/>
        <w:keepNext/>
        <w:keepLines/>
        <w:spacing w:before="0" w:after="0" w:line="480" w:lineRule="exact"/>
        <w:ind w:firstLine="0" w:firstLineChars="0"/>
        <w:outlineLvl w:val="2"/>
        <w:rPr>
          <w:rFonts w:eastAsia="黑体"/>
          <w:b/>
        </w:rPr>
      </w:pPr>
      <w:r>
        <w:rPr>
          <w:b/>
        </w:rPr>
        <w:t>3.1.</w:t>
      </w:r>
      <w:r>
        <w:rPr>
          <w:rFonts w:hint="eastAsia"/>
          <w:b/>
        </w:rPr>
        <w:t>2</w:t>
      </w:r>
      <w:r>
        <w:rPr>
          <w:rFonts w:hint="eastAsia" w:ascii="宋体" w:hAnsi="宋体"/>
          <w:b/>
        </w:rPr>
        <w:t>项目</w:t>
      </w:r>
      <w:r>
        <w:rPr>
          <w:rFonts w:ascii="宋体" w:hAnsi="宋体"/>
          <w:b/>
        </w:rPr>
        <w:t>产品方案</w:t>
      </w:r>
    </w:p>
    <w:p>
      <w:pPr>
        <w:pStyle w:val="57"/>
        <w:spacing w:before="0" w:after="0" w:line="480" w:lineRule="exact"/>
        <w:ind w:firstLine="480"/>
      </w:pPr>
      <w:r>
        <w:rPr>
          <w:rFonts w:hint="eastAsia"/>
        </w:rPr>
        <w:t>项目投运后，年出栏肉鸡140万羽。产品方案见表3.</w:t>
      </w:r>
      <w:r>
        <w:t>1</w:t>
      </w:r>
      <w:r>
        <w:rPr>
          <w:rFonts w:hint="eastAsia"/>
        </w:rPr>
        <w:t>-</w:t>
      </w:r>
      <w:r>
        <w:t>2</w:t>
      </w:r>
      <w:r>
        <w:rPr>
          <w:rFonts w:hint="eastAsia"/>
        </w:rPr>
        <w:t>。</w:t>
      </w:r>
    </w:p>
    <w:p>
      <w:pPr>
        <w:pStyle w:val="57"/>
        <w:snapToGrid/>
        <w:spacing w:before="0" w:after="0" w:line="480" w:lineRule="exact"/>
        <w:ind w:firstLine="0" w:firstLineChars="0"/>
        <w:jc w:val="center"/>
        <w:rPr>
          <w:rFonts w:ascii="黑体" w:hAnsi="黑体" w:eastAsia="黑体"/>
          <w:bCs/>
          <w:spacing w:val="4"/>
          <w:szCs w:val="21"/>
        </w:rPr>
      </w:pPr>
      <w:r>
        <w:rPr>
          <w:rFonts w:ascii="黑体" w:hAnsi="黑体" w:eastAsia="黑体"/>
          <w:szCs w:val="21"/>
        </w:rPr>
        <w:t>表</w:t>
      </w:r>
      <w:r>
        <w:rPr>
          <w:rFonts w:hint="eastAsia" w:ascii="黑体" w:hAnsi="黑体" w:eastAsia="黑体"/>
          <w:szCs w:val="21"/>
        </w:rPr>
        <w:t>3.</w:t>
      </w:r>
      <w:r>
        <w:rPr>
          <w:rFonts w:ascii="黑体" w:hAnsi="黑体" w:eastAsia="黑体"/>
          <w:szCs w:val="21"/>
        </w:rPr>
        <w:t>1</w:t>
      </w:r>
      <w:r>
        <w:rPr>
          <w:rFonts w:hint="eastAsia" w:ascii="黑体" w:hAnsi="黑体" w:eastAsia="黑体"/>
          <w:szCs w:val="21"/>
        </w:rPr>
        <w:t>-</w:t>
      </w:r>
      <w:r>
        <w:rPr>
          <w:rFonts w:ascii="黑体" w:hAnsi="黑体" w:eastAsia="黑体"/>
          <w:szCs w:val="21"/>
        </w:rPr>
        <w:t xml:space="preserve">2 </w:t>
      </w:r>
      <w:r>
        <w:rPr>
          <w:rFonts w:hint="eastAsia" w:ascii="黑体" w:hAnsi="黑体" w:eastAsia="黑体"/>
          <w:szCs w:val="21"/>
        </w:rPr>
        <w:t xml:space="preserve"> </w:t>
      </w:r>
      <w:r>
        <w:rPr>
          <w:rFonts w:hint="eastAsia" w:ascii="黑体" w:hAnsi="黑体" w:eastAsia="黑体"/>
          <w:bCs/>
          <w:szCs w:val="21"/>
        </w:rPr>
        <w:t>项目</w:t>
      </w:r>
      <w:r>
        <w:rPr>
          <w:rFonts w:hint="eastAsia" w:ascii="黑体" w:hAnsi="黑体" w:eastAsia="黑体"/>
          <w:szCs w:val="21"/>
        </w:rPr>
        <w:t>产品方案表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vAlign w:val="center"/>
          </w:tcPr>
          <w:p>
            <w:pPr>
              <w:pStyle w:val="57"/>
              <w:spacing w:before="0" w:after="0" w:line="240" w:lineRule="auto"/>
              <w:ind w:firstLine="0" w:firstLineChars="0"/>
              <w:jc w:val="center"/>
              <w:rPr>
                <w:sz w:val="21"/>
                <w:szCs w:val="21"/>
              </w:rPr>
            </w:pPr>
            <w:r>
              <w:rPr>
                <w:rFonts w:hint="eastAsia"/>
                <w:sz w:val="21"/>
                <w:szCs w:val="21"/>
              </w:rPr>
              <w:t>产品名称</w:t>
            </w:r>
          </w:p>
        </w:tc>
        <w:tc>
          <w:tcPr>
            <w:tcW w:w="2500" w:type="pct"/>
            <w:vAlign w:val="center"/>
          </w:tcPr>
          <w:p>
            <w:pPr>
              <w:pStyle w:val="57"/>
              <w:spacing w:before="0" w:after="0" w:line="240" w:lineRule="auto"/>
              <w:ind w:firstLine="0" w:firstLineChars="0"/>
              <w:jc w:val="center"/>
              <w:rPr>
                <w:sz w:val="21"/>
                <w:szCs w:val="21"/>
              </w:rPr>
            </w:pPr>
            <w:r>
              <w:rPr>
                <w:rFonts w:hint="eastAsia"/>
                <w:sz w:val="21"/>
                <w:szCs w:val="21"/>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500" w:type="pct"/>
            <w:vAlign w:val="center"/>
          </w:tcPr>
          <w:p>
            <w:pPr>
              <w:pStyle w:val="57"/>
              <w:spacing w:before="0" w:after="0" w:line="240" w:lineRule="auto"/>
              <w:ind w:firstLine="0" w:firstLineChars="0"/>
              <w:jc w:val="center"/>
              <w:rPr>
                <w:sz w:val="21"/>
                <w:szCs w:val="21"/>
              </w:rPr>
            </w:pPr>
            <w:r>
              <w:rPr>
                <w:rFonts w:hint="eastAsia"/>
                <w:sz w:val="21"/>
                <w:szCs w:val="21"/>
              </w:rPr>
              <w:t>商品肉鸡</w:t>
            </w:r>
          </w:p>
        </w:tc>
        <w:tc>
          <w:tcPr>
            <w:tcW w:w="2500" w:type="pct"/>
            <w:vAlign w:val="center"/>
          </w:tcPr>
          <w:p>
            <w:pPr>
              <w:pStyle w:val="57"/>
              <w:spacing w:before="0" w:after="0" w:line="240" w:lineRule="auto"/>
              <w:ind w:firstLine="0" w:firstLineChars="0"/>
              <w:jc w:val="center"/>
              <w:rPr>
                <w:sz w:val="21"/>
                <w:szCs w:val="21"/>
              </w:rPr>
            </w:pPr>
            <w:r>
              <w:rPr>
                <w:bCs/>
                <w:sz w:val="21"/>
                <w:szCs w:val="21"/>
              </w:rPr>
              <w:t>140</w:t>
            </w:r>
            <w:r>
              <w:rPr>
                <w:rFonts w:hint="eastAsia"/>
                <w:bCs/>
                <w:sz w:val="21"/>
                <w:szCs w:val="21"/>
              </w:rPr>
              <w:t>万只/年</w:t>
            </w:r>
          </w:p>
        </w:tc>
      </w:tr>
    </w:tbl>
    <w:p>
      <w:pPr>
        <w:pStyle w:val="57"/>
        <w:keepNext/>
        <w:keepLines/>
        <w:spacing w:before="0" w:after="0" w:line="480" w:lineRule="exact"/>
        <w:ind w:firstLine="0" w:firstLineChars="0"/>
        <w:outlineLvl w:val="2"/>
        <w:rPr>
          <w:rStyle w:val="111"/>
        </w:rPr>
      </w:pPr>
      <w:r>
        <w:rPr>
          <w:b/>
        </w:rPr>
        <w:t>3.1.</w:t>
      </w:r>
      <w:r>
        <w:rPr>
          <w:rFonts w:hint="eastAsia"/>
          <w:b/>
        </w:rPr>
        <w:t>3</w:t>
      </w:r>
      <w:r>
        <w:rPr>
          <w:rFonts w:hint="eastAsia" w:ascii="宋体" w:hAnsi="宋体"/>
          <w:b/>
        </w:rPr>
        <w:t>项目主要建设内容</w:t>
      </w:r>
    </w:p>
    <w:p>
      <w:pPr>
        <w:pStyle w:val="57"/>
        <w:spacing w:before="0" w:after="0" w:line="480" w:lineRule="exact"/>
        <w:ind w:firstLine="480"/>
        <w:rPr>
          <w:rFonts w:hAnsi="宋体"/>
          <w:bCs/>
        </w:rPr>
      </w:pPr>
      <w:r>
        <w:rPr>
          <w:rFonts w:hint="eastAsia" w:hAnsi="宋体"/>
          <w:bCs/>
        </w:rPr>
        <w:t>本项目占地面积约42000m</w:t>
      </w:r>
      <w:r>
        <w:rPr>
          <w:rFonts w:hint="eastAsia" w:hAnsi="宋体"/>
          <w:bCs/>
          <w:vertAlign w:val="superscript"/>
        </w:rPr>
        <w:t>2</w:t>
      </w:r>
      <w:r>
        <w:rPr>
          <w:rFonts w:hint="eastAsia" w:hAnsi="宋体"/>
          <w:bCs/>
        </w:rPr>
        <w:t>，主要建设内容为新建鸡舍</w:t>
      </w:r>
      <w:r>
        <w:rPr>
          <w:rFonts w:hAnsi="宋体"/>
          <w:bCs/>
        </w:rPr>
        <w:t>7</w:t>
      </w:r>
      <w:r>
        <w:rPr>
          <w:rFonts w:hint="eastAsia" w:hAnsi="宋体"/>
          <w:bCs/>
        </w:rPr>
        <w:t>栋，并配套锅炉房、污水处理站等构建筑物；本项目为采购鸡苗养殖，不含孵化过程。本项目</w:t>
      </w:r>
      <w:r>
        <w:rPr>
          <w:rFonts w:hAnsi="宋体"/>
          <w:bCs/>
        </w:rPr>
        <w:t>每栋鸡舍每批次可养殖肉鸡</w:t>
      </w:r>
      <w:r>
        <w:rPr>
          <w:rFonts w:hint="eastAsia" w:hAnsi="宋体"/>
          <w:bCs/>
        </w:rPr>
        <w:t>约</w:t>
      </w:r>
      <w:r>
        <w:rPr>
          <w:rFonts w:hAnsi="宋体"/>
          <w:bCs/>
        </w:rPr>
        <w:t>3.4万只，</w:t>
      </w:r>
      <w:r>
        <w:rPr>
          <w:rFonts w:hint="eastAsia" w:hAnsi="宋体"/>
          <w:bCs/>
        </w:rPr>
        <w:t>项目达产后可年出栏</w:t>
      </w:r>
      <w:r>
        <w:rPr>
          <w:rFonts w:hAnsi="宋体"/>
          <w:bCs/>
        </w:rPr>
        <w:t>6</w:t>
      </w:r>
      <w:r>
        <w:rPr>
          <w:rFonts w:hint="eastAsia" w:hAnsi="宋体"/>
          <w:bCs/>
        </w:rPr>
        <w:t>个批次，年出栏肉鸡约</w:t>
      </w:r>
      <w:r>
        <w:rPr>
          <w:rFonts w:hAnsi="宋体"/>
          <w:bCs/>
        </w:rPr>
        <w:t>140</w:t>
      </w:r>
      <w:r>
        <w:rPr>
          <w:rFonts w:hint="eastAsia" w:hAnsi="宋体"/>
          <w:bCs/>
        </w:rPr>
        <w:t>万羽。</w:t>
      </w:r>
    </w:p>
    <w:p>
      <w:pPr>
        <w:pStyle w:val="57"/>
        <w:spacing w:before="0" w:after="0" w:line="480" w:lineRule="exact"/>
        <w:ind w:firstLine="480"/>
        <w:rPr>
          <w:rFonts w:hAnsi="宋体"/>
          <w:bCs/>
        </w:rPr>
      </w:pPr>
      <w:r>
        <w:rPr>
          <w:bCs/>
        </w:rPr>
        <w:t>本项目</w:t>
      </w:r>
      <w:r>
        <w:rPr>
          <w:rFonts w:hint="eastAsia" w:hAnsi="宋体"/>
          <w:bCs/>
        </w:rPr>
        <w:t>主要建设内容见表3.</w:t>
      </w:r>
      <w:r>
        <w:rPr>
          <w:rFonts w:hAnsi="宋体"/>
          <w:bCs/>
        </w:rPr>
        <w:t>1</w:t>
      </w:r>
      <w:r>
        <w:rPr>
          <w:rFonts w:hint="eastAsia" w:hAnsi="宋体"/>
          <w:bCs/>
        </w:rPr>
        <w:t>-3，构建筑物一览表见表3.1-4。</w:t>
      </w:r>
    </w:p>
    <w:p>
      <w:pPr>
        <w:pStyle w:val="57"/>
        <w:spacing w:before="0" w:after="0" w:line="480" w:lineRule="exact"/>
        <w:ind w:firstLine="0" w:firstLineChars="0"/>
        <w:jc w:val="center"/>
        <w:rPr>
          <w:rFonts w:ascii="黑体" w:hAnsi="黑体" w:eastAsia="黑体"/>
          <w:bCs/>
        </w:rPr>
      </w:pPr>
      <w:r>
        <w:rPr>
          <w:rFonts w:hint="eastAsia" w:ascii="黑体" w:hAnsi="黑体" w:eastAsia="黑体"/>
          <w:bCs/>
        </w:rPr>
        <w:t>表3.</w:t>
      </w:r>
      <w:r>
        <w:rPr>
          <w:rFonts w:ascii="黑体" w:hAnsi="黑体" w:eastAsia="黑体"/>
          <w:bCs/>
        </w:rPr>
        <w:t>1</w:t>
      </w:r>
      <w:r>
        <w:rPr>
          <w:rFonts w:hint="eastAsia" w:ascii="黑体" w:hAnsi="黑体" w:eastAsia="黑体"/>
          <w:bCs/>
        </w:rPr>
        <w:t>-3  项目主要建设内容一览表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486"/>
        <w:gridCol w:w="1238"/>
        <w:gridCol w:w="5456"/>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8" w:type="pct"/>
            <w:gridSpan w:val="3"/>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工程名称</w:t>
            </w:r>
          </w:p>
        </w:tc>
        <w:tc>
          <w:tcPr>
            <w:tcW w:w="301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主要建设内容</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主体工程</w:t>
            </w: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鸡舍</w:t>
            </w:r>
          </w:p>
        </w:tc>
        <w:tc>
          <w:tcPr>
            <w:tcW w:w="3011" w:type="pct"/>
            <w:shd w:val="clear" w:color="auto" w:fill="auto"/>
            <w:vAlign w:val="center"/>
          </w:tcPr>
          <w:p>
            <w:pPr>
              <w:pStyle w:val="117"/>
              <w:rPr>
                <w:sz w:val="21"/>
                <w:szCs w:val="21"/>
              </w:rPr>
            </w:pPr>
            <w:r>
              <w:rPr>
                <w:rFonts w:hint="eastAsia"/>
                <w:sz w:val="21"/>
                <w:szCs w:val="21"/>
              </w:rPr>
              <w:t>新建</w:t>
            </w:r>
            <w:r>
              <w:rPr>
                <w:sz w:val="21"/>
                <w:szCs w:val="21"/>
              </w:rPr>
              <w:t>7</w:t>
            </w:r>
            <w:r>
              <w:rPr>
                <w:rFonts w:hint="eastAsia"/>
                <w:sz w:val="21"/>
                <w:szCs w:val="21"/>
              </w:rPr>
              <w:t>栋，单栋建筑面积</w:t>
            </w:r>
            <w:r>
              <w:rPr>
                <w:sz w:val="21"/>
                <w:szCs w:val="21"/>
              </w:rPr>
              <w:t>1530</w:t>
            </w:r>
            <w:r>
              <w:rPr>
                <w:rFonts w:hint="eastAsia"/>
                <w:sz w:val="21"/>
                <w:szCs w:val="21"/>
              </w:rPr>
              <w:t>m</w:t>
            </w:r>
            <w:r>
              <w:rPr>
                <w:sz w:val="21"/>
                <w:szCs w:val="21"/>
                <w:vertAlign w:val="superscript"/>
              </w:rPr>
              <w:t>2</w:t>
            </w:r>
            <w:r>
              <w:rPr>
                <w:rFonts w:hint="eastAsia"/>
                <w:sz w:val="21"/>
                <w:szCs w:val="21"/>
              </w:rPr>
              <w:t>（8</w:t>
            </w:r>
            <w:r>
              <w:rPr>
                <w:sz w:val="21"/>
                <w:szCs w:val="21"/>
              </w:rPr>
              <w:t>5</w:t>
            </w:r>
            <w:r>
              <w:rPr>
                <w:rFonts w:hint="eastAsia"/>
                <w:sz w:val="21"/>
                <w:szCs w:val="21"/>
              </w:rPr>
              <w:t>m×1</w:t>
            </w:r>
            <w:r>
              <w:rPr>
                <w:sz w:val="21"/>
                <w:szCs w:val="21"/>
              </w:rPr>
              <w:t>8m</w:t>
            </w:r>
            <w:r>
              <w:rPr>
                <w:rFonts w:hint="eastAsia"/>
                <w:sz w:val="21"/>
                <w:szCs w:val="21"/>
              </w:rPr>
              <w:t>），总建筑面积</w:t>
            </w:r>
            <w:r>
              <w:rPr>
                <w:sz w:val="21"/>
                <w:szCs w:val="21"/>
              </w:rPr>
              <w:t>10710</w:t>
            </w:r>
            <w:r>
              <w:rPr>
                <w:rFonts w:hint="eastAsia"/>
                <w:sz w:val="21"/>
                <w:szCs w:val="21"/>
              </w:rPr>
              <w:t>m</w:t>
            </w:r>
            <w:r>
              <w:rPr>
                <w:sz w:val="21"/>
                <w:szCs w:val="21"/>
                <w:vertAlign w:val="superscript"/>
              </w:rPr>
              <w:t>2</w:t>
            </w:r>
            <w:r>
              <w:rPr>
                <w:rFonts w:hint="eastAsia"/>
                <w:sz w:val="21"/>
                <w:szCs w:val="21"/>
              </w:rPr>
              <w:t>，全部为单层，砖混结构，用于肉鸡饲养。采用立体笼养（四层），密闭式自动喂料的饲养模式，采用全进全出管理制度。每栋鸡舍饲养约</w:t>
            </w:r>
            <w:r>
              <w:rPr>
                <w:sz w:val="21"/>
                <w:szCs w:val="21"/>
              </w:rPr>
              <w:t>3.4</w:t>
            </w:r>
            <w:r>
              <w:rPr>
                <w:rFonts w:hint="eastAsia"/>
                <w:sz w:val="21"/>
                <w:szCs w:val="21"/>
              </w:rPr>
              <w:t>万只肉鸡，年出栏</w:t>
            </w:r>
            <w:r>
              <w:rPr>
                <w:sz w:val="21"/>
                <w:szCs w:val="21"/>
              </w:rPr>
              <w:t>6</w:t>
            </w:r>
            <w:r>
              <w:rPr>
                <w:rFonts w:hint="eastAsia"/>
                <w:sz w:val="21"/>
                <w:szCs w:val="21"/>
              </w:rPr>
              <w:t>个批次，可出栏肉鸡</w:t>
            </w:r>
            <w:r>
              <w:rPr>
                <w:sz w:val="21"/>
                <w:szCs w:val="21"/>
              </w:rPr>
              <w:t>140</w:t>
            </w:r>
            <w:r>
              <w:rPr>
                <w:rFonts w:hint="eastAsia"/>
                <w:sz w:val="21"/>
                <w:szCs w:val="21"/>
              </w:rPr>
              <w:t>万只。</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restart"/>
            <w:shd w:val="clear" w:color="auto" w:fill="auto"/>
            <w:vAlign w:val="center"/>
          </w:tcPr>
          <w:p>
            <w:pPr>
              <w:pStyle w:val="57"/>
              <w:spacing w:before="0" w:after="0" w:line="240" w:lineRule="auto"/>
              <w:ind w:firstLine="0" w:firstLineChars="0"/>
              <w:jc w:val="center"/>
              <w:rPr>
                <w:rFonts w:hAnsi="宋体"/>
                <w:bCs/>
                <w:sz w:val="21"/>
                <w:szCs w:val="21"/>
              </w:rPr>
            </w:pPr>
            <w:r>
              <w:rPr>
                <w:rFonts w:hint="eastAsia" w:hAnsi="宋体"/>
                <w:bCs/>
                <w:sz w:val="21"/>
                <w:szCs w:val="21"/>
              </w:rPr>
              <w:t>辅助工程</w:t>
            </w:r>
          </w:p>
        </w:tc>
        <w:tc>
          <w:tcPr>
            <w:tcW w:w="951" w:type="pct"/>
            <w:gridSpan w:val="2"/>
            <w:shd w:val="clear" w:color="auto" w:fill="auto"/>
            <w:vAlign w:val="center"/>
          </w:tcPr>
          <w:p>
            <w:pPr>
              <w:pStyle w:val="117"/>
              <w:jc w:val="center"/>
              <w:rPr>
                <w:rFonts w:hAnsi="宋体"/>
                <w:bCs/>
                <w:sz w:val="21"/>
                <w:szCs w:val="21"/>
              </w:rPr>
            </w:pPr>
            <w:r>
              <w:rPr>
                <w:rFonts w:hint="eastAsia"/>
                <w:sz w:val="21"/>
                <w:szCs w:val="21"/>
              </w:rPr>
              <w:t>办公用房</w:t>
            </w:r>
          </w:p>
        </w:tc>
        <w:tc>
          <w:tcPr>
            <w:tcW w:w="3011" w:type="pct"/>
            <w:shd w:val="clear" w:color="auto" w:fill="auto"/>
            <w:vAlign w:val="center"/>
          </w:tcPr>
          <w:p>
            <w:pPr>
              <w:pStyle w:val="117"/>
              <w:rPr>
                <w:rFonts w:hAnsi="宋体"/>
                <w:bCs/>
                <w:sz w:val="21"/>
                <w:szCs w:val="21"/>
              </w:rPr>
            </w:pPr>
            <w:r>
              <w:rPr>
                <w:rFonts w:hint="eastAsia"/>
                <w:sz w:val="21"/>
                <w:szCs w:val="21"/>
              </w:rPr>
              <w:t>建筑面积为</w:t>
            </w:r>
            <w:r>
              <w:rPr>
                <w:sz w:val="21"/>
                <w:szCs w:val="21"/>
              </w:rPr>
              <w:t>600</w:t>
            </w:r>
            <w:r>
              <w:rPr>
                <w:rFonts w:hint="eastAsia"/>
                <w:sz w:val="21"/>
                <w:szCs w:val="21"/>
              </w:rPr>
              <w:t>m</w:t>
            </w:r>
            <w:r>
              <w:rPr>
                <w:sz w:val="21"/>
                <w:szCs w:val="21"/>
                <w:vertAlign w:val="superscript"/>
              </w:rPr>
              <w:t>2</w:t>
            </w:r>
            <w:r>
              <w:rPr>
                <w:rFonts w:hint="eastAsia"/>
                <w:sz w:val="21"/>
                <w:szCs w:val="21"/>
              </w:rPr>
              <w:t>（3</w:t>
            </w:r>
            <w:r>
              <w:rPr>
                <w:sz w:val="21"/>
                <w:szCs w:val="21"/>
              </w:rPr>
              <w:t>0m</w:t>
            </w:r>
            <w:r>
              <w:rPr>
                <w:rFonts w:hint="eastAsia"/>
                <w:sz w:val="21"/>
                <w:szCs w:val="21"/>
              </w:rPr>
              <w:t>×1</w:t>
            </w:r>
            <w:r>
              <w:rPr>
                <w:sz w:val="21"/>
                <w:szCs w:val="21"/>
              </w:rPr>
              <w:t>0m</w:t>
            </w:r>
            <w:r>
              <w:rPr>
                <w:rFonts w:hint="eastAsia"/>
                <w:sz w:val="21"/>
                <w:szCs w:val="21"/>
              </w:rPr>
              <w:t>×</w:t>
            </w:r>
            <w:r>
              <w:rPr>
                <w:sz w:val="21"/>
                <w:szCs w:val="21"/>
              </w:rPr>
              <w:t>2</w:t>
            </w:r>
            <w:r>
              <w:rPr>
                <w:rFonts w:hint="eastAsia"/>
                <w:sz w:val="21"/>
                <w:szCs w:val="21"/>
              </w:rPr>
              <w:t>），为2层砖混结构，混凝土地面，包括办公室、宿舍等。</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利用场地内现有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117"/>
              <w:jc w:val="center"/>
              <w:rPr>
                <w:sz w:val="21"/>
                <w:szCs w:val="21"/>
              </w:rPr>
            </w:pPr>
            <w:r>
              <w:rPr>
                <w:rFonts w:hint="eastAsia"/>
                <w:sz w:val="21"/>
                <w:szCs w:val="21"/>
              </w:rPr>
              <w:t>锅炉房</w:t>
            </w:r>
          </w:p>
        </w:tc>
        <w:tc>
          <w:tcPr>
            <w:tcW w:w="3011" w:type="pct"/>
            <w:shd w:val="clear" w:color="auto" w:fill="auto"/>
            <w:vAlign w:val="center"/>
          </w:tcPr>
          <w:p>
            <w:pPr>
              <w:pStyle w:val="117"/>
              <w:rPr>
                <w:sz w:val="21"/>
                <w:szCs w:val="21"/>
              </w:rPr>
            </w:pPr>
            <w:r>
              <w:rPr>
                <w:rFonts w:hint="eastAsia"/>
                <w:sz w:val="21"/>
                <w:szCs w:val="21"/>
              </w:rPr>
              <w:t>新建1座，</w:t>
            </w:r>
            <w:r>
              <w:rPr>
                <w:rFonts w:hint="eastAsia"/>
                <w:color w:val="auto"/>
                <w:sz w:val="21"/>
                <w:szCs w:val="21"/>
              </w:rPr>
              <w:t>建筑面积</w:t>
            </w:r>
            <w:r>
              <w:rPr>
                <w:color w:val="auto"/>
                <w:sz w:val="21"/>
                <w:szCs w:val="21"/>
              </w:rPr>
              <w:t>100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sz w:val="21"/>
                <w:szCs w:val="21"/>
              </w:rPr>
              <w:t>安装</w:t>
            </w:r>
            <w:r>
              <w:rPr>
                <w:sz w:val="21"/>
                <w:szCs w:val="21"/>
              </w:rPr>
              <w:t>1</w:t>
            </w:r>
            <w:r>
              <w:rPr>
                <w:rFonts w:hint="eastAsia"/>
                <w:sz w:val="21"/>
                <w:szCs w:val="21"/>
              </w:rPr>
              <w:t>台2</w:t>
            </w:r>
            <w:r>
              <w:rPr>
                <w:sz w:val="21"/>
                <w:szCs w:val="21"/>
              </w:rPr>
              <w:t>.1MW</w:t>
            </w:r>
            <w:r>
              <w:rPr>
                <w:rFonts w:hint="eastAsia"/>
                <w:sz w:val="21"/>
                <w:szCs w:val="21"/>
              </w:rPr>
              <w:t>燃液化天然气热水锅炉及配套制水系统，用于鸡舍供暖。</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117"/>
              <w:jc w:val="center"/>
              <w:rPr>
                <w:sz w:val="21"/>
                <w:szCs w:val="21"/>
              </w:rPr>
            </w:pPr>
            <w:r>
              <w:rPr>
                <w:rFonts w:hint="eastAsia"/>
                <w:sz w:val="21"/>
                <w:szCs w:val="21"/>
              </w:rPr>
              <w:t>鸡粪处理储存</w:t>
            </w:r>
          </w:p>
          <w:p>
            <w:pPr>
              <w:pStyle w:val="117"/>
              <w:jc w:val="center"/>
              <w:rPr>
                <w:sz w:val="21"/>
                <w:szCs w:val="21"/>
              </w:rPr>
            </w:pPr>
            <w:r>
              <w:rPr>
                <w:rFonts w:hint="eastAsia"/>
                <w:sz w:val="21"/>
                <w:szCs w:val="21"/>
              </w:rPr>
              <w:t>设施</w:t>
            </w:r>
          </w:p>
        </w:tc>
        <w:tc>
          <w:tcPr>
            <w:tcW w:w="3011" w:type="pct"/>
            <w:shd w:val="clear" w:color="auto" w:fill="auto"/>
            <w:vAlign w:val="center"/>
          </w:tcPr>
          <w:p>
            <w:pPr>
              <w:pStyle w:val="117"/>
              <w:rPr>
                <w:sz w:val="21"/>
                <w:szCs w:val="21"/>
              </w:rPr>
            </w:pPr>
            <w:r>
              <w:rPr>
                <w:rFonts w:hint="eastAsia"/>
                <w:sz w:val="21"/>
                <w:szCs w:val="21"/>
              </w:rPr>
              <w:t>鸡粪采取干清粪工艺，日产日清，经发酵罐熟化后外运有机肥厂进一步处理以综合利用。</w:t>
            </w:r>
          </w:p>
          <w:p>
            <w:pPr>
              <w:pStyle w:val="117"/>
              <w:rPr>
                <w:color w:val="FF0000"/>
                <w:sz w:val="21"/>
                <w:szCs w:val="21"/>
              </w:rPr>
            </w:pPr>
            <w:r>
              <w:rPr>
                <w:rFonts w:hint="eastAsia"/>
                <w:sz w:val="21"/>
                <w:szCs w:val="21"/>
              </w:rPr>
              <w:t>新建2台鸡粪发酵罐（处理能力9-14m</w:t>
            </w:r>
            <w:r>
              <w:rPr>
                <w:rFonts w:hint="eastAsia"/>
                <w:sz w:val="21"/>
                <w:szCs w:val="21"/>
                <w:vertAlign w:val="superscript"/>
              </w:rPr>
              <w:t>3</w:t>
            </w:r>
            <w:r>
              <w:rPr>
                <w:rFonts w:hint="eastAsia"/>
                <w:sz w:val="21"/>
                <w:szCs w:val="21"/>
              </w:rPr>
              <w:t>/d·台）及1座临时储粪房（200m</w:t>
            </w:r>
            <w:r>
              <w:rPr>
                <w:rFonts w:hint="eastAsia"/>
                <w:sz w:val="21"/>
                <w:szCs w:val="21"/>
                <w:vertAlign w:val="superscript"/>
              </w:rPr>
              <w:t>2</w:t>
            </w:r>
            <w:r>
              <w:rPr>
                <w:rFonts w:hint="eastAsia"/>
                <w:sz w:val="21"/>
                <w:szCs w:val="21"/>
              </w:rPr>
              <w:t>）；临时储粪房地面进行防渗处理，用于暂时储存因天气等原因无法外运的鸡粪，该临时储粪房可储存7d的鸡粪。</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储运工程</w:t>
            </w: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饲料库</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新建1座，建筑面积</w:t>
            </w:r>
            <w:r>
              <w:rPr>
                <w:rFonts w:hAnsi="宋体"/>
                <w:bCs/>
                <w:sz w:val="21"/>
                <w:szCs w:val="21"/>
              </w:rPr>
              <w:t>2</w:t>
            </w:r>
            <w:r>
              <w:rPr>
                <w:rFonts w:hint="eastAsia" w:hAnsi="宋体"/>
                <w:bCs/>
                <w:sz w:val="21"/>
                <w:szCs w:val="21"/>
              </w:rPr>
              <w:t>00m</w:t>
            </w:r>
            <w:r>
              <w:rPr>
                <w:rFonts w:hint="eastAsia" w:hAnsi="宋体"/>
                <w:bCs/>
                <w:sz w:val="21"/>
                <w:szCs w:val="21"/>
                <w:vertAlign w:val="superscript"/>
              </w:rPr>
              <w:t>2</w:t>
            </w:r>
            <w:r>
              <w:rPr>
                <w:rFonts w:hint="eastAsia" w:hAnsi="宋体"/>
                <w:bCs/>
                <w:sz w:val="21"/>
                <w:szCs w:val="21"/>
              </w:rPr>
              <w:t>。</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料塔</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新建</w:t>
            </w:r>
            <w:r>
              <w:rPr>
                <w:rFonts w:hAnsi="宋体"/>
                <w:bCs/>
                <w:sz w:val="21"/>
                <w:szCs w:val="21"/>
              </w:rPr>
              <w:t>7</w:t>
            </w:r>
            <w:r>
              <w:rPr>
                <w:rFonts w:hint="eastAsia" w:hAnsi="宋体"/>
                <w:bCs/>
                <w:sz w:val="21"/>
                <w:szCs w:val="21"/>
              </w:rPr>
              <w:t>座料塔，用于鸡饲料的储存。</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污水收集池</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设计容积为60m</w:t>
            </w:r>
            <w:r>
              <w:rPr>
                <w:rFonts w:hint="eastAsia" w:hAnsi="宋体"/>
                <w:bCs/>
                <w:sz w:val="21"/>
                <w:szCs w:val="21"/>
                <w:vertAlign w:val="superscript"/>
              </w:rPr>
              <w:t>3</w:t>
            </w:r>
            <w:r>
              <w:rPr>
                <w:rFonts w:hint="eastAsia" w:hAnsi="宋体"/>
                <w:bCs/>
                <w:sz w:val="21"/>
                <w:szCs w:val="21"/>
              </w:rPr>
              <w:t>，设备及鸡舍冲洗废水、生活废水、锅炉定排水及软水系统排水排入污水收集池，再排入场内污水处理站；污水处理站事故状态时，废水也暂存于污水收集池。位于污水处理站北侧，厂区南侧地势低洼处。</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清水储池</w:t>
            </w:r>
          </w:p>
        </w:tc>
        <w:tc>
          <w:tcPr>
            <w:tcW w:w="3011" w:type="pct"/>
            <w:shd w:val="clear" w:color="auto" w:fill="auto"/>
            <w:vAlign w:val="center"/>
          </w:tcPr>
          <w:p>
            <w:pPr>
              <w:pStyle w:val="117"/>
              <w:rPr>
                <w:rFonts w:hAnsi="宋体"/>
                <w:bCs/>
                <w:color w:val="auto"/>
                <w:sz w:val="21"/>
                <w:szCs w:val="21"/>
              </w:rPr>
            </w:pPr>
            <w:r>
              <w:rPr>
                <w:rFonts w:hint="eastAsia"/>
                <w:color w:val="auto"/>
                <w:sz w:val="21"/>
                <w:szCs w:val="21"/>
              </w:rPr>
              <w:t>设计容积为</w:t>
            </w:r>
            <w:r>
              <w:rPr>
                <w:color w:val="auto"/>
                <w:sz w:val="21"/>
                <w:szCs w:val="21"/>
              </w:rPr>
              <w:t>250m</w:t>
            </w:r>
            <w:r>
              <w:rPr>
                <w:rFonts w:hint="eastAsia"/>
                <w:color w:val="auto"/>
                <w:sz w:val="21"/>
                <w:szCs w:val="14"/>
                <w:vertAlign w:val="superscript"/>
              </w:rPr>
              <w:t>3</w:t>
            </w:r>
            <w:r>
              <w:rPr>
                <w:rFonts w:hint="eastAsia"/>
                <w:color w:val="auto"/>
                <w:sz w:val="21"/>
                <w:szCs w:val="21"/>
              </w:rPr>
              <w:t>，用于冬季储存经污水处理站处理后的出水。</w:t>
            </w:r>
            <w:r>
              <w:rPr>
                <w:rFonts w:hint="eastAsia" w:hAnsi="宋体"/>
                <w:bCs/>
                <w:sz w:val="21"/>
                <w:szCs w:val="21"/>
              </w:rPr>
              <w:t>位于污水处理站南侧，厂区南侧地势低洼处。</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公用工程</w:t>
            </w: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给水</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厂区内自备井供给。</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依托现有水井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排水</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实行雨污分流制，项目区地面雨水汇流后，沿各区道路顺地势采用自然漫流的方式排出项目区至路旁边沟。</w:t>
            </w:r>
          </w:p>
          <w:p>
            <w:pPr>
              <w:pStyle w:val="57"/>
              <w:snapToGrid/>
              <w:spacing w:before="0" w:after="0" w:line="240" w:lineRule="auto"/>
              <w:ind w:firstLine="0" w:firstLineChars="0"/>
              <w:jc w:val="left"/>
              <w:rPr>
                <w:rFonts w:hAnsi="宋体"/>
                <w:bCs/>
                <w:sz w:val="21"/>
                <w:szCs w:val="21"/>
              </w:rPr>
            </w:pPr>
            <w:r>
              <w:rPr>
                <w:rFonts w:hint="eastAsia" w:hAnsi="宋体"/>
                <w:bCs/>
                <w:sz w:val="21"/>
                <w:szCs w:val="21"/>
              </w:rPr>
              <w:t>养殖场鸡舍冲洗废水、生活废水、锅炉定排水及软水系统排水排入场区地埋式污水处理站，处理达《农田灌溉水质标准》（</w:t>
            </w:r>
            <w:r>
              <w:rPr>
                <w:rFonts w:hAnsi="宋体"/>
                <w:bCs/>
                <w:sz w:val="21"/>
                <w:szCs w:val="21"/>
              </w:rPr>
              <w:t>GB5084-2005</w:t>
            </w:r>
            <w:r>
              <w:rPr>
                <w:rFonts w:hint="eastAsia" w:hAnsi="宋体"/>
                <w:bCs/>
                <w:sz w:val="21"/>
                <w:szCs w:val="21"/>
              </w:rPr>
              <w:t>）中旱作标准后回用于农田灌溉，冬储夏灌。</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供暖</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厂区</w:t>
            </w:r>
            <w:r>
              <w:rPr>
                <w:rFonts w:hAnsi="宋体"/>
                <w:bCs/>
                <w:sz w:val="21"/>
                <w:szCs w:val="21"/>
              </w:rPr>
              <w:t>供暖</w:t>
            </w:r>
            <w:r>
              <w:rPr>
                <w:rFonts w:hint="eastAsia" w:hAnsi="宋体"/>
                <w:bCs/>
                <w:sz w:val="21"/>
                <w:szCs w:val="21"/>
              </w:rPr>
              <w:t>由</w:t>
            </w:r>
            <w:r>
              <w:rPr>
                <w:rFonts w:hAnsi="宋体"/>
                <w:bCs/>
                <w:sz w:val="21"/>
                <w:szCs w:val="21"/>
              </w:rPr>
              <w:t>1</w:t>
            </w:r>
            <w:r>
              <w:rPr>
                <w:rFonts w:hint="eastAsia" w:hAnsi="宋体"/>
                <w:bCs/>
                <w:sz w:val="21"/>
                <w:szCs w:val="21"/>
              </w:rPr>
              <w:t>台2</w:t>
            </w:r>
            <w:r>
              <w:rPr>
                <w:rFonts w:hAnsi="宋体"/>
                <w:bCs/>
                <w:sz w:val="21"/>
                <w:szCs w:val="21"/>
              </w:rPr>
              <w:t>.1MW</w:t>
            </w:r>
            <w:r>
              <w:rPr>
                <w:rFonts w:hint="eastAsia" w:hAnsi="宋体"/>
                <w:bCs/>
                <w:sz w:val="21"/>
                <w:szCs w:val="21"/>
              </w:rPr>
              <w:t>燃液化天然气热水锅炉供给。</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供电</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Ansi="宋体"/>
                <w:bCs/>
                <w:sz w:val="21"/>
                <w:szCs w:val="21"/>
              </w:rPr>
              <w:t>汾阳市</w:t>
            </w:r>
            <w:r>
              <w:rPr>
                <w:rFonts w:hint="eastAsia" w:hAnsi="宋体"/>
                <w:bCs/>
                <w:sz w:val="21"/>
                <w:szCs w:val="21"/>
              </w:rPr>
              <w:t>峪道河镇</w:t>
            </w:r>
            <w:r>
              <w:rPr>
                <w:rFonts w:hAnsi="宋体"/>
                <w:bCs/>
                <w:sz w:val="21"/>
                <w:szCs w:val="21"/>
              </w:rPr>
              <w:t>变电站接入，厂区内设配电室</w:t>
            </w:r>
            <w:r>
              <w:rPr>
                <w:rFonts w:hint="eastAsia" w:hAnsi="宋体"/>
                <w:bCs/>
                <w:sz w:val="21"/>
                <w:szCs w:val="21"/>
              </w:rPr>
              <w:t>。</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消毒</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鸡舍内外消毒</w:t>
            </w:r>
            <w:bookmarkStart w:id="49" w:name="_Hlk19007969"/>
            <w:r>
              <w:rPr>
                <w:rFonts w:hint="eastAsia" w:hAnsi="宋体"/>
                <w:bCs/>
                <w:sz w:val="21"/>
                <w:szCs w:val="21"/>
              </w:rPr>
              <w:t>采用新结尔灭、过氧乙酸、百毒杀等消毒药剂</w:t>
            </w:r>
            <w:bookmarkEnd w:id="49"/>
            <w:r>
              <w:rPr>
                <w:rFonts w:hint="eastAsia" w:hAnsi="宋体"/>
                <w:bCs/>
                <w:sz w:val="21"/>
                <w:szCs w:val="21"/>
              </w:rPr>
              <w:t>，与水按一定比例配比后喷雾消毒、熏蒸消毒。</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环保工程</w:t>
            </w:r>
          </w:p>
        </w:tc>
        <w:tc>
          <w:tcPr>
            <w:tcW w:w="268"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废气</w:t>
            </w: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鸡舍恶臭</w:t>
            </w:r>
          </w:p>
        </w:tc>
        <w:tc>
          <w:tcPr>
            <w:tcW w:w="3011" w:type="pct"/>
            <w:shd w:val="clear" w:color="auto" w:fill="auto"/>
            <w:vAlign w:val="center"/>
          </w:tcPr>
          <w:p>
            <w:pPr>
              <w:pStyle w:val="117"/>
              <w:rPr>
                <w:rFonts w:hAnsi="宋体"/>
                <w:bCs/>
                <w:sz w:val="21"/>
                <w:szCs w:val="21"/>
              </w:rPr>
            </w:pPr>
            <w:r>
              <w:rPr>
                <w:rFonts w:hint="eastAsia"/>
                <w:sz w:val="21"/>
                <w:szCs w:val="21"/>
              </w:rPr>
              <w:t>采用干清粪技术，及时清粪；加强鸡舍通风；定期喷洒除臭剂；合理调配饲料，饲料中添加</w:t>
            </w:r>
            <w:r>
              <w:rPr>
                <w:sz w:val="21"/>
                <w:szCs w:val="21"/>
              </w:rPr>
              <w:t>EM</w:t>
            </w:r>
            <w:r>
              <w:rPr>
                <w:rFonts w:hint="eastAsia"/>
                <w:sz w:val="21"/>
                <w:szCs w:val="21"/>
              </w:rPr>
              <w:t>菌，</w:t>
            </w:r>
            <w:r>
              <w:rPr>
                <w:rFonts w:hint="eastAsia"/>
                <w:snapToGrid w:val="0"/>
                <w:sz w:val="21"/>
              </w:rPr>
              <w:t>同时加强场区内绿化管理</w:t>
            </w:r>
            <w:r>
              <w:rPr>
                <w:rFonts w:hint="eastAsia"/>
                <w:sz w:val="21"/>
                <w:szCs w:val="21"/>
              </w:rPr>
              <w:t>。</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发酵罐废气</w:t>
            </w:r>
          </w:p>
        </w:tc>
        <w:tc>
          <w:tcPr>
            <w:tcW w:w="3011" w:type="pct"/>
            <w:shd w:val="clear" w:color="auto" w:fill="auto"/>
            <w:vAlign w:val="center"/>
          </w:tcPr>
          <w:p>
            <w:pPr>
              <w:pStyle w:val="117"/>
              <w:rPr>
                <w:sz w:val="21"/>
                <w:szCs w:val="21"/>
              </w:rPr>
            </w:pPr>
            <w:r>
              <w:rPr>
                <w:rFonts w:hint="eastAsia"/>
                <w:sz w:val="21"/>
                <w:szCs w:val="21"/>
              </w:rPr>
              <w:t>2台发酵罐废气采用1套生物除臭塔生化处理后由1根15m高排气筒外排。</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临时储粪房恶臭</w:t>
            </w:r>
          </w:p>
        </w:tc>
        <w:tc>
          <w:tcPr>
            <w:tcW w:w="3011" w:type="pct"/>
            <w:shd w:val="clear" w:color="auto" w:fill="auto"/>
            <w:vAlign w:val="center"/>
          </w:tcPr>
          <w:p>
            <w:pPr>
              <w:pStyle w:val="57"/>
              <w:snapToGrid/>
              <w:spacing w:before="0" w:after="0" w:line="240" w:lineRule="auto"/>
              <w:ind w:firstLine="0" w:firstLineChars="0"/>
              <w:jc w:val="left"/>
              <w:rPr>
                <w:snapToGrid w:val="0"/>
              </w:rPr>
            </w:pPr>
            <w:r>
              <w:rPr>
                <w:rFonts w:hint="eastAsia"/>
                <w:color w:val="000000"/>
                <w:kern w:val="0"/>
                <w:sz w:val="21"/>
                <w:szCs w:val="21"/>
              </w:rPr>
              <w:t>鸡粪</w:t>
            </w:r>
            <w:r>
              <w:rPr>
                <w:rFonts w:hint="eastAsia"/>
                <w:sz w:val="21"/>
                <w:szCs w:val="21"/>
              </w:rPr>
              <w:t>采取干清粪工艺，</w:t>
            </w:r>
            <w:r>
              <w:rPr>
                <w:rFonts w:hint="eastAsia"/>
                <w:color w:val="000000"/>
                <w:kern w:val="0"/>
                <w:sz w:val="21"/>
                <w:szCs w:val="21"/>
              </w:rPr>
              <w:t>日产日清，</w:t>
            </w:r>
            <w:r>
              <w:rPr>
                <w:rFonts w:hint="eastAsia"/>
                <w:sz w:val="21"/>
                <w:szCs w:val="21"/>
              </w:rPr>
              <w:t>经发酵罐熟化后外运有机肥厂综合利用</w:t>
            </w:r>
            <w:r>
              <w:rPr>
                <w:rFonts w:hint="eastAsia"/>
                <w:color w:val="000000"/>
                <w:kern w:val="0"/>
                <w:sz w:val="21"/>
                <w:szCs w:val="21"/>
              </w:rPr>
              <w:t>。临时储粪房用于暂时储存因天气等原因无法外运的鸡粪；储粪时</w:t>
            </w:r>
            <w:r>
              <w:rPr>
                <w:rFonts w:hint="eastAsia"/>
                <w:snapToGrid w:val="0"/>
                <w:sz w:val="21"/>
              </w:rPr>
              <w:t>喷洒除臭剂，同时加强场区内绿化管理。</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污水处理站废气</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snapToGrid w:val="0"/>
                <w:sz w:val="21"/>
              </w:rPr>
              <w:t>地埋式污水处理站各处理池加盖处理，站房内定期喷洒除臭剂，同时加强场区内绿化管理。</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锅炉废气</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燃用液化天然气，使用低氮燃烧技术；锅炉废气由1根</w:t>
            </w:r>
            <w:r>
              <w:rPr>
                <w:rFonts w:hAnsi="宋体"/>
                <w:bCs/>
                <w:sz w:val="21"/>
                <w:szCs w:val="21"/>
              </w:rPr>
              <w:t>20</w:t>
            </w:r>
            <w:r>
              <w:rPr>
                <w:rFonts w:hint="eastAsia" w:hAnsi="宋体"/>
                <w:bCs/>
                <w:sz w:val="21"/>
                <w:szCs w:val="21"/>
              </w:rPr>
              <w:t>m高排气筒排放。</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废水</w:t>
            </w: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厂区废水</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设备及鸡舍冲洗废水、生活废水、锅炉定排水及软水系统排水</w:t>
            </w:r>
            <w:r>
              <w:rPr>
                <w:rFonts w:hAnsi="宋体"/>
                <w:bCs/>
                <w:sz w:val="21"/>
                <w:szCs w:val="21"/>
              </w:rPr>
              <w:t>排入</w:t>
            </w:r>
            <w:r>
              <w:rPr>
                <w:rFonts w:hint="eastAsia" w:hAnsi="宋体"/>
                <w:bCs/>
                <w:sz w:val="21"/>
                <w:szCs w:val="21"/>
              </w:rPr>
              <w:t>废水收集池后进入自建污水处理站处理，采用地埋式污水处理设备，处理工艺为“生物接触氧化+沉淀+消毒”，消毒方式为紫外线消毒，处理能力为2m</w:t>
            </w:r>
            <w:r>
              <w:rPr>
                <w:rFonts w:hAnsi="宋体"/>
                <w:bCs/>
                <w:sz w:val="21"/>
                <w:szCs w:val="21"/>
                <w:vertAlign w:val="superscript"/>
              </w:rPr>
              <w:t>3</w:t>
            </w:r>
            <w:r>
              <w:rPr>
                <w:rFonts w:hAnsi="宋体"/>
                <w:bCs/>
                <w:sz w:val="21"/>
                <w:szCs w:val="21"/>
              </w:rPr>
              <w:t>/d</w:t>
            </w:r>
            <w:r>
              <w:rPr>
                <w:rFonts w:hint="eastAsia" w:hAnsi="宋体"/>
                <w:bCs/>
                <w:sz w:val="21"/>
                <w:szCs w:val="21"/>
              </w:rPr>
              <w:t>；污水经处理达达《农田灌溉水质标准》（</w:t>
            </w:r>
            <w:r>
              <w:rPr>
                <w:rFonts w:hAnsi="宋体"/>
                <w:bCs/>
                <w:sz w:val="21"/>
                <w:szCs w:val="21"/>
              </w:rPr>
              <w:t>GB5084-2005</w:t>
            </w:r>
            <w:r>
              <w:rPr>
                <w:rFonts w:hint="eastAsia" w:hAnsi="宋体"/>
                <w:bCs/>
                <w:sz w:val="21"/>
                <w:szCs w:val="21"/>
              </w:rPr>
              <w:t>）中旱作标准后回用于农田灌溉；冬储夏灌。</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噪声</w:t>
            </w: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设备噪声</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优先选用低噪声设备；对风机、水泵的机械设备采取减振、隔声等措施，噪声较大的设备放于室内；加强绿化。</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固体废物</w:t>
            </w: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鸡舍粪便</w:t>
            </w:r>
          </w:p>
        </w:tc>
        <w:tc>
          <w:tcPr>
            <w:tcW w:w="3011" w:type="pct"/>
            <w:shd w:val="clear" w:color="auto" w:fill="auto"/>
            <w:vAlign w:val="center"/>
          </w:tcPr>
          <w:p>
            <w:pPr>
              <w:pStyle w:val="57"/>
              <w:snapToGrid/>
              <w:spacing w:before="0" w:after="0" w:line="240" w:lineRule="auto"/>
              <w:ind w:firstLine="0" w:firstLineChars="0"/>
              <w:jc w:val="left"/>
              <w:rPr>
                <w:snapToGrid w:val="0"/>
                <w:sz w:val="21"/>
                <w:szCs w:val="21"/>
              </w:rPr>
            </w:pPr>
            <w:r>
              <w:rPr>
                <w:rFonts w:hint="eastAsia"/>
                <w:color w:val="000000"/>
                <w:kern w:val="0"/>
                <w:sz w:val="21"/>
                <w:szCs w:val="21"/>
              </w:rPr>
              <w:t>鸡粪</w:t>
            </w:r>
            <w:r>
              <w:rPr>
                <w:rFonts w:hint="eastAsia"/>
                <w:sz w:val="21"/>
                <w:szCs w:val="21"/>
              </w:rPr>
              <w:t>采取干清粪工艺，</w:t>
            </w:r>
            <w:r>
              <w:rPr>
                <w:rFonts w:hint="eastAsia"/>
                <w:color w:val="000000"/>
                <w:kern w:val="0"/>
                <w:sz w:val="21"/>
                <w:szCs w:val="21"/>
              </w:rPr>
              <w:t>日产日清，</w:t>
            </w:r>
            <w:r>
              <w:rPr>
                <w:rFonts w:hint="eastAsia"/>
                <w:sz w:val="21"/>
                <w:szCs w:val="21"/>
              </w:rPr>
              <w:t>经发酵罐熟化后外运有机肥厂进一步处理以综合利用</w:t>
            </w:r>
            <w:r>
              <w:rPr>
                <w:rFonts w:hint="eastAsia"/>
                <w:color w:val="000000"/>
                <w:kern w:val="0"/>
                <w:sz w:val="21"/>
                <w:szCs w:val="21"/>
              </w:rPr>
              <w:t>。</w:t>
            </w:r>
            <w:r>
              <w:rPr>
                <w:rFonts w:hint="eastAsia" w:hAnsi="宋体"/>
                <w:bCs/>
                <w:sz w:val="21"/>
                <w:szCs w:val="21"/>
              </w:rPr>
              <w:t>本项目与</w:t>
            </w:r>
            <w:r>
              <w:rPr>
                <w:rFonts w:hint="eastAsia"/>
                <w:snapToGrid w:val="0"/>
                <w:sz w:val="21"/>
                <w:szCs w:val="21"/>
              </w:rPr>
              <w:t>山西粮缘金土地科技股份有限公司签订了鸡粪购买协议。协议见附件。</w:t>
            </w:r>
          </w:p>
          <w:p>
            <w:pPr>
              <w:pStyle w:val="57"/>
              <w:snapToGrid/>
              <w:spacing w:before="0" w:after="0" w:line="240" w:lineRule="auto"/>
              <w:ind w:firstLine="0" w:firstLineChars="0"/>
              <w:jc w:val="left"/>
              <w:rPr>
                <w:rFonts w:hAnsi="宋体"/>
                <w:bCs/>
                <w:color w:val="FF0000"/>
                <w:sz w:val="21"/>
                <w:szCs w:val="21"/>
              </w:rPr>
            </w:pPr>
            <w:r>
              <w:rPr>
                <w:rFonts w:hint="eastAsia"/>
                <w:sz w:val="21"/>
                <w:szCs w:val="21"/>
              </w:rPr>
              <w:t>新建2台鸡粪发酵罐（处理能力9-14m</w:t>
            </w:r>
            <w:r>
              <w:rPr>
                <w:rFonts w:hint="eastAsia"/>
                <w:sz w:val="21"/>
                <w:szCs w:val="21"/>
                <w:vertAlign w:val="superscript"/>
              </w:rPr>
              <w:t>3</w:t>
            </w:r>
            <w:r>
              <w:rPr>
                <w:rFonts w:hint="eastAsia"/>
                <w:sz w:val="21"/>
                <w:szCs w:val="21"/>
              </w:rPr>
              <w:t>/d·台）。</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饲料残渣</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bCs/>
                <w:kern w:val="0"/>
                <w:sz w:val="21"/>
                <w:szCs w:val="21"/>
              </w:rPr>
              <w:t>经发酵罐熟化后外运有机肥厂进一步处理以综合利用。</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污水处理站污泥</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bCs/>
                <w:kern w:val="0"/>
                <w:sz w:val="21"/>
                <w:szCs w:val="21"/>
              </w:rPr>
              <w:t>经发酵罐熟化后外运有机肥厂进一步处理以综合利用。</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病死鸡</w:t>
            </w:r>
          </w:p>
          <w:p>
            <w:pPr>
              <w:pStyle w:val="57"/>
              <w:snapToGrid/>
              <w:spacing w:before="0" w:after="0" w:line="240" w:lineRule="auto"/>
              <w:ind w:firstLine="0" w:firstLineChars="0"/>
              <w:jc w:val="center"/>
              <w:rPr>
                <w:rFonts w:hAnsi="宋体"/>
                <w:bCs/>
                <w:sz w:val="21"/>
                <w:szCs w:val="21"/>
              </w:rPr>
            </w:pPr>
            <w:r>
              <w:rPr>
                <w:rFonts w:hint="eastAsia" w:hAnsi="宋体"/>
                <w:bCs/>
                <w:sz w:val="21"/>
                <w:szCs w:val="21"/>
              </w:rPr>
              <w:t>尸体</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设置2座安全填埋井，位于厂区最北侧；深6m，直径4m。用于处置饲养过程中因疾病等原因死亡而产生的病死鸡。填埋井设计应满足《畜禽养殖业污染防治技术规范》（HJ/T81-2001）要求。</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医疗废物、消毒废物</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在检疫室内建危废暂存间，为单独隔间，地面防渗处理，同时制定危险废物管理制度，医疗废物、消毒废物交由有资质单位处置。</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废弃包装袋</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收集后外售或返回厂家回收利用。</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pacing w:before="0" w:after="0" w:line="240" w:lineRule="auto"/>
              <w:ind w:firstLine="42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生活垃圾</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收集后运至市政部门指定的地点统一处理。</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绿化</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在场区四周、场内道路两侧及空地建绿化带，绿化面积42</w:t>
            </w:r>
            <w:r>
              <w:rPr>
                <w:rFonts w:hAnsi="宋体"/>
                <w:bCs/>
                <w:sz w:val="21"/>
                <w:szCs w:val="21"/>
              </w:rPr>
              <w:t>00</w:t>
            </w:r>
            <w:r>
              <w:rPr>
                <w:rFonts w:hint="eastAsia" w:hAnsi="宋体"/>
                <w:bCs/>
                <w:sz w:val="21"/>
                <w:szCs w:val="21"/>
              </w:rPr>
              <w:t>m</w:t>
            </w:r>
            <w:r>
              <w:rPr>
                <w:rFonts w:hAnsi="宋体"/>
                <w:bCs/>
                <w:sz w:val="21"/>
                <w:szCs w:val="21"/>
                <w:vertAlign w:val="superscript"/>
              </w:rPr>
              <w:t>2</w:t>
            </w:r>
            <w:r>
              <w:rPr>
                <w:rFonts w:hint="eastAsia" w:hAnsi="宋体"/>
                <w:bCs/>
                <w:sz w:val="21"/>
                <w:szCs w:val="21"/>
              </w:rPr>
              <w:t>。</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地下水防渗工程</w:t>
            </w:r>
          </w:p>
        </w:tc>
        <w:tc>
          <w:tcPr>
            <w:tcW w:w="3011" w:type="pct"/>
            <w:shd w:val="clear" w:color="auto" w:fill="auto"/>
            <w:vAlign w:val="center"/>
          </w:tcPr>
          <w:p>
            <w:pPr>
              <w:pStyle w:val="128"/>
              <w:spacing w:line="360" w:lineRule="exact"/>
              <w:jc w:val="left"/>
              <w:rPr>
                <w:rFonts w:ascii="Times New Roman" w:hAnsi="Times New Roman" w:cs="Times New Roman"/>
                <w:snapToGrid w:val="0"/>
                <w:szCs w:val="21"/>
              </w:rPr>
            </w:pPr>
            <w:r>
              <w:rPr>
                <w:rFonts w:hint="eastAsia" w:ascii="宋体" w:hAnsi="宋体" w:eastAsia="宋体" w:cs="宋体"/>
                <w:snapToGrid w:val="0"/>
                <w:szCs w:val="21"/>
              </w:rPr>
              <w:t>①</w:t>
            </w:r>
            <w:r>
              <w:rPr>
                <w:rFonts w:ascii="Times New Roman" w:hAnsi="Times New Roman" w:cs="Times New Roman"/>
                <w:snapToGrid w:val="0"/>
                <w:szCs w:val="21"/>
              </w:rPr>
              <w:t>医疗废物暂存间、污水处理站、</w:t>
            </w:r>
            <w:r>
              <w:rPr>
                <w:rFonts w:hint="eastAsia" w:ascii="Times New Roman" w:hAnsi="Times New Roman" w:cs="Times New Roman"/>
                <w:snapToGrid w:val="0"/>
                <w:szCs w:val="21"/>
              </w:rPr>
              <w:t>废水收集</w:t>
            </w:r>
            <w:r>
              <w:rPr>
                <w:rFonts w:ascii="Times New Roman" w:hAnsi="Times New Roman" w:cs="Times New Roman"/>
                <w:snapToGrid w:val="0"/>
                <w:szCs w:val="21"/>
              </w:rPr>
              <w:t>池按重点防渗区采取防渗措施。</w:t>
            </w:r>
            <w:bookmarkStart w:id="50" w:name="_Hlk528830070"/>
            <w:r>
              <w:rPr>
                <w:rFonts w:ascii="Times New Roman" w:hAnsi="Times New Roman" w:cs="Times New Roman"/>
                <w:snapToGrid w:val="0"/>
                <w:szCs w:val="21"/>
              </w:rPr>
              <w:t>污水处理站、</w:t>
            </w:r>
            <w:r>
              <w:rPr>
                <w:rFonts w:hint="eastAsia" w:ascii="Times New Roman" w:hAnsi="Times New Roman" w:cs="Times New Roman"/>
                <w:snapToGrid w:val="0"/>
                <w:szCs w:val="21"/>
              </w:rPr>
              <w:t>废水收集</w:t>
            </w:r>
            <w:r>
              <w:rPr>
                <w:rFonts w:ascii="Times New Roman" w:hAnsi="Times New Roman" w:cs="Times New Roman"/>
                <w:snapToGrid w:val="0"/>
                <w:szCs w:val="21"/>
              </w:rPr>
              <w:t>池防渗措施为池底</w:t>
            </w:r>
            <w:r>
              <w:rPr>
                <w:rFonts w:hint="eastAsia" w:ascii="Times New Roman" w:hAnsi="Times New Roman" w:cs="Times New Roman"/>
                <w:snapToGrid w:val="0"/>
                <w:szCs w:val="21"/>
              </w:rPr>
              <w:t>基础防渗，需满足</w:t>
            </w:r>
            <w:r>
              <w:rPr>
                <w:rFonts w:ascii="Times New Roman" w:hAnsi="Times New Roman" w:cs="Times New Roman"/>
                <w:snapToGrid w:val="0"/>
                <w:szCs w:val="21"/>
              </w:rPr>
              <w:t>等效粘土层厚度要≥6.0m，渗透系K≤1.0×10</w:t>
            </w:r>
            <w:r>
              <w:rPr>
                <w:rFonts w:ascii="Times New Roman" w:hAnsi="Times New Roman" w:cs="Times New Roman"/>
                <w:snapToGrid w:val="0"/>
                <w:szCs w:val="21"/>
                <w:vertAlign w:val="superscript"/>
              </w:rPr>
              <w:t>-7</w:t>
            </w:r>
            <w:r>
              <w:rPr>
                <w:rFonts w:ascii="Times New Roman" w:hAnsi="Times New Roman" w:cs="Times New Roman"/>
                <w:snapToGrid w:val="0"/>
                <w:szCs w:val="21"/>
              </w:rPr>
              <w:t>cm/s</w:t>
            </w:r>
            <w:r>
              <w:rPr>
                <w:rFonts w:hint="eastAsia" w:ascii="Times New Roman" w:hAnsi="Times New Roman" w:cs="Times New Roman"/>
                <w:snapToGrid w:val="0"/>
                <w:szCs w:val="21"/>
              </w:rPr>
              <w:t>的防渗要求</w:t>
            </w:r>
            <w:bookmarkEnd w:id="50"/>
            <w:r>
              <w:rPr>
                <w:rFonts w:hint="eastAsia" w:ascii="Times New Roman" w:hAnsi="Times New Roman" w:cs="Times New Roman"/>
                <w:snapToGrid w:val="0"/>
                <w:szCs w:val="21"/>
              </w:rPr>
              <w:t>；</w:t>
            </w:r>
          </w:p>
          <w:p>
            <w:pPr>
              <w:pStyle w:val="128"/>
              <w:spacing w:line="360" w:lineRule="exact"/>
              <w:jc w:val="left"/>
              <w:rPr>
                <w:rFonts w:ascii="Times New Roman" w:hAnsi="Times New Roman" w:cs="Times New Roman"/>
                <w:snapToGrid w:val="0"/>
                <w:szCs w:val="21"/>
              </w:rPr>
            </w:pPr>
            <w:r>
              <w:rPr>
                <w:rFonts w:ascii="Times New Roman" w:hAnsi="Times New Roman" w:cs="Times New Roman"/>
                <w:snapToGrid w:val="0"/>
                <w:szCs w:val="21"/>
              </w:rPr>
              <w:fldChar w:fldCharType="begin"/>
            </w:r>
            <w:r>
              <w:rPr>
                <w:rFonts w:ascii="Times New Roman" w:hAnsi="Times New Roman" w:cs="Times New Roman"/>
                <w:snapToGrid w:val="0"/>
                <w:szCs w:val="21"/>
              </w:rPr>
              <w:instrText xml:space="preserve"> = 2 \* GB3 </w:instrText>
            </w:r>
            <w:r>
              <w:rPr>
                <w:rFonts w:ascii="Times New Roman" w:hAnsi="Times New Roman" w:cs="Times New Roman"/>
                <w:snapToGrid w:val="0"/>
                <w:szCs w:val="21"/>
              </w:rPr>
              <w:fldChar w:fldCharType="separate"/>
            </w:r>
            <w:r>
              <w:rPr>
                <w:rFonts w:hint="eastAsia" w:ascii="宋体" w:hAnsi="宋体" w:eastAsia="宋体" w:cs="宋体"/>
                <w:snapToGrid w:val="0"/>
                <w:szCs w:val="21"/>
              </w:rPr>
              <w:t>②</w:t>
            </w:r>
            <w:r>
              <w:rPr>
                <w:rFonts w:ascii="Times New Roman" w:hAnsi="Times New Roman" w:cs="Times New Roman"/>
                <w:snapToGrid w:val="0"/>
                <w:szCs w:val="21"/>
              </w:rPr>
              <w:fldChar w:fldCharType="end"/>
            </w:r>
            <w:r>
              <w:rPr>
                <w:rFonts w:ascii="Times New Roman" w:hAnsi="Times New Roman" w:cs="Times New Roman"/>
                <w:snapToGrid w:val="0"/>
                <w:szCs w:val="21"/>
              </w:rPr>
              <w:t>鸡舍、</w:t>
            </w:r>
            <w:r>
              <w:rPr>
                <w:rFonts w:hint="eastAsia" w:ascii="Times New Roman" w:hAnsi="Times New Roman" w:cs="Times New Roman"/>
                <w:snapToGrid w:val="0"/>
                <w:szCs w:val="21"/>
              </w:rPr>
              <w:t>安全填埋</w:t>
            </w:r>
            <w:r>
              <w:rPr>
                <w:rFonts w:ascii="Times New Roman" w:hAnsi="Times New Roman" w:cs="Times New Roman"/>
                <w:snapToGrid w:val="0"/>
                <w:szCs w:val="21"/>
              </w:rPr>
              <w:t>井按一般防渗区采取防渗措施</w:t>
            </w:r>
            <w:r>
              <w:rPr>
                <w:rFonts w:hint="eastAsia" w:ascii="Times New Roman" w:hAnsi="Times New Roman" w:cs="Times New Roman"/>
                <w:snapToGrid w:val="0"/>
                <w:szCs w:val="21"/>
              </w:rPr>
              <w:t>。</w:t>
            </w:r>
            <w:r>
              <w:rPr>
                <w:rFonts w:ascii="Times New Roman" w:hAnsi="Times New Roman" w:cs="Times New Roman"/>
                <w:snapToGrid w:val="0"/>
                <w:szCs w:val="21"/>
              </w:rPr>
              <w:t>鸡舍、</w:t>
            </w:r>
            <w:r>
              <w:rPr>
                <w:rFonts w:hint="eastAsia" w:ascii="Times New Roman" w:hAnsi="Times New Roman" w:cs="Times New Roman"/>
                <w:snapToGrid w:val="0"/>
                <w:szCs w:val="21"/>
              </w:rPr>
              <w:t>安全填埋</w:t>
            </w:r>
            <w:r>
              <w:rPr>
                <w:rFonts w:ascii="Times New Roman" w:hAnsi="Times New Roman" w:cs="Times New Roman"/>
                <w:snapToGrid w:val="0"/>
                <w:szCs w:val="21"/>
              </w:rPr>
              <w:t>井为地面（池底）基础防渗，需满足等效黏土防渗层Mb≥1.5m，K≤1×10</w:t>
            </w:r>
            <w:r>
              <w:rPr>
                <w:rFonts w:ascii="Times New Roman" w:hAnsi="Times New Roman" w:cs="Times New Roman"/>
                <w:snapToGrid w:val="0"/>
                <w:szCs w:val="21"/>
                <w:vertAlign w:val="superscript"/>
              </w:rPr>
              <w:t>-7</w:t>
            </w:r>
            <w:r>
              <w:rPr>
                <w:rFonts w:ascii="Times New Roman" w:hAnsi="Times New Roman" w:cs="Times New Roman"/>
                <w:snapToGrid w:val="0"/>
                <w:szCs w:val="21"/>
              </w:rPr>
              <w:t>cm/s的要求；</w:t>
            </w:r>
          </w:p>
          <w:p>
            <w:pPr>
              <w:pStyle w:val="57"/>
              <w:snapToGrid/>
              <w:spacing w:before="0" w:after="0" w:line="240" w:lineRule="auto"/>
              <w:ind w:firstLine="0" w:firstLineChars="0"/>
              <w:jc w:val="left"/>
              <w:rPr>
                <w:rFonts w:hAnsi="宋体"/>
                <w:bCs/>
                <w:sz w:val="21"/>
                <w:szCs w:val="21"/>
              </w:rPr>
            </w:pPr>
            <w:r>
              <w:rPr>
                <w:snapToGrid w:val="0"/>
                <w:sz w:val="21"/>
                <w:szCs w:val="21"/>
              </w:rPr>
              <w:fldChar w:fldCharType="begin"/>
            </w:r>
            <w:r>
              <w:rPr>
                <w:snapToGrid w:val="0"/>
                <w:sz w:val="21"/>
                <w:szCs w:val="21"/>
              </w:rPr>
              <w:instrText xml:space="preserve"> = 3 \* GB3 </w:instrText>
            </w:r>
            <w:r>
              <w:rPr>
                <w:snapToGrid w:val="0"/>
                <w:sz w:val="21"/>
                <w:szCs w:val="21"/>
              </w:rPr>
              <w:fldChar w:fldCharType="separate"/>
            </w:r>
            <w:r>
              <w:rPr>
                <w:rFonts w:hint="eastAsia" w:ascii="宋体" w:hAnsi="宋体" w:cs="宋体"/>
                <w:snapToGrid w:val="0"/>
                <w:sz w:val="21"/>
                <w:szCs w:val="21"/>
              </w:rPr>
              <w:t>③</w:t>
            </w:r>
            <w:r>
              <w:rPr>
                <w:snapToGrid w:val="0"/>
                <w:sz w:val="21"/>
                <w:szCs w:val="21"/>
              </w:rPr>
              <w:fldChar w:fldCharType="end"/>
            </w:r>
            <w:r>
              <w:rPr>
                <w:snapToGrid w:val="0"/>
                <w:sz w:val="21"/>
                <w:szCs w:val="21"/>
              </w:rPr>
              <w:t>其他建筑物及道路采取简单防渗，对其地面采用混凝土进行一般地面硬化。</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bl>
    <w:p>
      <w:pPr>
        <w:pStyle w:val="57"/>
        <w:spacing w:before="0" w:after="0" w:line="480" w:lineRule="exact"/>
        <w:ind w:firstLine="0" w:firstLineChars="0"/>
        <w:jc w:val="center"/>
        <w:rPr>
          <w:rFonts w:ascii="黑体" w:hAnsi="黑体" w:eastAsia="黑体"/>
          <w:bCs/>
        </w:rPr>
      </w:pPr>
      <w:r>
        <w:rPr>
          <w:rFonts w:hint="eastAsia" w:ascii="黑体" w:hAnsi="黑体" w:eastAsia="黑体"/>
          <w:bCs/>
        </w:rPr>
        <w:t>表3.</w:t>
      </w:r>
      <w:r>
        <w:rPr>
          <w:rFonts w:ascii="黑体" w:hAnsi="黑体" w:eastAsia="黑体"/>
          <w:bCs/>
        </w:rPr>
        <w:t>1</w:t>
      </w:r>
      <w:r>
        <w:rPr>
          <w:rFonts w:hint="eastAsia" w:ascii="黑体" w:hAnsi="黑体" w:eastAsia="黑体"/>
          <w:bCs/>
        </w:rPr>
        <w:t>-4  项目主要构建筑物一览表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2597"/>
        <w:gridCol w:w="1149"/>
        <w:gridCol w:w="1937"/>
        <w:gridCol w:w="2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rPr>
            </w:pPr>
            <w:r>
              <w:rPr>
                <w:rFonts w:hint="eastAsia" w:ascii="Times New Roman" w:hAnsi="Times New Roman"/>
                <w:snapToGrid w:val="0"/>
                <w:kern w:val="0"/>
                <w:szCs w:val="24"/>
              </w:rPr>
              <w:t>序号</w:t>
            </w:r>
          </w:p>
        </w:tc>
        <w:tc>
          <w:tcPr>
            <w:tcW w:w="1433" w:type="pct"/>
            <w:vAlign w:val="center"/>
          </w:tcPr>
          <w:p>
            <w:pPr>
              <w:pStyle w:val="128"/>
              <w:rPr>
                <w:rFonts w:ascii="Times New Roman" w:hAnsi="Times New Roman"/>
                <w:snapToGrid w:val="0"/>
                <w:kern w:val="0"/>
                <w:szCs w:val="24"/>
              </w:rPr>
            </w:pPr>
            <w:r>
              <w:rPr>
                <w:rFonts w:hint="eastAsia" w:ascii="Times New Roman" w:hAnsi="Times New Roman"/>
                <w:snapToGrid w:val="0"/>
                <w:kern w:val="0"/>
                <w:szCs w:val="24"/>
              </w:rPr>
              <w:t>建筑物名称</w:t>
            </w:r>
          </w:p>
        </w:tc>
        <w:tc>
          <w:tcPr>
            <w:tcW w:w="634" w:type="pct"/>
            <w:vAlign w:val="center"/>
          </w:tcPr>
          <w:p>
            <w:pPr>
              <w:pStyle w:val="128"/>
              <w:rPr>
                <w:rFonts w:ascii="Times New Roman" w:hAnsi="Times New Roman"/>
                <w:snapToGrid w:val="0"/>
                <w:kern w:val="0"/>
                <w:szCs w:val="24"/>
              </w:rPr>
            </w:pPr>
            <w:r>
              <w:rPr>
                <w:rFonts w:hint="eastAsia" w:ascii="Times New Roman" w:hAnsi="Times New Roman"/>
                <w:snapToGrid w:val="0"/>
                <w:kern w:val="0"/>
                <w:szCs w:val="24"/>
              </w:rPr>
              <w:t>数量</w:t>
            </w:r>
          </w:p>
        </w:tc>
        <w:tc>
          <w:tcPr>
            <w:tcW w:w="1069" w:type="pct"/>
            <w:vAlign w:val="center"/>
          </w:tcPr>
          <w:p>
            <w:pPr>
              <w:pStyle w:val="128"/>
              <w:rPr>
                <w:rFonts w:ascii="Times New Roman" w:hAnsi="Times New Roman"/>
                <w:snapToGrid w:val="0"/>
                <w:kern w:val="0"/>
                <w:szCs w:val="24"/>
                <w:vertAlign w:val="superscript"/>
              </w:rPr>
            </w:pPr>
            <w:r>
              <w:rPr>
                <w:rFonts w:hint="eastAsia" w:ascii="Times New Roman" w:hAnsi="Times New Roman"/>
                <w:snapToGrid w:val="0"/>
                <w:kern w:val="0"/>
                <w:szCs w:val="24"/>
                <w:lang w:val="en-US"/>
              </w:rPr>
              <w:t>规格</w:t>
            </w:r>
          </w:p>
        </w:tc>
        <w:tc>
          <w:tcPr>
            <w:tcW w:w="1335" w:type="pct"/>
            <w:vAlign w:val="center"/>
          </w:tcPr>
          <w:p>
            <w:pPr>
              <w:pStyle w:val="128"/>
              <w:rPr>
                <w:rFonts w:ascii="Times New Roman" w:hAnsi="Times New Roman"/>
                <w:snapToGrid w:val="0"/>
                <w:kern w:val="0"/>
                <w:szCs w:val="24"/>
              </w:rPr>
            </w:pPr>
            <w:r>
              <w:rPr>
                <w:rFonts w:hint="eastAsia" w:ascii="Times New Roman" w:hAnsi="Times New Roman"/>
                <w:snapToGrid w:val="0"/>
                <w:kern w:val="0"/>
                <w:szCs w:val="24"/>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rPr>
            </w:pPr>
            <w:r>
              <w:rPr>
                <w:rFonts w:ascii="Times New Roman" w:hAnsi="Times New Roman"/>
                <w:snapToGrid w:val="0"/>
                <w:kern w:val="0"/>
                <w:szCs w:val="24"/>
              </w:rPr>
              <w:t>1</w:t>
            </w:r>
          </w:p>
        </w:tc>
        <w:tc>
          <w:tcPr>
            <w:tcW w:w="1433" w:type="pct"/>
            <w:vAlign w:val="center"/>
          </w:tcPr>
          <w:p>
            <w:pPr>
              <w:pStyle w:val="128"/>
              <w:rPr>
                <w:rFonts w:ascii="Times New Roman" w:hAnsi="Times New Roman"/>
                <w:snapToGrid w:val="0"/>
                <w:kern w:val="0"/>
                <w:szCs w:val="24"/>
              </w:rPr>
            </w:pPr>
            <w:r>
              <w:rPr>
                <w:rFonts w:hint="eastAsia" w:ascii="Times New Roman" w:hAnsi="Times New Roman"/>
                <w:snapToGrid w:val="0"/>
                <w:kern w:val="0"/>
                <w:szCs w:val="24"/>
              </w:rPr>
              <w:t>鸡舍</w:t>
            </w:r>
          </w:p>
        </w:tc>
        <w:tc>
          <w:tcPr>
            <w:tcW w:w="634" w:type="pct"/>
            <w:vAlign w:val="center"/>
          </w:tcPr>
          <w:p>
            <w:pPr>
              <w:pStyle w:val="128"/>
              <w:rPr>
                <w:rFonts w:ascii="Times New Roman" w:hAnsi="Times New Roman"/>
                <w:snapToGrid w:val="0"/>
                <w:kern w:val="0"/>
                <w:szCs w:val="24"/>
                <w:lang w:val="en-US"/>
              </w:rPr>
            </w:pPr>
            <w:r>
              <w:rPr>
                <w:rFonts w:ascii="Times New Roman" w:hAnsi="Times New Roman"/>
                <w:kern w:val="0"/>
                <w:szCs w:val="24"/>
                <w:lang w:val="en-US"/>
              </w:rPr>
              <w:t>7</w:t>
            </w:r>
            <w:r>
              <w:rPr>
                <w:rFonts w:hint="eastAsia" w:ascii="Times New Roman" w:hAnsi="Times New Roman"/>
                <w:kern w:val="0"/>
                <w:szCs w:val="24"/>
              </w:rPr>
              <w:t>栋</w:t>
            </w:r>
          </w:p>
        </w:tc>
        <w:tc>
          <w:tcPr>
            <w:tcW w:w="106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85m×1</w:t>
            </w:r>
            <w:r>
              <w:rPr>
                <w:rFonts w:ascii="Times New Roman" w:hAnsi="Times New Roman"/>
                <w:snapToGrid w:val="0"/>
                <w:kern w:val="0"/>
                <w:szCs w:val="24"/>
                <w:lang w:val="en-US"/>
              </w:rPr>
              <w:t>8</w:t>
            </w:r>
            <w:r>
              <w:rPr>
                <w:rFonts w:hint="eastAsia" w:ascii="Times New Roman" w:hAnsi="Times New Roman"/>
                <w:snapToGrid w:val="0"/>
                <w:kern w:val="0"/>
                <w:szCs w:val="24"/>
              </w:rPr>
              <w:t>m/座</w:t>
            </w:r>
          </w:p>
        </w:tc>
        <w:tc>
          <w:tcPr>
            <w:tcW w:w="1335"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rPr>
            </w:pPr>
            <w:r>
              <w:rPr>
                <w:rFonts w:ascii="Times New Roman" w:hAnsi="Times New Roman"/>
                <w:snapToGrid w:val="0"/>
                <w:kern w:val="0"/>
                <w:szCs w:val="24"/>
              </w:rPr>
              <w:t>2</w:t>
            </w:r>
          </w:p>
        </w:tc>
        <w:tc>
          <w:tcPr>
            <w:tcW w:w="1433" w:type="pct"/>
            <w:vAlign w:val="center"/>
          </w:tcPr>
          <w:p>
            <w:pPr>
              <w:pStyle w:val="128"/>
              <w:rPr>
                <w:rFonts w:ascii="Times New Roman" w:hAnsi="Times New Roman"/>
                <w:snapToGrid w:val="0"/>
                <w:kern w:val="0"/>
                <w:szCs w:val="24"/>
              </w:rPr>
            </w:pPr>
            <w:r>
              <w:rPr>
                <w:rFonts w:hint="eastAsia" w:ascii="Times New Roman" w:hAnsi="Times New Roman"/>
                <w:snapToGrid w:val="0"/>
                <w:kern w:val="0"/>
                <w:szCs w:val="24"/>
              </w:rPr>
              <w:t>办公室</w:t>
            </w:r>
          </w:p>
        </w:tc>
        <w:tc>
          <w:tcPr>
            <w:tcW w:w="634"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1</w:t>
            </w:r>
            <w:r>
              <w:rPr>
                <w:rFonts w:hint="eastAsia" w:ascii="Times New Roman" w:hAnsi="Times New Roman"/>
                <w:snapToGrid w:val="0"/>
                <w:kern w:val="0"/>
                <w:szCs w:val="24"/>
                <w:lang w:val="en-US"/>
              </w:rPr>
              <w:t>座</w:t>
            </w:r>
          </w:p>
        </w:tc>
        <w:tc>
          <w:tcPr>
            <w:tcW w:w="106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600</w:t>
            </w:r>
            <w:r>
              <w:rPr>
                <w:rFonts w:hint="eastAsia" w:ascii="Times New Roman" w:hAnsi="Times New Roman"/>
                <w:snapToGrid w:val="0"/>
                <w:kern w:val="0"/>
                <w:szCs w:val="24"/>
              </w:rPr>
              <w:t>m</w:t>
            </w:r>
            <w:r>
              <w:rPr>
                <w:rFonts w:hint="eastAsia" w:ascii="Times New Roman" w:hAnsi="Times New Roman"/>
                <w:snapToGrid w:val="0"/>
                <w:kern w:val="0"/>
                <w:szCs w:val="24"/>
                <w:vertAlign w:val="superscript"/>
              </w:rPr>
              <w:t>2</w:t>
            </w:r>
          </w:p>
        </w:tc>
        <w:tc>
          <w:tcPr>
            <w:tcW w:w="1335"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rPr>
            </w:pPr>
            <w:r>
              <w:rPr>
                <w:rFonts w:ascii="Times New Roman" w:hAnsi="Times New Roman"/>
                <w:snapToGrid w:val="0"/>
                <w:kern w:val="0"/>
                <w:szCs w:val="24"/>
              </w:rPr>
              <w:t>3</w:t>
            </w:r>
          </w:p>
        </w:tc>
        <w:tc>
          <w:tcPr>
            <w:tcW w:w="1433" w:type="pct"/>
            <w:vAlign w:val="center"/>
          </w:tcPr>
          <w:p>
            <w:pPr>
              <w:pStyle w:val="128"/>
              <w:rPr>
                <w:rFonts w:ascii="Times New Roman" w:hAnsi="Times New Roman"/>
                <w:snapToGrid w:val="0"/>
                <w:kern w:val="0"/>
                <w:szCs w:val="24"/>
              </w:rPr>
            </w:pPr>
            <w:r>
              <w:rPr>
                <w:rFonts w:hint="eastAsia" w:ascii="Times New Roman" w:hAnsi="Times New Roman"/>
                <w:snapToGrid w:val="0"/>
                <w:kern w:val="0"/>
                <w:szCs w:val="24"/>
              </w:rPr>
              <w:t>锅炉房</w:t>
            </w:r>
          </w:p>
        </w:tc>
        <w:tc>
          <w:tcPr>
            <w:tcW w:w="634"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1</w:t>
            </w:r>
            <w:r>
              <w:rPr>
                <w:rFonts w:hint="eastAsia" w:ascii="Times New Roman" w:hAnsi="Times New Roman"/>
                <w:snapToGrid w:val="0"/>
                <w:kern w:val="0"/>
                <w:szCs w:val="24"/>
                <w:lang w:val="en-US"/>
              </w:rPr>
              <w:t>座</w:t>
            </w:r>
          </w:p>
        </w:tc>
        <w:tc>
          <w:tcPr>
            <w:tcW w:w="1069"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1</w:t>
            </w:r>
            <w:r>
              <w:rPr>
                <w:rFonts w:hint="eastAsia" w:ascii="Times New Roman" w:hAnsi="Times New Roman"/>
                <w:snapToGrid w:val="0"/>
                <w:kern w:val="0"/>
                <w:szCs w:val="24"/>
                <w:lang w:val="en-US"/>
              </w:rPr>
              <w:t>00</w:t>
            </w:r>
            <w:r>
              <w:rPr>
                <w:rFonts w:hint="eastAsia" w:ascii="Times New Roman" w:hAnsi="Times New Roman"/>
                <w:snapToGrid w:val="0"/>
                <w:kern w:val="0"/>
                <w:szCs w:val="24"/>
              </w:rPr>
              <w:t xml:space="preserve"> m</w:t>
            </w:r>
            <w:r>
              <w:rPr>
                <w:rFonts w:hint="eastAsia" w:ascii="Times New Roman" w:hAnsi="Times New Roman"/>
                <w:snapToGrid w:val="0"/>
                <w:kern w:val="0"/>
                <w:szCs w:val="24"/>
                <w:vertAlign w:val="superscript"/>
              </w:rPr>
              <w:t>2</w:t>
            </w:r>
          </w:p>
        </w:tc>
        <w:tc>
          <w:tcPr>
            <w:tcW w:w="1335"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4</w:t>
            </w:r>
          </w:p>
        </w:tc>
        <w:tc>
          <w:tcPr>
            <w:tcW w:w="1433" w:type="pct"/>
            <w:vAlign w:val="center"/>
          </w:tcPr>
          <w:p>
            <w:pPr>
              <w:pStyle w:val="128"/>
              <w:rPr>
                <w:rFonts w:ascii="Times New Roman" w:hAnsi="Times New Roman"/>
                <w:snapToGrid w:val="0"/>
                <w:kern w:val="0"/>
                <w:szCs w:val="24"/>
              </w:rPr>
            </w:pPr>
            <w:r>
              <w:rPr>
                <w:rFonts w:hint="eastAsia" w:ascii="Times New Roman" w:hAnsi="Times New Roman"/>
                <w:snapToGrid w:val="0"/>
                <w:kern w:val="0"/>
                <w:szCs w:val="24"/>
              </w:rPr>
              <w:t>鸡粪耗氧发酵罐</w:t>
            </w:r>
          </w:p>
        </w:tc>
        <w:tc>
          <w:tcPr>
            <w:tcW w:w="634"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2座</w:t>
            </w:r>
          </w:p>
        </w:tc>
        <w:tc>
          <w:tcPr>
            <w:tcW w:w="1069"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1</w:t>
            </w:r>
            <w:r>
              <w:rPr>
                <w:rFonts w:hint="eastAsia" w:ascii="Times New Roman" w:hAnsi="Times New Roman"/>
                <w:snapToGrid w:val="0"/>
                <w:kern w:val="0"/>
                <w:szCs w:val="24"/>
                <w:lang w:val="en-US"/>
              </w:rPr>
              <w:t>00</w:t>
            </w:r>
            <w:r>
              <w:rPr>
                <w:rFonts w:hint="eastAsia" w:ascii="Times New Roman" w:hAnsi="Times New Roman"/>
                <w:snapToGrid w:val="0"/>
                <w:kern w:val="0"/>
                <w:szCs w:val="24"/>
              </w:rPr>
              <w:t xml:space="preserve"> m</w:t>
            </w:r>
            <w:r>
              <w:rPr>
                <w:rFonts w:hint="eastAsia" w:ascii="Times New Roman" w:hAnsi="Times New Roman"/>
                <w:snapToGrid w:val="0"/>
                <w:kern w:val="0"/>
                <w:szCs w:val="24"/>
                <w:vertAlign w:val="superscript"/>
              </w:rPr>
              <w:t>3</w:t>
            </w:r>
            <w:r>
              <w:rPr>
                <w:rFonts w:hint="eastAsia" w:ascii="Times New Roman" w:hAnsi="Times New Roman"/>
                <w:snapToGrid w:val="0"/>
                <w:kern w:val="0"/>
                <w:szCs w:val="24"/>
              </w:rPr>
              <w:t>/座</w:t>
            </w:r>
          </w:p>
        </w:tc>
        <w:tc>
          <w:tcPr>
            <w:tcW w:w="1335"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处理能力9-14m</w:t>
            </w:r>
            <w:r>
              <w:rPr>
                <w:rFonts w:hint="eastAsia" w:ascii="Times New Roman" w:hAnsi="Times New Roman"/>
                <w:snapToGrid w:val="0"/>
                <w:kern w:val="0"/>
                <w:szCs w:val="24"/>
                <w:vertAlign w:val="superscript"/>
                <w:lang w:val="en-US"/>
              </w:rPr>
              <w:t>3</w:t>
            </w:r>
            <w:r>
              <w:rPr>
                <w:rFonts w:hint="eastAsia" w:ascii="Times New Roman" w:hAnsi="Times New Roman"/>
                <w:snapToGrid w:val="0"/>
                <w:kern w:val="0"/>
                <w:szCs w:val="24"/>
                <w:lang w:val="en-US"/>
              </w:rPr>
              <w:t>/d·台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5</w:t>
            </w:r>
          </w:p>
        </w:tc>
        <w:tc>
          <w:tcPr>
            <w:tcW w:w="1433" w:type="pct"/>
            <w:vAlign w:val="center"/>
          </w:tcPr>
          <w:p>
            <w:pPr>
              <w:pStyle w:val="128"/>
              <w:rPr>
                <w:rFonts w:ascii="Times New Roman" w:hAnsi="Times New Roman"/>
                <w:snapToGrid w:val="0"/>
                <w:kern w:val="0"/>
                <w:szCs w:val="24"/>
              </w:rPr>
            </w:pPr>
            <w:r>
              <w:rPr>
                <w:rFonts w:hint="eastAsia" w:hAnsi="宋体"/>
                <w:bCs/>
                <w:kern w:val="0"/>
                <w:szCs w:val="21"/>
              </w:rPr>
              <w:t>临时储粪房</w:t>
            </w:r>
          </w:p>
        </w:tc>
        <w:tc>
          <w:tcPr>
            <w:tcW w:w="634"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1</w:t>
            </w:r>
            <w:r>
              <w:rPr>
                <w:rFonts w:hint="eastAsia" w:ascii="Times New Roman" w:hAnsi="Times New Roman"/>
                <w:snapToGrid w:val="0"/>
                <w:kern w:val="0"/>
                <w:szCs w:val="24"/>
                <w:lang w:val="en-US"/>
              </w:rPr>
              <w:t>间</w:t>
            </w:r>
          </w:p>
        </w:tc>
        <w:tc>
          <w:tcPr>
            <w:tcW w:w="106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200</w:t>
            </w:r>
            <w:r>
              <w:rPr>
                <w:rFonts w:hint="eastAsia" w:ascii="Times New Roman" w:hAnsi="Times New Roman"/>
                <w:snapToGrid w:val="0"/>
                <w:kern w:val="0"/>
                <w:szCs w:val="24"/>
              </w:rPr>
              <w:t xml:space="preserve"> m</w:t>
            </w:r>
            <w:r>
              <w:rPr>
                <w:rFonts w:hint="eastAsia" w:ascii="Times New Roman" w:hAnsi="Times New Roman"/>
                <w:snapToGrid w:val="0"/>
                <w:kern w:val="0"/>
                <w:szCs w:val="24"/>
                <w:vertAlign w:val="superscript"/>
              </w:rPr>
              <w:t>2</w:t>
            </w:r>
          </w:p>
        </w:tc>
        <w:tc>
          <w:tcPr>
            <w:tcW w:w="1335"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6</w:t>
            </w:r>
          </w:p>
        </w:tc>
        <w:tc>
          <w:tcPr>
            <w:tcW w:w="1433" w:type="pct"/>
            <w:vAlign w:val="center"/>
          </w:tcPr>
          <w:p>
            <w:pPr>
              <w:pStyle w:val="128"/>
              <w:rPr>
                <w:rFonts w:ascii="Times New Roman" w:hAnsi="Times New Roman"/>
                <w:snapToGrid w:val="0"/>
                <w:kern w:val="0"/>
                <w:szCs w:val="24"/>
              </w:rPr>
            </w:pPr>
            <w:r>
              <w:rPr>
                <w:rFonts w:hint="eastAsia" w:hAnsi="宋体"/>
                <w:bCs/>
                <w:kern w:val="0"/>
                <w:szCs w:val="21"/>
              </w:rPr>
              <w:t>饲料库</w:t>
            </w:r>
          </w:p>
        </w:tc>
        <w:tc>
          <w:tcPr>
            <w:tcW w:w="634"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1</w:t>
            </w:r>
            <w:r>
              <w:rPr>
                <w:rFonts w:hint="eastAsia" w:ascii="Times New Roman" w:hAnsi="Times New Roman"/>
                <w:snapToGrid w:val="0"/>
                <w:kern w:val="0"/>
                <w:szCs w:val="24"/>
                <w:lang w:val="en-US"/>
              </w:rPr>
              <w:t>座</w:t>
            </w:r>
          </w:p>
        </w:tc>
        <w:tc>
          <w:tcPr>
            <w:tcW w:w="1069"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2</w:t>
            </w:r>
            <w:r>
              <w:rPr>
                <w:rFonts w:hint="eastAsia" w:ascii="Times New Roman" w:hAnsi="Times New Roman"/>
                <w:snapToGrid w:val="0"/>
                <w:kern w:val="0"/>
                <w:szCs w:val="24"/>
                <w:lang w:val="en-US"/>
              </w:rPr>
              <w:t>00</w:t>
            </w:r>
            <w:r>
              <w:rPr>
                <w:rFonts w:hint="eastAsia" w:ascii="Times New Roman" w:hAnsi="Times New Roman"/>
                <w:snapToGrid w:val="0"/>
                <w:kern w:val="0"/>
                <w:szCs w:val="24"/>
              </w:rPr>
              <w:t xml:space="preserve"> m</w:t>
            </w:r>
            <w:r>
              <w:rPr>
                <w:rFonts w:hint="eastAsia" w:ascii="Times New Roman" w:hAnsi="Times New Roman"/>
                <w:snapToGrid w:val="0"/>
                <w:kern w:val="0"/>
                <w:szCs w:val="24"/>
                <w:vertAlign w:val="superscript"/>
              </w:rPr>
              <w:t>2</w:t>
            </w:r>
          </w:p>
        </w:tc>
        <w:tc>
          <w:tcPr>
            <w:tcW w:w="1335"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7</w:t>
            </w:r>
          </w:p>
        </w:tc>
        <w:tc>
          <w:tcPr>
            <w:tcW w:w="1433" w:type="pct"/>
            <w:vAlign w:val="center"/>
          </w:tcPr>
          <w:p>
            <w:pPr>
              <w:pStyle w:val="128"/>
              <w:rPr>
                <w:rFonts w:ascii="Times New Roman" w:hAnsi="Times New Roman"/>
                <w:snapToGrid w:val="0"/>
                <w:kern w:val="0"/>
                <w:szCs w:val="24"/>
              </w:rPr>
            </w:pPr>
            <w:r>
              <w:rPr>
                <w:rFonts w:hint="eastAsia" w:hAnsi="宋体"/>
                <w:bCs/>
                <w:kern w:val="0"/>
                <w:szCs w:val="21"/>
              </w:rPr>
              <w:t>污水收集池</w:t>
            </w:r>
          </w:p>
        </w:tc>
        <w:tc>
          <w:tcPr>
            <w:tcW w:w="634"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1</w:t>
            </w:r>
            <w:r>
              <w:rPr>
                <w:rFonts w:hint="eastAsia" w:ascii="Times New Roman" w:hAnsi="Times New Roman"/>
                <w:snapToGrid w:val="0"/>
                <w:kern w:val="0"/>
                <w:szCs w:val="24"/>
                <w:lang w:val="en-US"/>
              </w:rPr>
              <w:t>座</w:t>
            </w:r>
          </w:p>
        </w:tc>
        <w:tc>
          <w:tcPr>
            <w:tcW w:w="106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60</w:t>
            </w:r>
            <w:r>
              <w:rPr>
                <w:rFonts w:hint="eastAsia" w:ascii="Times New Roman" w:hAnsi="Times New Roman"/>
                <w:snapToGrid w:val="0"/>
                <w:kern w:val="0"/>
                <w:szCs w:val="24"/>
              </w:rPr>
              <w:t xml:space="preserve"> m</w:t>
            </w:r>
            <w:r>
              <w:rPr>
                <w:rFonts w:hint="eastAsia" w:ascii="Times New Roman" w:hAnsi="Times New Roman"/>
                <w:snapToGrid w:val="0"/>
                <w:kern w:val="0"/>
                <w:szCs w:val="24"/>
                <w:vertAlign w:val="superscript"/>
              </w:rPr>
              <w:t>3</w:t>
            </w:r>
          </w:p>
        </w:tc>
        <w:tc>
          <w:tcPr>
            <w:tcW w:w="1335"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地下一层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8</w:t>
            </w:r>
          </w:p>
        </w:tc>
        <w:tc>
          <w:tcPr>
            <w:tcW w:w="1433" w:type="pct"/>
            <w:vAlign w:val="center"/>
          </w:tcPr>
          <w:p>
            <w:pPr>
              <w:pStyle w:val="128"/>
              <w:rPr>
                <w:rFonts w:ascii="Times New Roman" w:hAnsi="Times New Roman"/>
                <w:snapToGrid w:val="0"/>
                <w:kern w:val="0"/>
                <w:szCs w:val="24"/>
              </w:rPr>
            </w:pPr>
            <w:r>
              <w:rPr>
                <w:rFonts w:hint="eastAsia" w:hAnsi="宋体"/>
                <w:bCs/>
                <w:kern w:val="0"/>
                <w:szCs w:val="21"/>
              </w:rPr>
              <w:t>清水储池</w:t>
            </w:r>
          </w:p>
        </w:tc>
        <w:tc>
          <w:tcPr>
            <w:tcW w:w="634"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1</w:t>
            </w:r>
            <w:r>
              <w:rPr>
                <w:rFonts w:hint="eastAsia" w:ascii="Times New Roman" w:hAnsi="Times New Roman"/>
                <w:snapToGrid w:val="0"/>
                <w:kern w:val="0"/>
                <w:szCs w:val="24"/>
                <w:lang w:val="en-US"/>
              </w:rPr>
              <w:t>座</w:t>
            </w:r>
          </w:p>
        </w:tc>
        <w:tc>
          <w:tcPr>
            <w:tcW w:w="1069"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25</w:t>
            </w:r>
            <w:r>
              <w:rPr>
                <w:rFonts w:hint="eastAsia" w:ascii="Times New Roman" w:hAnsi="Times New Roman"/>
                <w:snapToGrid w:val="0"/>
                <w:kern w:val="0"/>
                <w:szCs w:val="24"/>
                <w:lang w:val="en-US"/>
              </w:rPr>
              <w:t>0</w:t>
            </w:r>
            <w:r>
              <w:rPr>
                <w:rFonts w:hint="eastAsia" w:ascii="Times New Roman" w:hAnsi="Times New Roman"/>
                <w:snapToGrid w:val="0"/>
                <w:kern w:val="0"/>
                <w:szCs w:val="24"/>
              </w:rPr>
              <w:t xml:space="preserve"> m</w:t>
            </w:r>
            <w:r>
              <w:rPr>
                <w:rFonts w:hint="eastAsia" w:ascii="Times New Roman" w:hAnsi="Times New Roman"/>
                <w:snapToGrid w:val="0"/>
                <w:kern w:val="0"/>
                <w:szCs w:val="24"/>
                <w:vertAlign w:val="superscript"/>
              </w:rPr>
              <w:t>3</w:t>
            </w:r>
          </w:p>
        </w:tc>
        <w:tc>
          <w:tcPr>
            <w:tcW w:w="1335"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地下一层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9</w:t>
            </w:r>
          </w:p>
        </w:tc>
        <w:tc>
          <w:tcPr>
            <w:tcW w:w="1433" w:type="pct"/>
            <w:vAlign w:val="center"/>
          </w:tcPr>
          <w:p>
            <w:pPr>
              <w:pStyle w:val="128"/>
              <w:rPr>
                <w:rFonts w:ascii="Times New Roman" w:hAnsi="Times New Roman"/>
                <w:snapToGrid w:val="0"/>
                <w:kern w:val="0"/>
                <w:szCs w:val="24"/>
              </w:rPr>
            </w:pPr>
            <w:r>
              <w:rPr>
                <w:rFonts w:hint="eastAsia" w:ascii="Times New Roman" w:hAnsi="Times New Roman"/>
                <w:snapToGrid w:val="0"/>
                <w:kern w:val="0"/>
                <w:szCs w:val="24"/>
              </w:rPr>
              <w:t>污水处理站</w:t>
            </w:r>
          </w:p>
        </w:tc>
        <w:tc>
          <w:tcPr>
            <w:tcW w:w="634" w:type="pct"/>
            <w:vAlign w:val="center"/>
          </w:tcPr>
          <w:p>
            <w:pPr>
              <w:pStyle w:val="128"/>
              <w:rPr>
                <w:rFonts w:ascii="Times New Roman" w:hAnsi="Times New Roman"/>
                <w:snapToGrid w:val="0"/>
                <w:kern w:val="0"/>
                <w:szCs w:val="24"/>
                <w:lang w:val="en-US"/>
              </w:rPr>
            </w:pPr>
            <w:r>
              <w:rPr>
                <w:rFonts w:ascii="Times New Roman" w:hAnsi="Times New Roman"/>
                <w:snapToGrid w:val="0"/>
                <w:kern w:val="0"/>
                <w:szCs w:val="24"/>
                <w:lang w:val="en-US"/>
              </w:rPr>
              <w:t>1</w:t>
            </w:r>
            <w:r>
              <w:rPr>
                <w:rFonts w:hint="eastAsia" w:ascii="Times New Roman" w:hAnsi="Times New Roman"/>
                <w:snapToGrid w:val="0"/>
                <w:kern w:val="0"/>
                <w:szCs w:val="24"/>
                <w:lang w:val="en-US"/>
              </w:rPr>
              <w:t>座</w:t>
            </w:r>
          </w:p>
        </w:tc>
        <w:tc>
          <w:tcPr>
            <w:tcW w:w="1069"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20</w:t>
            </w:r>
            <w:r>
              <w:rPr>
                <w:rFonts w:hint="eastAsia" w:ascii="Times New Roman" w:hAnsi="Times New Roman"/>
                <w:snapToGrid w:val="0"/>
                <w:kern w:val="0"/>
                <w:szCs w:val="24"/>
              </w:rPr>
              <w:t xml:space="preserve"> m</w:t>
            </w:r>
            <w:r>
              <w:rPr>
                <w:rFonts w:hint="eastAsia" w:ascii="Times New Roman" w:hAnsi="Times New Roman"/>
                <w:snapToGrid w:val="0"/>
                <w:kern w:val="0"/>
                <w:szCs w:val="24"/>
                <w:vertAlign w:val="superscript"/>
              </w:rPr>
              <w:t>2</w:t>
            </w:r>
          </w:p>
        </w:tc>
        <w:tc>
          <w:tcPr>
            <w:tcW w:w="1335" w:type="pct"/>
            <w:vAlign w:val="center"/>
          </w:tcPr>
          <w:p>
            <w:pPr>
              <w:pStyle w:val="128"/>
              <w:rPr>
                <w:rFonts w:ascii="Times New Roman" w:hAnsi="Times New Roman"/>
                <w:snapToGrid w:val="0"/>
                <w:kern w:val="0"/>
                <w:szCs w:val="24"/>
                <w:lang w:val="en-US"/>
              </w:rPr>
            </w:pPr>
            <w:r>
              <w:rPr>
                <w:rFonts w:hint="eastAsia" w:ascii="Times New Roman" w:hAnsi="Times New Roman"/>
                <w:snapToGrid w:val="0"/>
                <w:kern w:val="0"/>
                <w:szCs w:val="24"/>
                <w:lang w:val="en-US"/>
              </w:rPr>
              <w:t>地下一层</w:t>
            </w:r>
          </w:p>
        </w:tc>
      </w:tr>
    </w:tbl>
    <w:p>
      <w:pPr>
        <w:pStyle w:val="57"/>
        <w:keepNext/>
        <w:keepLines/>
        <w:spacing w:before="0" w:after="0" w:line="480" w:lineRule="exact"/>
        <w:ind w:firstLine="0" w:firstLineChars="0"/>
        <w:outlineLvl w:val="2"/>
        <w:rPr>
          <w:rFonts w:eastAsia="黑体"/>
          <w:b/>
        </w:rPr>
      </w:pPr>
      <w:r>
        <w:rPr>
          <w:b/>
        </w:rPr>
        <w:t>3.1.</w:t>
      </w:r>
      <w:r>
        <w:rPr>
          <w:rFonts w:hint="eastAsia"/>
          <w:b/>
        </w:rPr>
        <w:t>4</w:t>
      </w:r>
      <w:r>
        <w:rPr>
          <w:rFonts w:hint="eastAsia" w:ascii="宋体" w:hAnsi="宋体"/>
          <w:b/>
        </w:rPr>
        <w:t>项目总平面布置</w:t>
      </w:r>
    </w:p>
    <w:p>
      <w:pPr>
        <w:pStyle w:val="57"/>
        <w:snapToGrid/>
        <w:spacing w:before="0" w:after="0" w:line="480" w:lineRule="exact"/>
        <w:ind w:firstLine="480"/>
      </w:pPr>
      <w:bookmarkStart w:id="51" w:name="_Hlk480443431"/>
      <w:r>
        <w:t>根据养殖场的生产及管理需要，本项目主要建设内容为：鸡舍、办公</w:t>
      </w:r>
      <w:r>
        <w:rPr>
          <w:rFonts w:hint="eastAsia"/>
        </w:rPr>
        <w:t>室</w:t>
      </w:r>
      <w:r>
        <w:t>、库房、污水处理站等。</w:t>
      </w:r>
    </w:p>
    <w:p>
      <w:pPr>
        <w:pStyle w:val="57"/>
        <w:snapToGrid/>
        <w:spacing w:before="0" w:after="0" w:line="480" w:lineRule="exact"/>
        <w:ind w:firstLine="480"/>
      </w:pPr>
      <w:r>
        <w:t>首先从人畜保健的角度出发，使区间建立最佳生产联系和环境卫生防疫条件，各区域之间设有林带隔开，再考虑地势和主导风向进行分区安排。该区域全年主导风向</w:t>
      </w:r>
      <w:r>
        <w:rPr>
          <w:rFonts w:hint="eastAsia"/>
        </w:rPr>
        <w:t>为西北偏西风</w:t>
      </w:r>
      <w:r>
        <w:t>。</w:t>
      </w:r>
    </w:p>
    <w:p>
      <w:pPr>
        <w:pStyle w:val="57"/>
        <w:snapToGrid/>
        <w:spacing w:before="0" w:after="0" w:line="480" w:lineRule="exact"/>
        <w:ind w:firstLine="480"/>
      </w:pPr>
      <w:r>
        <w:t>《畜禽养殖业污染防治技术规范》（HJ/T81-2001）中规定</w:t>
      </w:r>
      <w:r>
        <w:rPr>
          <w:rFonts w:hint="eastAsia"/>
        </w:rPr>
        <w:t>”“</w:t>
      </w:r>
      <w:r>
        <w:t>新建、改建、扩建的畜禽养殖场应实现生产区、生活管理区的隔离；粪便污水处理设施，应设在养殖场的生产区、生活管理区的常年主导风向的下风向或侧风向处</w:t>
      </w:r>
      <w:r>
        <w:rPr>
          <w:rFonts w:hint="eastAsia"/>
        </w:rPr>
        <w:t>”</w:t>
      </w:r>
      <w:r>
        <w:t>；</w:t>
      </w:r>
      <w:r>
        <w:rPr>
          <w:rFonts w:hint="eastAsia"/>
        </w:rPr>
        <w:t>“</w:t>
      </w:r>
      <w:r>
        <w:t>畜禽粪便的贮存设施的位置必须远离各类功能地表水体（距离不得小于400m），并应设在养殖场生产及生活管理区的常年主导风向的下风向或侧风向处</w:t>
      </w:r>
      <w:r>
        <w:rPr>
          <w:rFonts w:hint="eastAsia"/>
        </w:rPr>
        <w:t>”</w:t>
      </w:r>
      <w:r>
        <w:t>。</w:t>
      </w:r>
    </w:p>
    <w:p>
      <w:pPr>
        <w:pStyle w:val="57"/>
        <w:snapToGrid/>
        <w:spacing w:before="0" w:after="0" w:line="480" w:lineRule="exact"/>
        <w:ind w:firstLine="480"/>
      </w:pPr>
      <w:r>
        <w:rPr>
          <w:rFonts w:hint="eastAsia"/>
        </w:rPr>
        <w:t>本项目污水处理站为地埋式一体化设施，位于场区南侧，</w:t>
      </w:r>
      <w:r>
        <w:t>常年主导风向侧风向处</w:t>
      </w:r>
      <w:r>
        <w:rPr>
          <w:rFonts w:hint="eastAsia"/>
        </w:rPr>
        <w:t>。</w:t>
      </w:r>
      <w:r>
        <w:t>养殖场道路旁边及围墙四周种植绿化带，绿化带乔</w:t>
      </w:r>
      <w:r>
        <w:rPr>
          <w:rFonts w:hint="eastAsia"/>
        </w:rPr>
        <w:t>灌木</w:t>
      </w:r>
      <w:r>
        <w:t>结合。</w:t>
      </w:r>
    </w:p>
    <w:p>
      <w:pPr>
        <w:pStyle w:val="57"/>
        <w:snapToGrid/>
        <w:spacing w:before="0" w:after="0" w:line="480" w:lineRule="exact"/>
        <w:ind w:firstLine="480"/>
      </w:pPr>
      <w:r>
        <w:rPr>
          <w:rFonts w:hint="eastAsia"/>
        </w:rPr>
        <w:t>本项目生产生活区位于场区东南侧，位于主导风向侧风向，远离锅炉房及污水处理站</w:t>
      </w:r>
      <w:r>
        <w:t>。</w:t>
      </w:r>
      <w:r>
        <w:rPr>
          <w:rFonts w:hint="eastAsia"/>
        </w:rPr>
        <w:t>场区</w:t>
      </w:r>
      <w:r>
        <w:t>办公室与鸡舍中间由绿化带分开，防止外来人员随意进入生产区内。</w:t>
      </w:r>
    </w:p>
    <w:p>
      <w:pPr>
        <w:pStyle w:val="57"/>
        <w:snapToGrid/>
        <w:spacing w:before="0" w:after="0" w:line="480" w:lineRule="exact"/>
        <w:ind w:firstLine="480"/>
      </w:pPr>
      <w:r>
        <w:rPr>
          <w:rFonts w:hint="eastAsia"/>
        </w:rPr>
        <w:t>安全填埋</w:t>
      </w:r>
      <w:r>
        <w:t>井位于</w:t>
      </w:r>
      <w:r>
        <w:rPr>
          <w:rFonts w:hint="eastAsia"/>
        </w:rPr>
        <w:t>场区北</w:t>
      </w:r>
      <w:r>
        <w:t>侧。</w:t>
      </w:r>
      <w:r>
        <w:rPr>
          <w:rFonts w:hint="eastAsia"/>
        </w:rPr>
        <w:t>安全填埋</w:t>
      </w:r>
      <w:r>
        <w:t>井远离人群密集区及水体。这样配置使养殖场不产生人畜共患疫病影响，同时防止了无关人员乱串而影响防疫。</w:t>
      </w:r>
    </w:p>
    <w:p>
      <w:pPr>
        <w:pStyle w:val="57"/>
        <w:snapToGrid/>
        <w:spacing w:before="0" w:after="0" w:line="480" w:lineRule="exact"/>
        <w:ind w:firstLine="480"/>
      </w:pPr>
      <w:r>
        <w:rPr>
          <w:rFonts w:hint="eastAsia"/>
        </w:rPr>
        <w:t>综上所述</w:t>
      </w:r>
      <w:r>
        <w:t>，该项目在平面布置上保证各功能区布置相对独立，项目运行过程中通过合理组织功能分区，合理布置工艺车间，合理组织交通运输使物料运输方便快捷，保证生产工艺流程畅通。场区平面布置符合环境保护、安全生产、卫生防疫、绿化与工业企业卫生要求。</w:t>
      </w:r>
    </w:p>
    <w:p>
      <w:pPr>
        <w:pStyle w:val="57"/>
        <w:snapToGrid/>
        <w:spacing w:before="0" w:after="0" w:line="480" w:lineRule="exact"/>
        <w:ind w:firstLine="480"/>
      </w:pPr>
      <w:r>
        <w:rPr>
          <w:rFonts w:hint="eastAsia"/>
        </w:rPr>
        <w:t>本项目</w:t>
      </w:r>
      <w:r>
        <w:t>平面布置见图</w:t>
      </w:r>
      <w:r>
        <w:rPr>
          <w:rFonts w:hint="eastAsia"/>
        </w:rPr>
        <w:t>3.1-1</w:t>
      </w:r>
      <w:r>
        <w:t>。</w:t>
      </w:r>
    </w:p>
    <w:bookmarkEnd w:id="51"/>
    <w:p>
      <w:pPr>
        <w:pStyle w:val="57"/>
        <w:keepNext/>
        <w:keepLines/>
        <w:spacing w:before="0" w:after="0" w:line="480" w:lineRule="exact"/>
        <w:ind w:firstLine="0" w:firstLineChars="0"/>
        <w:outlineLvl w:val="2"/>
        <w:rPr>
          <w:rFonts w:eastAsia="黑体"/>
          <w:b/>
        </w:rPr>
      </w:pPr>
      <w:r>
        <w:rPr>
          <w:b/>
        </w:rPr>
        <w:t>3.1.</w:t>
      </w:r>
      <w:r>
        <w:rPr>
          <w:rFonts w:hint="eastAsia"/>
          <w:b/>
        </w:rPr>
        <w:t>5</w:t>
      </w:r>
      <w:r>
        <w:rPr>
          <w:rFonts w:hint="eastAsia" w:ascii="宋体" w:hAnsi="宋体"/>
          <w:b/>
        </w:rPr>
        <w:t>项目主要生产设备</w:t>
      </w:r>
    </w:p>
    <w:p>
      <w:pPr>
        <w:pStyle w:val="57"/>
        <w:spacing w:before="0" w:after="0" w:line="480" w:lineRule="exact"/>
        <w:ind w:firstLine="480"/>
        <w:rPr>
          <w:rFonts w:ascii="黑体" w:hAnsi="黑体" w:eastAsia="黑体"/>
          <w:bCs/>
        </w:rPr>
      </w:pPr>
      <w:r>
        <w:t>本项目主要生产设备见表3</w:t>
      </w:r>
      <w:r>
        <w:rPr>
          <w:rFonts w:hint="eastAsia"/>
        </w:rPr>
        <w:t>.</w:t>
      </w:r>
      <w:r>
        <w:t>1-</w:t>
      </w:r>
      <w:r>
        <w:rPr>
          <w:rFonts w:hint="eastAsia"/>
        </w:rPr>
        <w:t>5</w:t>
      </w:r>
      <w:r>
        <w:t>。</w:t>
      </w:r>
    </w:p>
    <w:p>
      <w:pPr>
        <w:pStyle w:val="57"/>
        <w:spacing w:before="0" w:after="0" w:line="480" w:lineRule="exact"/>
        <w:ind w:firstLine="0" w:firstLineChars="0"/>
        <w:jc w:val="center"/>
        <w:rPr>
          <w:rFonts w:ascii="黑体" w:hAnsi="黑体" w:eastAsia="黑体"/>
          <w:bCs/>
        </w:rPr>
      </w:pPr>
      <w:r>
        <w:rPr>
          <w:rFonts w:hint="eastAsia" w:ascii="黑体" w:hAnsi="黑体" w:eastAsia="黑体"/>
          <w:bCs/>
        </w:rPr>
        <w:t>表3.</w:t>
      </w:r>
      <w:r>
        <w:rPr>
          <w:rFonts w:ascii="黑体" w:hAnsi="黑体" w:eastAsia="黑体"/>
          <w:bCs/>
        </w:rPr>
        <w:t>1</w:t>
      </w:r>
      <w:r>
        <w:rPr>
          <w:rFonts w:hint="eastAsia" w:ascii="黑体" w:hAnsi="黑体" w:eastAsia="黑体"/>
          <w:bCs/>
        </w:rPr>
        <w:t>-5  项目主要生产设备表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437"/>
        <w:gridCol w:w="2080"/>
        <w:gridCol w:w="687"/>
        <w:gridCol w:w="1473"/>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Align w:val="center"/>
          </w:tcPr>
          <w:p>
            <w:pPr>
              <w:jc w:val="center"/>
              <w:rPr>
                <w:szCs w:val="21"/>
              </w:rPr>
            </w:pPr>
            <w:r>
              <w:rPr>
                <w:szCs w:val="21"/>
              </w:rPr>
              <w:t>序号</w:t>
            </w:r>
          </w:p>
        </w:tc>
        <w:tc>
          <w:tcPr>
            <w:tcW w:w="1941" w:type="pct"/>
            <w:gridSpan w:val="2"/>
            <w:vAlign w:val="center"/>
          </w:tcPr>
          <w:p>
            <w:pPr>
              <w:jc w:val="center"/>
              <w:rPr>
                <w:szCs w:val="21"/>
              </w:rPr>
            </w:pPr>
            <w:r>
              <w:rPr>
                <w:szCs w:val="21"/>
              </w:rPr>
              <w:t>设备名称</w:t>
            </w:r>
          </w:p>
        </w:tc>
        <w:tc>
          <w:tcPr>
            <w:tcW w:w="379" w:type="pct"/>
            <w:vAlign w:val="center"/>
          </w:tcPr>
          <w:p>
            <w:pPr>
              <w:jc w:val="center"/>
              <w:rPr>
                <w:szCs w:val="21"/>
              </w:rPr>
            </w:pPr>
            <w:r>
              <w:rPr>
                <w:szCs w:val="21"/>
              </w:rPr>
              <w:t>单位</w:t>
            </w:r>
          </w:p>
        </w:tc>
        <w:tc>
          <w:tcPr>
            <w:tcW w:w="813" w:type="pct"/>
            <w:vAlign w:val="center"/>
          </w:tcPr>
          <w:p>
            <w:pPr>
              <w:jc w:val="center"/>
              <w:rPr>
                <w:szCs w:val="21"/>
              </w:rPr>
            </w:pPr>
            <w:r>
              <w:rPr>
                <w:szCs w:val="21"/>
              </w:rPr>
              <w:t>数量</w:t>
            </w:r>
          </w:p>
        </w:tc>
        <w:tc>
          <w:tcPr>
            <w:tcW w:w="1490" w:type="pct"/>
            <w:vAlign w:val="center"/>
          </w:tcPr>
          <w:p>
            <w:pPr>
              <w:jc w:val="center"/>
              <w:rPr>
                <w:szCs w:val="21"/>
              </w:rPr>
            </w:pPr>
            <w:r>
              <w:rPr>
                <w:szCs w:val="21"/>
              </w:rPr>
              <w:t>型号/规格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jc w:val="center"/>
              <w:rPr>
                <w:szCs w:val="21"/>
              </w:rPr>
            </w:pPr>
            <w:r>
              <w:rPr>
                <w:szCs w:val="21"/>
              </w:rPr>
              <w:t>1</w:t>
            </w:r>
          </w:p>
        </w:tc>
        <w:tc>
          <w:tcPr>
            <w:tcW w:w="1941" w:type="pct"/>
            <w:gridSpan w:val="2"/>
            <w:vAlign w:val="center"/>
          </w:tcPr>
          <w:p>
            <w:pPr>
              <w:jc w:val="center"/>
              <w:rPr>
                <w:szCs w:val="21"/>
              </w:rPr>
            </w:pPr>
            <w:r>
              <w:rPr>
                <w:szCs w:val="21"/>
              </w:rPr>
              <w:t>肉鸡育成自动化饲养设备</w:t>
            </w:r>
          </w:p>
        </w:tc>
        <w:tc>
          <w:tcPr>
            <w:tcW w:w="379" w:type="pct"/>
            <w:vAlign w:val="center"/>
          </w:tcPr>
          <w:p>
            <w:pPr>
              <w:jc w:val="center"/>
              <w:rPr>
                <w:szCs w:val="21"/>
              </w:rPr>
            </w:pPr>
            <w:r>
              <w:rPr>
                <w:szCs w:val="21"/>
              </w:rPr>
              <w:t>套</w:t>
            </w:r>
          </w:p>
        </w:tc>
        <w:tc>
          <w:tcPr>
            <w:tcW w:w="813" w:type="pct"/>
            <w:vAlign w:val="center"/>
          </w:tcPr>
          <w:p>
            <w:pPr>
              <w:jc w:val="center"/>
              <w:rPr>
                <w:szCs w:val="21"/>
              </w:rPr>
            </w:pPr>
            <w:r>
              <w:rPr>
                <w:szCs w:val="21"/>
              </w:rPr>
              <w:t>7</w:t>
            </w:r>
          </w:p>
        </w:tc>
        <w:tc>
          <w:tcPr>
            <w:tcW w:w="1490" w:type="pct"/>
            <w:vAlign w:val="center"/>
          </w:tcPr>
          <w:p>
            <w:pPr>
              <w:jc w:val="center"/>
              <w:rPr>
                <w:szCs w:val="21"/>
              </w:rPr>
            </w:pPr>
            <w:r>
              <w:rPr>
                <w:szCs w:val="21"/>
              </w:rPr>
              <w:t>肉鸡饲养</w:t>
            </w:r>
            <w:r>
              <w:rPr>
                <w:rFonts w:hint="eastAsia"/>
                <w:szCs w:val="21"/>
              </w:rPr>
              <w:t>，4层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Merge w:val="restart"/>
            <w:vAlign w:val="center"/>
          </w:tcPr>
          <w:p>
            <w:pPr>
              <w:jc w:val="center"/>
              <w:rPr>
                <w:szCs w:val="21"/>
              </w:rPr>
            </w:pPr>
            <w:r>
              <w:rPr>
                <w:szCs w:val="21"/>
              </w:rPr>
              <w:t>2</w:t>
            </w:r>
          </w:p>
        </w:tc>
        <w:tc>
          <w:tcPr>
            <w:tcW w:w="793" w:type="pct"/>
            <w:vMerge w:val="restart"/>
            <w:vAlign w:val="center"/>
          </w:tcPr>
          <w:p>
            <w:pPr>
              <w:jc w:val="center"/>
              <w:rPr>
                <w:szCs w:val="21"/>
              </w:rPr>
            </w:pPr>
            <w:r>
              <w:rPr>
                <w:szCs w:val="21"/>
              </w:rPr>
              <w:t>喂料系统</w:t>
            </w:r>
          </w:p>
        </w:tc>
        <w:tc>
          <w:tcPr>
            <w:tcW w:w="1148" w:type="pct"/>
            <w:vAlign w:val="center"/>
          </w:tcPr>
          <w:p>
            <w:pPr>
              <w:jc w:val="center"/>
              <w:rPr>
                <w:szCs w:val="21"/>
              </w:rPr>
            </w:pPr>
            <w:r>
              <w:rPr>
                <w:szCs w:val="21"/>
              </w:rPr>
              <w:t>自动给料线</w:t>
            </w:r>
          </w:p>
        </w:tc>
        <w:tc>
          <w:tcPr>
            <w:tcW w:w="379" w:type="pct"/>
            <w:vAlign w:val="center"/>
          </w:tcPr>
          <w:p>
            <w:pPr>
              <w:jc w:val="center"/>
              <w:rPr>
                <w:szCs w:val="21"/>
              </w:rPr>
            </w:pPr>
            <w:r>
              <w:rPr>
                <w:szCs w:val="21"/>
              </w:rPr>
              <w:t>套</w:t>
            </w:r>
          </w:p>
        </w:tc>
        <w:tc>
          <w:tcPr>
            <w:tcW w:w="813" w:type="pct"/>
            <w:vAlign w:val="center"/>
          </w:tcPr>
          <w:p>
            <w:pPr>
              <w:jc w:val="center"/>
              <w:rPr>
                <w:szCs w:val="21"/>
              </w:rPr>
            </w:pPr>
            <w:r>
              <w:rPr>
                <w:szCs w:val="21"/>
              </w:rPr>
              <w:t>7</w:t>
            </w:r>
          </w:p>
        </w:tc>
        <w:tc>
          <w:tcPr>
            <w:tcW w:w="149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Merge w:val="continue"/>
            <w:vAlign w:val="center"/>
          </w:tcPr>
          <w:p>
            <w:pPr>
              <w:jc w:val="center"/>
              <w:rPr>
                <w:szCs w:val="21"/>
              </w:rPr>
            </w:pPr>
          </w:p>
        </w:tc>
        <w:tc>
          <w:tcPr>
            <w:tcW w:w="793" w:type="pct"/>
            <w:vMerge w:val="continue"/>
            <w:vAlign w:val="center"/>
          </w:tcPr>
          <w:p>
            <w:pPr>
              <w:jc w:val="center"/>
              <w:rPr>
                <w:szCs w:val="21"/>
              </w:rPr>
            </w:pPr>
          </w:p>
        </w:tc>
        <w:tc>
          <w:tcPr>
            <w:tcW w:w="1148" w:type="pct"/>
            <w:vAlign w:val="center"/>
          </w:tcPr>
          <w:p>
            <w:pPr>
              <w:jc w:val="center"/>
              <w:rPr>
                <w:szCs w:val="21"/>
              </w:rPr>
            </w:pPr>
            <w:r>
              <w:rPr>
                <w:szCs w:val="21"/>
              </w:rPr>
              <w:t>自动给水线</w:t>
            </w:r>
          </w:p>
        </w:tc>
        <w:tc>
          <w:tcPr>
            <w:tcW w:w="379" w:type="pct"/>
            <w:vAlign w:val="center"/>
          </w:tcPr>
          <w:p>
            <w:pPr>
              <w:jc w:val="center"/>
              <w:rPr>
                <w:szCs w:val="21"/>
              </w:rPr>
            </w:pPr>
            <w:r>
              <w:rPr>
                <w:szCs w:val="21"/>
              </w:rPr>
              <w:t>套</w:t>
            </w:r>
          </w:p>
        </w:tc>
        <w:tc>
          <w:tcPr>
            <w:tcW w:w="813" w:type="pct"/>
            <w:vAlign w:val="center"/>
          </w:tcPr>
          <w:p>
            <w:pPr>
              <w:jc w:val="center"/>
              <w:rPr>
                <w:szCs w:val="21"/>
              </w:rPr>
            </w:pPr>
            <w:r>
              <w:rPr>
                <w:szCs w:val="21"/>
              </w:rPr>
              <w:t>7</w:t>
            </w:r>
          </w:p>
        </w:tc>
        <w:tc>
          <w:tcPr>
            <w:tcW w:w="149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Merge w:val="continue"/>
            <w:vAlign w:val="center"/>
          </w:tcPr>
          <w:p>
            <w:pPr>
              <w:jc w:val="center"/>
              <w:rPr>
                <w:szCs w:val="21"/>
              </w:rPr>
            </w:pPr>
          </w:p>
        </w:tc>
        <w:tc>
          <w:tcPr>
            <w:tcW w:w="793" w:type="pct"/>
            <w:vMerge w:val="continue"/>
            <w:vAlign w:val="center"/>
          </w:tcPr>
          <w:p>
            <w:pPr>
              <w:jc w:val="center"/>
              <w:rPr>
                <w:szCs w:val="21"/>
              </w:rPr>
            </w:pPr>
          </w:p>
        </w:tc>
        <w:tc>
          <w:tcPr>
            <w:tcW w:w="1148" w:type="pct"/>
            <w:vAlign w:val="center"/>
          </w:tcPr>
          <w:p>
            <w:pPr>
              <w:jc w:val="center"/>
              <w:rPr>
                <w:szCs w:val="21"/>
              </w:rPr>
            </w:pPr>
            <w:r>
              <w:rPr>
                <w:szCs w:val="21"/>
              </w:rPr>
              <w:t>横向输料装置</w:t>
            </w:r>
          </w:p>
        </w:tc>
        <w:tc>
          <w:tcPr>
            <w:tcW w:w="379" w:type="pct"/>
            <w:vAlign w:val="center"/>
          </w:tcPr>
          <w:p>
            <w:pPr>
              <w:jc w:val="center"/>
              <w:rPr>
                <w:szCs w:val="21"/>
              </w:rPr>
            </w:pPr>
            <w:r>
              <w:rPr>
                <w:szCs w:val="21"/>
              </w:rPr>
              <w:t>套</w:t>
            </w:r>
          </w:p>
        </w:tc>
        <w:tc>
          <w:tcPr>
            <w:tcW w:w="813" w:type="pct"/>
            <w:vAlign w:val="center"/>
          </w:tcPr>
          <w:p>
            <w:pPr>
              <w:jc w:val="center"/>
              <w:rPr>
                <w:szCs w:val="21"/>
              </w:rPr>
            </w:pPr>
            <w:r>
              <w:rPr>
                <w:szCs w:val="21"/>
              </w:rPr>
              <w:t>7</w:t>
            </w:r>
          </w:p>
        </w:tc>
        <w:tc>
          <w:tcPr>
            <w:tcW w:w="1490" w:type="pct"/>
            <w:vAlign w:val="center"/>
          </w:tcPr>
          <w:p>
            <w:pPr>
              <w:jc w:val="center"/>
              <w:rPr>
                <w:szCs w:val="21"/>
              </w:rPr>
            </w:pPr>
            <w:r>
              <w:rPr>
                <w:szCs w:val="21"/>
              </w:rPr>
              <w:t>(弹簧式) Φ125 L=21米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jc w:val="center"/>
              <w:rPr>
                <w:szCs w:val="21"/>
              </w:rPr>
            </w:pPr>
            <w:r>
              <w:rPr>
                <w:szCs w:val="21"/>
              </w:rPr>
              <w:t>3</w:t>
            </w:r>
          </w:p>
        </w:tc>
        <w:tc>
          <w:tcPr>
            <w:tcW w:w="793" w:type="pct"/>
            <w:vAlign w:val="center"/>
          </w:tcPr>
          <w:p>
            <w:pPr>
              <w:jc w:val="center"/>
              <w:rPr>
                <w:szCs w:val="21"/>
              </w:rPr>
            </w:pPr>
            <w:r>
              <w:rPr>
                <w:szCs w:val="21"/>
              </w:rPr>
              <w:t>清粪系统</w:t>
            </w:r>
          </w:p>
        </w:tc>
        <w:tc>
          <w:tcPr>
            <w:tcW w:w="1148" w:type="pct"/>
            <w:vAlign w:val="center"/>
          </w:tcPr>
          <w:p>
            <w:pPr>
              <w:jc w:val="center"/>
              <w:rPr>
                <w:szCs w:val="21"/>
              </w:rPr>
            </w:pPr>
            <w:r>
              <w:rPr>
                <w:szCs w:val="21"/>
              </w:rPr>
              <w:t>自动刮板机</w:t>
            </w:r>
          </w:p>
        </w:tc>
        <w:tc>
          <w:tcPr>
            <w:tcW w:w="379" w:type="pct"/>
            <w:vAlign w:val="center"/>
          </w:tcPr>
          <w:p>
            <w:pPr>
              <w:jc w:val="center"/>
              <w:rPr>
                <w:szCs w:val="21"/>
              </w:rPr>
            </w:pPr>
            <w:r>
              <w:rPr>
                <w:szCs w:val="21"/>
              </w:rPr>
              <w:t>套</w:t>
            </w:r>
          </w:p>
        </w:tc>
        <w:tc>
          <w:tcPr>
            <w:tcW w:w="813" w:type="pct"/>
            <w:vAlign w:val="center"/>
          </w:tcPr>
          <w:p>
            <w:pPr>
              <w:jc w:val="center"/>
              <w:rPr>
                <w:szCs w:val="21"/>
              </w:rPr>
            </w:pPr>
            <w:r>
              <w:rPr>
                <w:szCs w:val="21"/>
              </w:rPr>
              <w:t>7</w:t>
            </w:r>
          </w:p>
        </w:tc>
        <w:tc>
          <w:tcPr>
            <w:tcW w:w="149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Merge w:val="restart"/>
            <w:vAlign w:val="center"/>
          </w:tcPr>
          <w:p>
            <w:pPr>
              <w:jc w:val="center"/>
              <w:rPr>
                <w:szCs w:val="21"/>
              </w:rPr>
            </w:pPr>
            <w:r>
              <w:rPr>
                <w:szCs w:val="21"/>
              </w:rPr>
              <w:t>4</w:t>
            </w:r>
          </w:p>
        </w:tc>
        <w:tc>
          <w:tcPr>
            <w:tcW w:w="793" w:type="pct"/>
            <w:vMerge w:val="restart"/>
            <w:vAlign w:val="center"/>
          </w:tcPr>
          <w:p>
            <w:pPr>
              <w:jc w:val="center"/>
              <w:rPr>
                <w:szCs w:val="21"/>
              </w:rPr>
            </w:pPr>
            <w:r>
              <w:rPr>
                <w:szCs w:val="21"/>
              </w:rPr>
              <w:t>通风系统</w:t>
            </w:r>
          </w:p>
        </w:tc>
        <w:tc>
          <w:tcPr>
            <w:tcW w:w="1148" w:type="pct"/>
            <w:vAlign w:val="center"/>
          </w:tcPr>
          <w:p>
            <w:pPr>
              <w:jc w:val="center"/>
              <w:rPr>
                <w:szCs w:val="21"/>
              </w:rPr>
            </w:pPr>
            <w:r>
              <w:rPr>
                <w:szCs w:val="21"/>
              </w:rPr>
              <w:t>50"节能风机</w:t>
            </w:r>
          </w:p>
        </w:tc>
        <w:tc>
          <w:tcPr>
            <w:tcW w:w="379" w:type="pct"/>
            <w:vAlign w:val="center"/>
          </w:tcPr>
          <w:p>
            <w:pPr>
              <w:jc w:val="center"/>
              <w:rPr>
                <w:szCs w:val="21"/>
              </w:rPr>
            </w:pPr>
            <w:r>
              <w:rPr>
                <w:szCs w:val="21"/>
              </w:rPr>
              <w:t>台</w:t>
            </w:r>
          </w:p>
        </w:tc>
        <w:tc>
          <w:tcPr>
            <w:tcW w:w="813" w:type="pct"/>
            <w:vAlign w:val="center"/>
          </w:tcPr>
          <w:p>
            <w:pPr>
              <w:jc w:val="center"/>
              <w:rPr>
                <w:szCs w:val="21"/>
              </w:rPr>
            </w:pPr>
            <w:r>
              <w:rPr>
                <w:szCs w:val="21"/>
              </w:rPr>
              <w:t>7</w:t>
            </w:r>
          </w:p>
        </w:tc>
        <w:tc>
          <w:tcPr>
            <w:tcW w:w="149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Merge w:val="continue"/>
            <w:vAlign w:val="center"/>
          </w:tcPr>
          <w:p>
            <w:pPr>
              <w:jc w:val="center"/>
              <w:rPr>
                <w:szCs w:val="21"/>
              </w:rPr>
            </w:pPr>
          </w:p>
        </w:tc>
        <w:tc>
          <w:tcPr>
            <w:tcW w:w="793" w:type="pct"/>
            <w:vMerge w:val="continue"/>
            <w:vAlign w:val="center"/>
          </w:tcPr>
          <w:p>
            <w:pPr>
              <w:jc w:val="center"/>
              <w:rPr>
                <w:szCs w:val="21"/>
              </w:rPr>
            </w:pPr>
          </w:p>
        </w:tc>
        <w:tc>
          <w:tcPr>
            <w:tcW w:w="1148" w:type="pct"/>
            <w:vAlign w:val="center"/>
          </w:tcPr>
          <w:p>
            <w:pPr>
              <w:jc w:val="center"/>
              <w:rPr>
                <w:szCs w:val="21"/>
              </w:rPr>
            </w:pPr>
            <w:r>
              <w:rPr>
                <w:szCs w:val="21"/>
              </w:rPr>
              <w:t>36"节能风机</w:t>
            </w:r>
          </w:p>
        </w:tc>
        <w:tc>
          <w:tcPr>
            <w:tcW w:w="379" w:type="pct"/>
            <w:vAlign w:val="center"/>
          </w:tcPr>
          <w:p>
            <w:pPr>
              <w:jc w:val="center"/>
              <w:rPr>
                <w:szCs w:val="21"/>
              </w:rPr>
            </w:pPr>
            <w:r>
              <w:rPr>
                <w:szCs w:val="21"/>
              </w:rPr>
              <w:t>台</w:t>
            </w:r>
          </w:p>
        </w:tc>
        <w:tc>
          <w:tcPr>
            <w:tcW w:w="813" w:type="pct"/>
            <w:vAlign w:val="center"/>
          </w:tcPr>
          <w:p>
            <w:pPr>
              <w:jc w:val="center"/>
              <w:rPr>
                <w:szCs w:val="21"/>
              </w:rPr>
            </w:pPr>
            <w:r>
              <w:rPr>
                <w:szCs w:val="21"/>
              </w:rPr>
              <w:t>7</w:t>
            </w:r>
          </w:p>
        </w:tc>
        <w:tc>
          <w:tcPr>
            <w:tcW w:w="149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Merge w:val="continue"/>
            <w:vAlign w:val="center"/>
          </w:tcPr>
          <w:p>
            <w:pPr>
              <w:jc w:val="center"/>
              <w:rPr>
                <w:szCs w:val="21"/>
              </w:rPr>
            </w:pPr>
          </w:p>
        </w:tc>
        <w:tc>
          <w:tcPr>
            <w:tcW w:w="793" w:type="pct"/>
            <w:vMerge w:val="continue"/>
            <w:vAlign w:val="center"/>
          </w:tcPr>
          <w:p>
            <w:pPr>
              <w:jc w:val="center"/>
              <w:rPr>
                <w:szCs w:val="21"/>
              </w:rPr>
            </w:pPr>
          </w:p>
        </w:tc>
        <w:tc>
          <w:tcPr>
            <w:tcW w:w="1148" w:type="pct"/>
            <w:vAlign w:val="center"/>
          </w:tcPr>
          <w:p>
            <w:pPr>
              <w:jc w:val="center"/>
              <w:rPr>
                <w:szCs w:val="21"/>
              </w:rPr>
            </w:pPr>
            <w:r>
              <w:rPr>
                <w:szCs w:val="21"/>
              </w:rPr>
              <w:t>防风卷帘</w:t>
            </w:r>
          </w:p>
        </w:tc>
        <w:tc>
          <w:tcPr>
            <w:tcW w:w="379" w:type="pct"/>
            <w:vAlign w:val="center"/>
          </w:tcPr>
          <w:p>
            <w:pPr>
              <w:jc w:val="center"/>
              <w:rPr>
                <w:szCs w:val="21"/>
              </w:rPr>
            </w:pPr>
            <w:r>
              <w:rPr>
                <w:szCs w:val="21"/>
              </w:rPr>
              <w:t>套</w:t>
            </w:r>
          </w:p>
        </w:tc>
        <w:tc>
          <w:tcPr>
            <w:tcW w:w="813" w:type="pct"/>
            <w:vAlign w:val="center"/>
          </w:tcPr>
          <w:p>
            <w:pPr>
              <w:jc w:val="center"/>
              <w:rPr>
                <w:szCs w:val="21"/>
              </w:rPr>
            </w:pPr>
            <w:r>
              <w:rPr>
                <w:szCs w:val="21"/>
              </w:rPr>
              <w:t>7</w:t>
            </w:r>
          </w:p>
        </w:tc>
        <w:tc>
          <w:tcPr>
            <w:tcW w:w="149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jc w:val="center"/>
              <w:rPr>
                <w:szCs w:val="21"/>
              </w:rPr>
            </w:pPr>
            <w:r>
              <w:rPr>
                <w:szCs w:val="21"/>
              </w:rPr>
              <w:t>5</w:t>
            </w:r>
          </w:p>
        </w:tc>
        <w:tc>
          <w:tcPr>
            <w:tcW w:w="1941" w:type="pct"/>
            <w:gridSpan w:val="2"/>
          </w:tcPr>
          <w:p>
            <w:pPr>
              <w:jc w:val="center"/>
              <w:rPr>
                <w:szCs w:val="21"/>
              </w:rPr>
            </w:pPr>
            <w:r>
              <w:rPr>
                <w:szCs w:val="21"/>
              </w:rPr>
              <w:t>灯光系统</w:t>
            </w:r>
          </w:p>
        </w:tc>
        <w:tc>
          <w:tcPr>
            <w:tcW w:w="379" w:type="pct"/>
            <w:vAlign w:val="center"/>
          </w:tcPr>
          <w:p>
            <w:pPr>
              <w:jc w:val="center"/>
              <w:rPr>
                <w:szCs w:val="21"/>
              </w:rPr>
            </w:pPr>
            <w:r>
              <w:rPr>
                <w:szCs w:val="21"/>
              </w:rPr>
              <w:t>套</w:t>
            </w:r>
          </w:p>
        </w:tc>
        <w:tc>
          <w:tcPr>
            <w:tcW w:w="813" w:type="pct"/>
            <w:vAlign w:val="center"/>
          </w:tcPr>
          <w:p>
            <w:pPr>
              <w:jc w:val="center"/>
              <w:rPr>
                <w:szCs w:val="21"/>
              </w:rPr>
            </w:pPr>
            <w:r>
              <w:rPr>
                <w:szCs w:val="21"/>
              </w:rPr>
              <w:t>7</w:t>
            </w:r>
          </w:p>
        </w:tc>
        <w:tc>
          <w:tcPr>
            <w:tcW w:w="1490" w:type="pct"/>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jc w:val="center"/>
              <w:rPr>
                <w:szCs w:val="21"/>
              </w:rPr>
            </w:pPr>
            <w:r>
              <w:rPr>
                <w:szCs w:val="21"/>
              </w:rPr>
              <w:t>6</w:t>
            </w:r>
          </w:p>
        </w:tc>
        <w:tc>
          <w:tcPr>
            <w:tcW w:w="1941" w:type="pct"/>
            <w:gridSpan w:val="2"/>
          </w:tcPr>
          <w:p>
            <w:pPr>
              <w:jc w:val="center"/>
              <w:rPr>
                <w:szCs w:val="21"/>
              </w:rPr>
            </w:pPr>
            <w:r>
              <w:rPr>
                <w:szCs w:val="21"/>
              </w:rPr>
              <w:t>电器控制系统</w:t>
            </w:r>
          </w:p>
        </w:tc>
        <w:tc>
          <w:tcPr>
            <w:tcW w:w="379" w:type="pct"/>
            <w:vAlign w:val="center"/>
          </w:tcPr>
          <w:p>
            <w:pPr>
              <w:jc w:val="center"/>
              <w:rPr>
                <w:szCs w:val="21"/>
              </w:rPr>
            </w:pPr>
            <w:r>
              <w:rPr>
                <w:szCs w:val="21"/>
              </w:rPr>
              <w:t>套</w:t>
            </w:r>
          </w:p>
        </w:tc>
        <w:tc>
          <w:tcPr>
            <w:tcW w:w="813" w:type="pct"/>
            <w:vAlign w:val="center"/>
          </w:tcPr>
          <w:p>
            <w:pPr>
              <w:jc w:val="center"/>
              <w:rPr>
                <w:szCs w:val="21"/>
              </w:rPr>
            </w:pPr>
            <w:r>
              <w:rPr>
                <w:szCs w:val="21"/>
              </w:rPr>
              <w:t>7</w:t>
            </w:r>
          </w:p>
        </w:tc>
        <w:tc>
          <w:tcPr>
            <w:tcW w:w="1490" w:type="pct"/>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jc w:val="center"/>
              <w:rPr>
                <w:szCs w:val="21"/>
              </w:rPr>
            </w:pPr>
            <w:r>
              <w:rPr>
                <w:rFonts w:hint="eastAsia"/>
                <w:szCs w:val="21"/>
              </w:rPr>
              <w:t>7</w:t>
            </w:r>
          </w:p>
        </w:tc>
        <w:tc>
          <w:tcPr>
            <w:tcW w:w="1941" w:type="pct"/>
            <w:gridSpan w:val="2"/>
          </w:tcPr>
          <w:p>
            <w:pPr>
              <w:jc w:val="center"/>
              <w:rPr>
                <w:szCs w:val="21"/>
              </w:rPr>
            </w:pPr>
            <w:r>
              <w:rPr>
                <w:rFonts w:hint="eastAsia"/>
                <w:szCs w:val="21"/>
              </w:rPr>
              <w:t>降温水帘</w:t>
            </w:r>
          </w:p>
        </w:tc>
        <w:tc>
          <w:tcPr>
            <w:tcW w:w="379" w:type="pct"/>
            <w:vAlign w:val="center"/>
          </w:tcPr>
          <w:p>
            <w:pPr>
              <w:jc w:val="center"/>
              <w:rPr>
                <w:szCs w:val="21"/>
              </w:rPr>
            </w:pPr>
            <w:r>
              <w:rPr>
                <w:rFonts w:hint="eastAsia"/>
                <w:szCs w:val="21"/>
              </w:rPr>
              <w:t>套</w:t>
            </w:r>
          </w:p>
        </w:tc>
        <w:tc>
          <w:tcPr>
            <w:tcW w:w="813" w:type="pct"/>
            <w:vAlign w:val="center"/>
          </w:tcPr>
          <w:p>
            <w:pPr>
              <w:jc w:val="center"/>
              <w:rPr>
                <w:szCs w:val="21"/>
              </w:rPr>
            </w:pPr>
            <w:r>
              <w:rPr>
                <w:szCs w:val="21"/>
              </w:rPr>
              <w:t>7</w:t>
            </w:r>
          </w:p>
        </w:tc>
        <w:tc>
          <w:tcPr>
            <w:tcW w:w="1490" w:type="pct"/>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jc w:val="center"/>
              <w:rPr>
                <w:szCs w:val="21"/>
              </w:rPr>
            </w:pPr>
            <w:r>
              <w:rPr>
                <w:szCs w:val="21"/>
              </w:rPr>
              <w:t>8</w:t>
            </w:r>
          </w:p>
        </w:tc>
        <w:tc>
          <w:tcPr>
            <w:tcW w:w="1941" w:type="pct"/>
            <w:gridSpan w:val="2"/>
          </w:tcPr>
          <w:p>
            <w:pPr>
              <w:jc w:val="center"/>
              <w:rPr>
                <w:szCs w:val="21"/>
              </w:rPr>
            </w:pPr>
            <w:r>
              <w:rPr>
                <w:rFonts w:hint="eastAsia"/>
                <w:szCs w:val="21"/>
              </w:rPr>
              <w:t>鸡粪发酵罐</w:t>
            </w:r>
          </w:p>
        </w:tc>
        <w:tc>
          <w:tcPr>
            <w:tcW w:w="379" w:type="pct"/>
            <w:vAlign w:val="center"/>
          </w:tcPr>
          <w:p>
            <w:pPr>
              <w:jc w:val="center"/>
              <w:rPr>
                <w:szCs w:val="21"/>
              </w:rPr>
            </w:pPr>
            <w:r>
              <w:rPr>
                <w:rFonts w:hint="eastAsia"/>
                <w:szCs w:val="21"/>
              </w:rPr>
              <w:t>台</w:t>
            </w:r>
          </w:p>
        </w:tc>
        <w:tc>
          <w:tcPr>
            <w:tcW w:w="813" w:type="pct"/>
            <w:vAlign w:val="center"/>
          </w:tcPr>
          <w:p>
            <w:pPr>
              <w:jc w:val="center"/>
              <w:rPr>
                <w:szCs w:val="21"/>
              </w:rPr>
            </w:pPr>
            <w:r>
              <w:rPr>
                <w:rFonts w:hint="eastAsia"/>
                <w:szCs w:val="21"/>
              </w:rPr>
              <w:t>2</w:t>
            </w:r>
          </w:p>
        </w:tc>
        <w:tc>
          <w:tcPr>
            <w:tcW w:w="1490" w:type="pct"/>
          </w:tcPr>
          <w:p>
            <w:pPr>
              <w:jc w:val="center"/>
              <w:rPr>
                <w:szCs w:val="21"/>
              </w:rPr>
            </w:pPr>
            <w:r>
              <w:rPr>
                <w:rFonts w:hint="eastAsia"/>
                <w:szCs w:val="21"/>
              </w:rPr>
              <w:t>GYF-118B型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jc w:val="center"/>
              <w:rPr>
                <w:szCs w:val="21"/>
              </w:rPr>
            </w:pPr>
            <w:r>
              <w:rPr>
                <w:szCs w:val="21"/>
              </w:rPr>
              <w:t>9</w:t>
            </w:r>
          </w:p>
        </w:tc>
        <w:tc>
          <w:tcPr>
            <w:tcW w:w="1941" w:type="pct"/>
            <w:gridSpan w:val="2"/>
          </w:tcPr>
          <w:p>
            <w:pPr>
              <w:jc w:val="center"/>
              <w:rPr>
                <w:szCs w:val="21"/>
              </w:rPr>
            </w:pPr>
            <w:r>
              <w:rPr>
                <w:szCs w:val="21"/>
              </w:rPr>
              <w:t>污水处理设备</w:t>
            </w:r>
          </w:p>
        </w:tc>
        <w:tc>
          <w:tcPr>
            <w:tcW w:w="379" w:type="pct"/>
            <w:vAlign w:val="center"/>
          </w:tcPr>
          <w:p>
            <w:pPr>
              <w:jc w:val="center"/>
              <w:rPr>
                <w:szCs w:val="21"/>
              </w:rPr>
            </w:pPr>
            <w:r>
              <w:rPr>
                <w:szCs w:val="21"/>
              </w:rPr>
              <w:t>套</w:t>
            </w:r>
          </w:p>
        </w:tc>
        <w:tc>
          <w:tcPr>
            <w:tcW w:w="813" w:type="pct"/>
            <w:vAlign w:val="center"/>
          </w:tcPr>
          <w:p>
            <w:pPr>
              <w:jc w:val="center"/>
              <w:rPr>
                <w:szCs w:val="21"/>
              </w:rPr>
            </w:pPr>
            <w:r>
              <w:rPr>
                <w:szCs w:val="21"/>
              </w:rPr>
              <w:t>1</w:t>
            </w:r>
          </w:p>
        </w:tc>
        <w:tc>
          <w:tcPr>
            <w:tcW w:w="1490" w:type="pct"/>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jc w:val="center"/>
              <w:rPr>
                <w:snapToGrid w:val="0"/>
                <w:szCs w:val="21"/>
              </w:rPr>
            </w:pPr>
            <w:r>
              <w:rPr>
                <w:snapToGrid w:val="0"/>
                <w:szCs w:val="21"/>
              </w:rPr>
              <w:t>10</w:t>
            </w:r>
          </w:p>
        </w:tc>
        <w:tc>
          <w:tcPr>
            <w:tcW w:w="1941" w:type="pct"/>
            <w:gridSpan w:val="2"/>
            <w:vAlign w:val="center"/>
          </w:tcPr>
          <w:p>
            <w:pPr>
              <w:jc w:val="center"/>
              <w:rPr>
                <w:szCs w:val="21"/>
              </w:rPr>
            </w:pPr>
            <w:r>
              <w:rPr>
                <w:rFonts w:hint="eastAsia"/>
                <w:szCs w:val="21"/>
              </w:rPr>
              <w:t>燃液化天然气热水锅炉</w:t>
            </w:r>
          </w:p>
        </w:tc>
        <w:tc>
          <w:tcPr>
            <w:tcW w:w="379" w:type="pct"/>
            <w:vAlign w:val="center"/>
          </w:tcPr>
          <w:p>
            <w:pPr>
              <w:jc w:val="center"/>
              <w:rPr>
                <w:szCs w:val="21"/>
              </w:rPr>
            </w:pPr>
            <w:r>
              <w:rPr>
                <w:szCs w:val="21"/>
              </w:rPr>
              <w:t>台</w:t>
            </w:r>
          </w:p>
        </w:tc>
        <w:tc>
          <w:tcPr>
            <w:tcW w:w="813" w:type="pct"/>
            <w:vAlign w:val="center"/>
          </w:tcPr>
          <w:p>
            <w:pPr>
              <w:jc w:val="center"/>
              <w:rPr>
                <w:szCs w:val="21"/>
              </w:rPr>
            </w:pPr>
            <w:r>
              <w:rPr>
                <w:szCs w:val="21"/>
              </w:rPr>
              <w:t>1</w:t>
            </w:r>
          </w:p>
        </w:tc>
        <w:tc>
          <w:tcPr>
            <w:tcW w:w="1490" w:type="pct"/>
            <w:vAlign w:val="center"/>
          </w:tcPr>
          <w:p>
            <w:pPr>
              <w:jc w:val="center"/>
              <w:rPr>
                <w:szCs w:val="21"/>
              </w:rPr>
            </w:pPr>
            <w:r>
              <w:rPr>
                <w:szCs w:val="21"/>
              </w:rPr>
              <w:t>2.1MW热水锅炉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77" w:type="pct"/>
            <w:vAlign w:val="center"/>
          </w:tcPr>
          <w:p>
            <w:pPr>
              <w:jc w:val="center"/>
              <w:rPr>
                <w:snapToGrid w:val="0"/>
                <w:szCs w:val="21"/>
              </w:rPr>
            </w:pPr>
            <w:r>
              <w:rPr>
                <w:rFonts w:hint="eastAsia"/>
                <w:snapToGrid w:val="0"/>
                <w:szCs w:val="21"/>
              </w:rPr>
              <w:t>11</w:t>
            </w:r>
          </w:p>
        </w:tc>
        <w:tc>
          <w:tcPr>
            <w:tcW w:w="1941" w:type="pct"/>
            <w:gridSpan w:val="2"/>
            <w:vAlign w:val="center"/>
          </w:tcPr>
          <w:p>
            <w:pPr>
              <w:jc w:val="center"/>
              <w:rPr>
                <w:szCs w:val="21"/>
              </w:rPr>
            </w:pPr>
            <w:r>
              <w:rPr>
                <w:szCs w:val="21"/>
              </w:rPr>
              <w:t>运输汽车</w:t>
            </w:r>
          </w:p>
        </w:tc>
        <w:tc>
          <w:tcPr>
            <w:tcW w:w="379" w:type="pct"/>
            <w:vAlign w:val="center"/>
          </w:tcPr>
          <w:p>
            <w:pPr>
              <w:jc w:val="center"/>
              <w:rPr>
                <w:szCs w:val="21"/>
              </w:rPr>
            </w:pPr>
            <w:r>
              <w:rPr>
                <w:szCs w:val="21"/>
              </w:rPr>
              <w:t>台</w:t>
            </w:r>
          </w:p>
        </w:tc>
        <w:tc>
          <w:tcPr>
            <w:tcW w:w="813" w:type="pct"/>
            <w:vAlign w:val="center"/>
          </w:tcPr>
          <w:p>
            <w:pPr>
              <w:jc w:val="center"/>
              <w:rPr>
                <w:snapToGrid w:val="0"/>
                <w:szCs w:val="21"/>
              </w:rPr>
            </w:pPr>
            <w:r>
              <w:rPr>
                <w:snapToGrid w:val="0"/>
                <w:szCs w:val="21"/>
              </w:rPr>
              <w:t>3</w:t>
            </w:r>
          </w:p>
        </w:tc>
        <w:tc>
          <w:tcPr>
            <w:tcW w:w="1490" w:type="pct"/>
            <w:vAlign w:val="center"/>
          </w:tcPr>
          <w:p>
            <w:pPr>
              <w:jc w:val="center"/>
              <w:rPr>
                <w:szCs w:val="21"/>
              </w:rPr>
            </w:pPr>
            <w:r>
              <w:rPr>
                <w:szCs w:val="21"/>
              </w:rPr>
              <w:t>东风</w:t>
            </w:r>
          </w:p>
        </w:tc>
      </w:tr>
    </w:tbl>
    <w:p>
      <w:pPr>
        <w:pStyle w:val="57"/>
        <w:keepNext/>
        <w:keepLines/>
        <w:spacing w:before="0" w:after="0" w:line="480" w:lineRule="exact"/>
        <w:ind w:firstLine="0" w:firstLineChars="0"/>
        <w:outlineLvl w:val="2"/>
        <w:rPr>
          <w:rFonts w:eastAsia="黑体"/>
          <w:b/>
        </w:rPr>
      </w:pPr>
      <w:r>
        <w:rPr>
          <w:b/>
        </w:rPr>
        <w:t>3.1.6</w:t>
      </w:r>
      <w:r>
        <w:rPr>
          <w:rFonts w:hint="eastAsia" w:ascii="宋体" w:hAnsi="宋体"/>
          <w:b/>
        </w:rPr>
        <w:t>项目主要</w:t>
      </w:r>
      <w:r>
        <w:rPr>
          <w:rFonts w:hint="eastAsia"/>
          <w:b/>
        </w:rPr>
        <w:t>经济技术指标</w:t>
      </w:r>
    </w:p>
    <w:p>
      <w:pPr>
        <w:adjustRightInd w:val="0"/>
        <w:snapToGrid w:val="0"/>
        <w:spacing w:line="480" w:lineRule="exact"/>
        <w:ind w:firstLine="480" w:firstLineChars="200"/>
        <w:rPr>
          <w:sz w:val="24"/>
        </w:rPr>
      </w:pPr>
      <w:r>
        <w:rPr>
          <w:rFonts w:hint="eastAsia"/>
          <w:sz w:val="24"/>
        </w:rPr>
        <w:t>项目主要经济技术指标表见表</w:t>
      </w:r>
      <w:r>
        <w:rPr>
          <w:sz w:val="24"/>
        </w:rPr>
        <w:t>3.1-</w:t>
      </w:r>
      <w:r>
        <w:rPr>
          <w:rFonts w:hint="eastAsia"/>
          <w:sz w:val="24"/>
        </w:rPr>
        <w:t>6。</w:t>
      </w:r>
    </w:p>
    <w:p>
      <w:pPr>
        <w:spacing w:line="480" w:lineRule="exact"/>
        <w:jc w:val="center"/>
        <w:rPr>
          <w:rFonts w:eastAsia="黑体"/>
          <w:bCs/>
          <w:sz w:val="24"/>
          <w:szCs w:val="24"/>
        </w:rPr>
      </w:pPr>
      <w:r>
        <w:rPr>
          <w:rFonts w:hint="eastAsia" w:eastAsia="黑体"/>
          <w:bCs/>
          <w:sz w:val="24"/>
          <w:szCs w:val="24"/>
        </w:rPr>
        <w:t>表</w:t>
      </w:r>
      <w:r>
        <w:rPr>
          <w:rFonts w:eastAsia="黑体"/>
          <w:bCs/>
          <w:sz w:val="24"/>
          <w:szCs w:val="24"/>
        </w:rPr>
        <w:t>3.1-</w:t>
      </w:r>
      <w:r>
        <w:rPr>
          <w:rFonts w:hint="eastAsia" w:eastAsia="黑体"/>
          <w:bCs/>
          <w:sz w:val="24"/>
          <w:szCs w:val="24"/>
        </w:rPr>
        <w:t>6</w:t>
      </w:r>
      <w:r>
        <w:rPr>
          <w:rFonts w:eastAsia="黑体"/>
          <w:bCs/>
          <w:sz w:val="24"/>
          <w:szCs w:val="24"/>
        </w:rPr>
        <w:t xml:space="preserve">  </w:t>
      </w:r>
      <w:r>
        <w:rPr>
          <w:rFonts w:hint="eastAsia" w:eastAsia="黑体"/>
          <w:bCs/>
          <w:sz w:val="24"/>
          <w:szCs w:val="24"/>
        </w:rPr>
        <w:t>主要技术经济指标一览表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35"/>
        <w:gridCol w:w="2914"/>
        <w:gridCol w:w="1923"/>
        <w:gridCol w:w="1462"/>
        <w:gridCol w:w="18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szCs w:val="21"/>
              </w:rPr>
              <w:t>序号</w:t>
            </w:r>
          </w:p>
        </w:tc>
        <w:tc>
          <w:tcPr>
            <w:tcW w:w="1608" w:type="pct"/>
            <w:vAlign w:val="center"/>
          </w:tcPr>
          <w:p>
            <w:pPr>
              <w:spacing w:line="240" w:lineRule="atLeast"/>
              <w:jc w:val="center"/>
              <w:rPr>
                <w:szCs w:val="21"/>
              </w:rPr>
            </w:pPr>
            <w:r>
              <w:rPr>
                <w:szCs w:val="21"/>
              </w:rPr>
              <w:t>指标项目</w:t>
            </w:r>
          </w:p>
        </w:tc>
        <w:tc>
          <w:tcPr>
            <w:tcW w:w="1061" w:type="pct"/>
            <w:vAlign w:val="center"/>
          </w:tcPr>
          <w:p>
            <w:pPr>
              <w:spacing w:line="240" w:lineRule="atLeast"/>
              <w:jc w:val="center"/>
              <w:rPr>
                <w:szCs w:val="21"/>
              </w:rPr>
            </w:pPr>
            <w:r>
              <w:rPr>
                <w:szCs w:val="21"/>
              </w:rPr>
              <w:t>单位</w:t>
            </w:r>
          </w:p>
        </w:tc>
        <w:tc>
          <w:tcPr>
            <w:tcW w:w="807" w:type="pct"/>
            <w:vAlign w:val="center"/>
          </w:tcPr>
          <w:p>
            <w:pPr>
              <w:spacing w:line="240" w:lineRule="atLeast"/>
              <w:jc w:val="center"/>
              <w:rPr>
                <w:szCs w:val="21"/>
              </w:rPr>
            </w:pPr>
            <w:r>
              <w:rPr>
                <w:szCs w:val="21"/>
              </w:rPr>
              <w:t>数量</w:t>
            </w:r>
          </w:p>
        </w:tc>
        <w:tc>
          <w:tcPr>
            <w:tcW w:w="1008" w:type="pct"/>
            <w:vAlign w:val="center"/>
          </w:tcPr>
          <w:p>
            <w:pPr>
              <w:spacing w:line="240" w:lineRule="atLeas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szCs w:val="21"/>
              </w:rPr>
              <w:t>一</w:t>
            </w:r>
          </w:p>
        </w:tc>
        <w:tc>
          <w:tcPr>
            <w:tcW w:w="1608" w:type="pct"/>
            <w:vAlign w:val="center"/>
          </w:tcPr>
          <w:p>
            <w:pPr>
              <w:spacing w:line="240" w:lineRule="atLeast"/>
              <w:jc w:val="center"/>
              <w:rPr>
                <w:szCs w:val="21"/>
              </w:rPr>
            </w:pPr>
            <w:r>
              <w:rPr>
                <w:szCs w:val="21"/>
              </w:rPr>
              <w:t>生产规模</w:t>
            </w:r>
          </w:p>
        </w:tc>
        <w:tc>
          <w:tcPr>
            <w:tcW w:w="1061" w:type="pct"/>
            <w:vAlign w:val="center"/>
          </w:tcPr>
          <w:p>
            <w:pPr>
              <w:spacing w:line="240" w:lineRule="atLeast"/>
              <w:jc w:val="center"/>
              <w:rPr>
                <w:szCs w:val="21"/>
              </w:rPr>
            </w:pPr>
          </w:p>
        </w:tc>
        <w:tc>
          <w:tcPr>
            <w:tcW w:w="807" w:type="pct"/>
            <w:vAlign w:val="center"/>
          </w:tcPr>
          <w:p>
            <w:pPr>
              <w:spacing w:line="240" w:lineRule="atLeast"/>
              <w:jc w:val="center"/>
              <w:rPr>
                <w:szCs w:val="21"/>
              </w:rPr>
            </w:pPr>
          </w:p>
        </w:tc>
        <w:tc>
          <w:tcPr>
            <w:tcW w:w="1008" w:type="pct"/>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szCs w:val="21"/>
              </w:rPr>
              <w:t>1</w:t>
            </w:r>
          </w:p>
        </w:tc>
        <w:tc>
          <w:tcPr>
            <w:tcW w:w="1608" w:type="pct"/>
            <w:vAlign w:val="center"/>
          </w:tcPr>
          <w:p>
            <w:pPr>
              <w:spacing w:line="240" w:lineRule="atLeast"/>
              <w:jc w:val="center"/>
              <w:rPr>
                <w:szCs w:val="21"/>
              </w:rPr>
            </w:pPr>
            <w:r>
              <w:rPr>
                <w:rFonts w:hint="eastAsia"/>
                <w:szCs w:val="21"/>
              </w:rPr>
              <w:t>商品肉鸡</w:t>
            </w:r>
          </w:p>
        </w:tc>
        <w:tc>
          <w:tcPr>
            <w:tcW w:w="1061" w:type="pct"/>
            <w:vAlign w:val="center"/>
          </w:tcPr>
          <w:p>
            <w:pPr>
              <w:spacing w:line="240" w:lineRule="atLeast"/>
              <w:jc w:val="center"/>
              <w:rPr>
                <w:szCs w:val="21"/>
              </w:rPr>
            </w:pPr>
            <w:r>
              <w:rPr>
                <w:rFonts w:hint="eastAsia"/>
                <w:szCs w:val="21"/>
              </w:rPr>
              <w:t>只(羽)/年</w:t>
            </w:r>
          </w:p>
        </w:tc>
        <w:tc>
          <w:tcPr>
            <w:tcW w:w="807" w:type="pct"/>
            <w:vAlign w:val="center"/>
          </w:tcPr>
          <w:p>
            <w:pPr>
              <w:spacing w:line="240" w:lineRule="atLeast"/>
              <w:jc w:val="center"/>
              <w:rPr>
                <w:szCs w:val="21"/>
              </w:rPr>
            </w:pPr>
            <w:r>
              <w:rPr>
                <w:rFonts w:hint="eastAsia"/>
                <w:szCs w:val="21"/>
              </w:rPr>
              <w:t>140万</w:t>
            </w:r>
          </w:p>
        </w:tc>
        <w:tc>
          <w:tcPr>
            <w:tcW w:w="1008" w:type="pct"/>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szCs w:val="21"/>
              </w:rPr>
              <w:t>二</w:t>
            </w:r>
          </w:p>
        </w:tc>
        <w:tc>
          <w:tcPr>
            <w:tcW w:w="1608" w:type="pct"/>
            <w:vAlign w:val="center"/>
          </w:tcPr>
          <w:p>
            <w:pPr>
              <w:spacing w:line="240" w:lineRule="atLeast"/>
              <w:jc w:val="center"/>
              <w:rPr>
                <w:szCs w:val="21"/>
              </w:rPr>
            </w:pPr>
            <w:r>
              <w:rPr>
                <w:szCs w:val="21"/>
              </w:rPr>
              <w:t>劳动定员</w:t>
            </w:r>
          </w:p>
        </w:tc>
        <w:tc>
          <w:tcPr>
            <w:tcW w:w="1061" w:type="pct"/>
            <w:vAlign w:val="center"/>
          </w:tcPr>
          <w:p>
            <w:pPr>
              <w:spacing w:line="240" w:lineRule="atLeast"/>
              <w:jc w:val="center"/>
              <w:rPr>
                <w:szCs w:val="21"/>
              </w:rPr>
            </w:pPr>
            <w:r>
              <w:rPr>
                <w:szCs w:val="21"/>
              </w:rPr>
              <w:t>人</w:t>
            </w:r>
          </w:p>
        </w:tc>
        <w:tc>
          <w:tcPr>
            <w:tcW w:w="807" w:type="pct"/>
            <w:vAlign w:val="center"/>
          </w:tcPr>
          <w:p>
            <w:pPr>
              <w:spacing w:line="240" w:lineRule="atLeast"/>
              <w:jc w:val="center"/>
              <w:rPr>
                <w:szCs w:val="21"/>
              </w:rPr>
            </w:pPr>
            <w:r>
              <w:rPr>
                <w:szCs w:val="21"/>
              </w:rPr>
              <w:t>15</w:t>
            </w:r>
          </w:p>
        </w:tc>
        <w:tc>
          <w:tcPr>
            <w:tcW w:w="1008" w:type="pct"/>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szCs w:val="21"/>
              </w:rPr>
              <w:t>三</w:t>
            </w:r>
          </w:p>
        </w:tc>
        <w:tc>
          <w:tcPr>
            <w:tcW w:w="1608" w:type="pct"/>
            <w:vAlign w:val="center"/>
          </w:tcPr>
          <w:p>
            <w:pPr>
              <w:spacing w:line="240" w:lineRule="atLeast"/>
              <w:jc w:val="center"/>
              <w:rPr>
                <w:szCs w:val="21"/>
              </w:rPr>
            </w:pPr>
            <w:r>
              <w:rPr>
                <w:szCs w:val="21"/>
              </w:rPr>
              <w:t>工作制度</w:t>
            </w:r>
          </w:p>
        </w:tc>
        <w:tc>
          <w:tcPr>
            <w:tcW w:w="1061" w:type="pct"/>
            <w:vAlign w:val="center"/>
          </w:tcPr>
          <w:p>
            <w:pPr>
              <w:spacing w:line="240" w:lineRule="atLeast"/>
              <w:jc w:val="center"/>
              <w:rPr>
                <w:szCs w:val="21"/>
              </w:rPr>
            </w:pPr>
            <w:r>
              <w:rPr>
                <w:szCs w:val="21"/>
              </w:rPr>
              <w:t>小时/班</w:t>
            </w:r>
          </w:p>
        </w:tc>
        <w:tc>
          <w:tcPr>
            <w:tcW w:w="807" w:type="pct"/>
            <w:vAlign w:val="center"/>
          </w:tcPr>
          <w:p>
            <w:pPr>
              <w:spacing w:line="240" w:lineRule="atLeast"/>
              <w:jc w:val="center"/>
              <w:rPr>
                <w:szCs w:val="21"/>
              </w:rPr>
            </w:pPr>
            <w:r>
              <w:rPr>
                <w:szCs w:val="21"/>
              </w:rPr>
              <w:t>8</w:t>
            </w:r>
          </w:p>
        </w:tc>
        <w:tc>
          <w:tcPr>
            <w:tcW w:w="1008" w:type="pct"/>
            <w:vAlign w:val="center"/>
          </w:tcPr>
          <w:p>
            <w:pPr>
              <w:spacing w:line="240" w:lineRule="atLeast"/>
              <w:jc w:val="center"/>
              <w:rPr>
                <w:szCs w:val="21"/>
              </w:rPr>
            </w:pPr>
            <w:r>
              <w:rPr>
                <w:rFonts w:hint="eastAsia"/>
                <w:szCs w:val="21"/>
              </w:rPr>
              <w:t>3</w:t>
            </w:r>
            <w:r>
              <w:rPr>
                <w:szCs w:val="21"/>
              </w:rPr>
              <w:t>65</w:t>
            </w:r>
            <w:r>
              <w:rPr>
                <w:rFonts w:hint="eastAsia"/>
                <w:szCs w:val="21"/>
              </w:rPr>
              <w:t>d</w:t>
            </w:r>
            <w:r>
              <w:rPr>
                <w:szCs w:val="21"/>
              </w:rPr>
              <w:t>/a</w:t>
            </w:r>
            <w:r>
              <w:rPr>
                <w:rFonts w:hint="eastAsia"/>
                <w:szCs w:val="21"/>
              </w:rPr>
              <w:t>，2</w:t>
            </w:r>
            <w:r>
              <w:rPr>
                <w:szCs w:val="21"/>
              </w:rPr>
              <w:t>4</w:t>
            </w:r>
            <w:r>
              <w:rPr>
                <w:rFonts w:hint="eastAsia"/>
                <w:szCs w:val="21"/>
              </w:rPr>
              <w:t>h/d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szCs w:val="21"/>
              </w:rPr>
              <w:t>四</w:t>
            </w:r>
          </w:p>
        </w:tc>
        <w:tc>
          <w:tcPr>
            <w:tcW w:w="1608" w:type="pct"/>
            <w:vAlign w:val="center"/>
          </w:tcPr>
          <w:p>
            <w:pPr>
              <w:spacing w:line="240" w:lineRule="atLeast"/>
              <w:jc w:val="center"/>
              <w:rPr>
                <w:szCs w:val="21"/>
              </w:rPr>
            </w:pPr>
            <w:r>
              <w:rPr>
                <w:szCs w:val="21"/>
              </w:rPr>
              <w:t>厂区总占地面积</w:t>
            </w:r>
          </w:p>
        </w:tc>
        <w:tc>
          <w:tcPr>
            <w:tcW w:w="1061" w:type="pct"/>
            <w:vAlign w:val="center"/>
          </w:tcPr>
          <w:p>
            <w:pPr>
              <w:spacing w:line="240" w:lineRule="atLeast"/>
              <w:jc w:val="center"/>
              <w:rPr>
                <w:szCs w:val="21"/>
              </w:rPr>
            </w:pPr>
            <w:r>
              <w:rPr>
                <w:szCs w:val="21"/>
              </w:rPr>
              <w:t>m</w:t>
            </w:r>
            <w:r>
              <w:rPr>
                <w:szCs w:val="21"/>
                <w:vertAlign w:val="superscript"/>
              </w:rPr>
              <w:t>2</w:t>
            </w:r>
          </w:p>
        </w:tc>
        <w:tc>
          <w:tcPr>
            <w:tcW w:w="807" w:type="pct"/>
            <w:vAlign w:val="center"/>
          </w:tcPr>
          <w:p>
            <w:pPr>
              <w:spacing w:line="240" w:lineRule="atLeast"/>
              <w:jc w:val="center"/>
              <w:rPr>
                <w:szCs w:val="21"/>
              </w:rPr>
            </w:pPr>
            <w:r>
              <w:rPr>
                <w:rFonts w:hint="eastAsia"/>
                <w:szCs w:val="21"/>
              </w:rPr>
              <w:t>42000</w:t>
            </w:r>
          </w:p>
        </w:tc>
        <w:tc>
          <w:tcPr>
            <w:tcW w:w="1008" w:type="pct"/>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rFonts w:hint="eastAsia"/>
                <w:szCs w:val="21"/>
              </w:rPr>
              <w:t>五</w:t>
            </w:r>
          </w:p>
        </w:tc>
        <w:tc>
          <w:tcPr>
            <w:tcW w:w="1608" w:type="pct"/>
            <w:vAlign w:val="center"/>
          </w:tcPr>
          <w:p>
            <w:pPr>
              <w:spacing w:line="240" w:lineRule="atLeast"/>
              <w:jc w:val="center"/>
              <w:rPr>
                <w:szCs w:val="21"/>
              </w:rPr>
            </w:pPr>
            <w:r>
              <w:rPr>
                <w:rFonts w:hint="eastAsia"/>
                <w:szCs w:val="21"/>
              </w:rPr>
              <w:t>经济指标</w:t>
            </w:r>
          </w:p>
        </w:tc>
        <w:tc>
          <w:tcPr>
            <w:tcW w:w="1061" w:type="pct"/>
            <w:vAlign w:val="center"/>
          </w:tcPr>
          <w:p>
            <w:pPr>
              <w:spacing w:line="240" w:lineRule="atLeast"/>
              <w:jc w:val="center"/>
              <w:rPr>
                <w:szCs w:val="21"/>
              </w:rPr>
            </w:pPr>
          </w:p>
        </w:tc>
        <w:tc>
          <w:tcPr>
            <w:tcW w:w="807" w:type="pct"/>
            <w:vAlign w:val="center"/>
          </w:tcPr>
          <w:p>
            <w:pPr>
              <w:spacing w:line="240" w:lineRule="atLeast"/>
              <w:jc w:val="center"/>
              <w:rPr>
                <w:szCs w:val="21"/>
              </w:rPr>
            </w:pPr>
          </w:p>
        </w:tc>
        <w:tc>
          <w:tcPr>
            <w:tcW w:w="1008" w:type="pct"/>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rFonts w:hint="eastAsia"/>
                <w:szCs w:val="21"/>
              </w:rPr>
              <w:t>1</w:t>
            </w:r>
          </w:p>
        </w:tc>
        <w:tc>
          <w:tcPr>
            <w:tcW w:w="1608" w:type="pct"/>
            <w:vAlign w:val="center"/>
          </w:tcPr>
          <w:p>
            <w:pPr>
              <w:spacing w:line="240" w:lineRule="atLeast"/>
              <w:jc w:val="center"/>
              <w:rPr>
                <w:szCs w:val="21"/>
              </w:rPr>
            </w:pPr>
            <w:r>
              <w:rPr>
                <w:szCs w:val="21"/>
              </w:rPr>
              <w:t>总投资金额</w:t>
            </w:r>
          </w:p>
        </w:tc>
        <w:tc>
          <w:tcPr>
            <w:tcW w:w="1061" w:type="pct"/>
            <w:vAlign w:val="center"/>
          </w:tcPr>
          <w:p>
            <w:pPr>
              <w:spacing w:line="240" w:lineRule="atLeast"/>
              <w:jc w:val="center"/>
              <w:rPr>
                <w:szCs w:val="21"/>
              </w:rPr>
            </w:pPr>
            <w:bookmarkStart w:id="52" w:name="OLE_LINK3"/>
            <w:r>
              <w:rPr>
                <w:szCs w:val="21"/>
              </w:rPr>
              <w:t>万元</w:t>
            </w:r>
            <w:bookmarkEnd w:id="52"/>
          </w:p>
        </w:tc>
        <w:tc>
          <w:tcPr>
            <w:tcW w:w="807" w:type="pct"/>
            <w:vAlign w:val="center"/>
          </w:tcPr>
          <w:p>
            <w:pPr>
              <w:spacing w:line="240" w:lineRule="atLeast"/>
              <w:jc w:val="center"/>
              <w:rPr>
                <w:szCs w:val="21"/>
              </w:rPr>
            </w:pPr>
            <w:r>
              <w:rPr>
                <w:rFonts w:hint="eastAsia"/>
                <w:szCs w:val="21"/>
              </w:rPr>
              <w:t>1500</w:t>
            </w:r>
          </w:p>
        </w:tc>
        <w:tc>
          <w:tcPr>
            <w:tcW w:w="1008" w:type="pct"/>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rFonts w:hint="eastAsia"/>
                <w:szCs w:val="21"/>
              </w:rPr>
              <w:t>2</w:t>
            </w:r>
          </w:p>
        </w:tc>
        <w:tc>
          <w:tcPr>
            <w:tcW w:w="1608" w:type="pct"/>
            <w:vAlign w:val="center"/>
          </w:tcPr>
          <w:p>
            <w:pPr>
              <w:spacing w:line="240" w:lineRule="atLeast"/>
              <w:jc w:val="center"/>
              <w:rPr>
                <w:szCs w:val="21"/>
              </w:rPr>
            </w:pPr>
            <w:r>
              <w:rPr>
                <w:rFonts w:hint="eastAsia"/>
                <w:szCs w:val="21"/>
              </w:rPr>
              <w:t>销售额</w:t>
            </w:r>
          </w:p>
        </w:tc>
        <w:tc>
          <w:tcPr>
            <w:tcW w:w="1061" w:type="pct"/>
            <w:vAlign w:val="center"/>
          </w:tcPr>
          <w:p>
            <w:pPr>
              <w:spacing w:line="240" w:lineRule="atLeast"/>
              <w:jc w:val="center"/>
              <w:rPr>
                <w:szCs w:val="21"/>
              </w:rPr>
            </w:pPr>
            <w:r>
              <w:rPr>
                <w:szCs w:val="21"/>
              </w:rPr>
              <w:t>万元</w:t>
            </w:r>
          </w:p>
        </w:tc>
        <w:tc>
          <w:tcPr>
            <w:tcW w:w="807" w:type="pct"/>
            <w:vAlign w:val="center"/>
          </w:tcPr>
          <w:p>
            <w:pPr>
              <w:spacing w:line="240" w:lineRule="atLeast"/>
              <w:jc w:val="center"/>
              <w:rPr>
                <w:szCs w:val="21"/>
              </w:rPr>
            </w:pPr>
            <w:r>
              <w:rPr>
                <w:rFonts w:hint="eastAsia"/>
                <w:szCs w:val="21"/>
              </w:rPr>
              <w:t>2100</w:t>
            </w:r>
          </w:p>
        </w:tc>
        <w:tc>
          <w:tcPr>
            <w:tcW w:w="1008" w:type="pct"/>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rFonts w:hint="eastAsia"/>
                <w:szCs w:val="21"/>
              </w:rPr>
              <w:t>3</w:t>
            </w:r>
          </w:p>
        </w:tc>
        <w:tc>
          <w:tcPr>
            <w:tcW w:w="1608" w:type="pct"/>
            <w:vAlign w:val="center"/>
          </w:tcPr>
          <w:p>
            <w:pPr>
              <w:spacing w:line="240" w:lineRule="atLeast"/>
              <w:jc w:val="center"/>
              <w:rPr>
                <w:szCs w:val="21"/>
              </w:rPr>
            </w:pPr>
            <w:r>
              <w:rPr>
                <w:rFonts w:hint="eastAsia"/>
                <w:szCs w:val="21"/>
              </w:rPr>
              <w:t>利润</w:t>
            </w:r>
          </w:p>
        </w:tc>
        <w:tc>
          <w:tcPr>
            <w:tcW w:w="1061" w:type="pct"/>
            <w:vAlign w:val="center"/>
          </w:tcPr>
          <w:p>
            <w:pPr>
              <w:spacing w:line="240" w:lineRule="atLeast"/>
              <w:jc w:val="center"/>
              <w:rPr>
                <w:szCs w:val="21"/>
              </w:rPr>
            </w:pPr>
            <w:r>
              <w:rPr>
                <w:szCs w:val="21"/>
              </w:rPr>
              <w:t>万元</w:t>
            </w:r>
          </w:p>
        </w:tc>
        <w:tc>
          <w:tcPr>
            <w:tcW w:w="807" w:type="pct"/>
            <w:vAlign w:val="center"/>
          </w:tcPr>
          <w:p>
            <w:pPr>
              <w:spacing w:line="240" w:lineRule="atLeast"/>
              <w:jc w:val="center"/>
              <w:rPr>
                <w:szCs w:val="21"/>
              </w:rPr>
            </w:pPr>
            <w:r>
              <w:rPr>
                <w:szCs w:val="21"/>
              </w:rPr>
              <w:t>476</w:t>
            </w:r>
          </w:p>
        </w:tc>
        <w:tc>
          <w:tcPr>
            <w:tcW w:w="1008" w:type="pct"/>
            <w:vAlign w:val="center"/>
          </w:tcPr>
          <w:p>
            <w:pPr>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pPr>
              <w:spacing w:line="240" w:lineRule="atLeast"/>
              <w:jc w:val="center"/>
              <w:rPr>
                <w:szCs w:val="21"/>
              </w:rPr>
            </w:pPr>
            <w:r>
              <w:rPr>
                <w:rFonts w:hint="eastAsia"/>
                <w:szCs w:val="21"/>
              </w:rPr>
              <w:t>4</w:t>
            </w:r>
          </w:p>
        </w:tc>
        <w:tc>
          <w:tcPr>
            <w:tcW w:w="1608" w:type="pct"/>
            <w:vAlign w:val="center"/>
          </w:tcPr>
          <w:p>
            <w:pPr>
              <w:spacing w:line="240" w:lineRule="atLeast"/>
              <w:jc w:val="center"/>
              <w:rPr>
                <w:szCs w:val="21"/>
              </w:rPr>
            </w:pPr>
            <w:r>
              <w:rPr>
                <w:rFonts w:hint="eastAsia"/>
                <w:szCs w:val="21"/>
              </w:rPr>
              <w:t>税金</w:t>
            </w:r>
          </w:p>
        </w:tc>
        <w:tc>
          <w:tcPr>
            <w:tcW w:w="1061" w:type="pct"/>
            <w:vAlign w:val="center"/>
          </w:tcPr>
          <w:p>
            <w:pPr>
              <w:spacing w:line="240" w:lineRule="atLeast"/>
              <w:jc w:val="center"/>
              <w:rPr>
                <w:szCs w:val="21"/>
              </w:rPr>
            </w:pPr>
            <w:r>
              <w:rPr>
                <w:rFonts w:hint="eastAsia"/>
                <w:szCs w:val="21"/>
              </w:rPr>
              <w:t>万元</w:t>
            </w:r>
          </w:p>
        </w:tc>
        <w:tc>
          <w:tcPr>
            <w:tcW w:w="807" w:type="pct"/>
            <w:vAlign w:val="center"/>
          </w:tcPr>
          <w:p>
            <w:pPr>
              <w:spacing w:line="240" w:lineRule="atLeast"/>
              <w:jc w:val="center"/>
              <w:rPr>
                <w:szCs w:val="21"/>
              </w:rPr>
            </w:pPr>
            <w:r>
              <w:rPr>
                <w:szCs w:val="21"/>
              </w:rPr>
              <w:t>126</w:t>
            </w:r>
          </w:p>
        </w:tc>
        <w:tc>
          <w:tcPr>
            <w:tcW w:w="1008" w:type="pct"/>
            <w:vAlign w:val="center"/>
          </w:tcPr>
          <w:p>
            <w:pPr>
              <w:spacing w:line="240" w:lineRule="atLeast"/>
              <w:jc w:val="center"/>
              <w:rPr>
                <w:szCs w:val="21"/>
              </w:rPr>
            </w:pPr>
          </w:p>
        </w:tc>
      </w:tr>
    </w:tbl>
    <w:p>
      <w:pPr>
        <w:pStyle w:val="2"/>
        <w:spacing w:before="156" w:beforeLines="50" w:after="0" w:line="480" w:lineRule="exact"/>
        <w:rPr>
          <w:rFonts w:ascii="宋体" w:hAnsi="宋体" w:eastAsia="宋体"/>
          <w:spacing w:val="4"/>
          <w:sz w:val="28"/>
          <w:szCs w:val="28"/>
        </w:rPr>
      </w:pPr>
      <w:bookmarkStart w:id="53" w:name="_Toc19105456"/>
      <w:r>
        <w:rPr>
          <w:rFonts w:ascii="Times New Roman" w:hAnsi="Times New Roman" w:eastAsia="黑体" w:cs="Times New Roman"/>
          <w:spacing w:val="4"/>
          <w:sz w:val="28"/>
          <w:szCs w:val="28"/>
        </w:rPr>
        <w:t>3.2</w:t>
      </w:r>
      <w:r>
        <w:rPr>
          <w:rFonts w:hint="eastAsia" w:ascii="Times New Roman" w:hAnsi="Times New Roman" w:eastAsia="黑体" w:cs="Times New Roman"/>
          <w:spacing w:val="4"/>
          <w:sz w:val="28"/>
          <w:szCs w:val="28"/>
        </w:rPr>
        <w:t>工艺流程及产污环节分析</w:t>
      </w:r>
      <w:bookmarkEnd w:id="53"/>
    </w:p>
    <w:p>
      <w:pPr>
        <w:pStyle w:val="57"/>
        <w:keepNext/>
        <w:keepLines/>
        <w:spacing w:before="0" w:after="0" w:line="480" w:lineRule="exact"/>
        <w:ind w:firstLine="0" w:firstLineChars="0"/>
        <w:outlineLvl w:val="2"/>
        <w:rPr>
          <w:b/>
        </w:rPr>
      </w:pPr>
      <w:r>
        <w:rPr>
          <w:rFonts w:hint="eastAsia"/>
          <w:b/>
        </w:rPr>
        <w:t>3.</w:t>
      </w:r>
      <w:r>
        <w:rPr>
          <w:b/>
        </w:rPr>
        <w:t>2.</w:t>
      </w:r>
      <w:r>
        <w:rPr>
          <w:rFonts w:hint="eastAsia"/>
          <w:b/>
        </w:rPr>
        <w:t>1</w:t>
      </w:r>
      <w:r>
        <w:rPr>
          <w:rFonts w:ascii="宋体" w:hAnsi="宋体"/>
          <w:b/>
        </w:rPr>
        <w:t>肉鸡养殖场生产技术流程</w:t>
      </w:r>
    </w:p>
    <w:p>
      <w:pPr>
        <w:pStyle w:val="57"/>
        <w:snapToGrid/>
        <w:spacing w:before="0" w:after="0" w:line="480" w:lineRule="exact"/>
        <w:ind w:firstLine="480"/>
      </w:pPr>
      <w:r>
        <w:rPr>
          <w:rFonts w:hint="eastAsia"/>
        </w:rPr>
        <w:t>肉鸡养殖工艺流程可概括为三个主要环节：鸡舍准备、饲养过程、鸡舍清理。</w:t>
      </w:r>
      <w:r>
        <w:t>本项目饲养方式采取立体笼养方式</w:t>
      </w:r>
      <w:r>
        <w:rPr>
          <w:rFonts w:hint="eastAsia"/>
        </w:rPr>
        <w:t>，</w:t>
      </w:r>
      <w:r>
        <w:t>立体笼下放设有自动</w:t>
      </w:r>
      <w:r>
        <w:rPr>
          <w:rFonts w:hint="eastAsia"/>
        </w:rPr>
        <w:t>干</w:t>
      </w:r>
      <w:r>
        <w:t>清粪系统，粪便采用传送带输出。</w:t>
      </w:r>
    </w:p>
    <w:p>
      <w:pPr>
        <w:pStyle w:val="57"/>
        <w:snapToGrid/>
        <w:spacing w:before="0" w:after="0" w:line="480" w:lineRule="exact"/>
        <w:ind w:firstLine="0" w:firstLineChars="0"/>
        <w:rPr>
          <w:b/>
        </w:rPr>
      </w:pPr>
      <w:r>
        <w:rPr>
          <w:rFonts w:hint="eastAsia"/>
          <w:b/>
        </w:rPr>
        <w:t>1、肉鸡养殖流程简述</w:t>
      </w:r>
    </w:p>
    <w:p>
      <w:pPr>
        <w:pStyle w:val="57"/>
        <w:snapToGrid/>
        <w:spacing w:before="0" w:after="0" w:line="480" w:lineRule="exact"/>
        <w:ind w:firstLine="480"/>
      </w:pPr>
      <w:r>
        <w:rPr>
          <w:rFonts w:hint="eastAsia"/>
        </w:rPr>
        <w:t>（1）鸡舍准备</w:t>
      </w:r>
    </w:p>
    <w:p>
      <w:pPr>
        <w:pStyle w:val="57"/>
        <w:snapToGrid/>
        <w:spacing w:before="0" w:after="0" w:line="480" w:lineRule="exact"/>
        <w:ind w:firstLine="480"/>
      </w:pPr>
      <w:r>
        <w:rPr>
          <w:rFonts w:hint="eastAsia"/>
        </w:rPr>
        <w:t>将消毒过的饲槽、饮水器移入鸡舍，使用消毒溶液对鸡舍进行熏蒸消毒；最后，鸡舍空置</w:t>
      </w:r>
      <w:r>
        <w:t>10-15</w:t>
      </w:r>
      <w:r>
        <w:rPr>
          <w:rFonts w:hint="eastAsia"/>
        </w:rPr>
        <w:t>d，以确保不会向下批次肉鸡传播病毒。</w:t>
      </w:r>
    </w:p>
    <w:p>
      <w:pPr>
        <w:pStyle w:val="57"/>
        <w:snapToGrid/>
        <w:spacing w:before="0" w:after="0" w:line="480" w:lineRule="exact"/>
        <w:ind w:firstLine="480"/>
      </w:pPr>
      <w:r>
        <w:rPr>
          <w:rFonts w:hint="eastAsia"/>
        </w:rPr>
        <w:t>（</w:t>
      </w:r>
      <w:r>
        <w:t>2</w:t>
      </w:r>
      <w:r>
        <w:rPr>
          <w:rFonts w:hint="eastAsia"/>
        </w:rPr>
        <w:t>）饲养过程</w:t>
      </w:r>
    </w:p>
    <w:p>
      <w:pPr>
        <w:pStyle w:val="57"/>
        <w:snapToGrid/>
        <w:spacing w:before="0" w:after="0" w:line="480" w:lineRule="exact"/>
        <w:ind w:firstLine="480"/>
      </w:pPr>
      <w:r>
        <w:rPr>
          <w:rFonts w:hint="eastAsia"/>
        </w:rPr>
        <w:t>鸡苗到达后，饲养期应定时喂料，早期（0-2ld）肉鸡生长速度快，需喂养营养丰富的破碎料。后期喂养颗粒饲料，饮水保持情节。注重鸡舍通风换气，保持空气清新；定期检查鸡群的粪便、羽毛等，判断鸡的健康状况，挑出病鸡、弱鸡；鸡舍定时光照，日照在12h左右，一般早上4:30时开灯，晚上8:30时关灯：当气温高于33℃时，养殖场鸡舍采取降温措施，使用水帘降温系统，降温用水循环使用。</w:t>
      </w:r>
    </w:p>
    <w:p>
      <w:pPr>
        <w:pStyle w:val="57"/>
        <w:snapToGrid/>
        <w:spacing w:before="0" w:after="0" w:line="480" w:lineRule="exact"/>
        <w:ind w:firstLine="480"/>
      </w:pPr>
      <w:r>
        <w:rPr>
          <w:rFonts w:hint="eastAsia"/>
        </w:rPr>
        <w:t>肉鸡的饲养周期为</w:t>
      </w:r>
      <w:r>
        <w:t>45-50</w:t>
      </w:r>
      <w:r>
        <w:rPr>
          <w:rFonts w:hint="eastAsia"/>
        </w:rPr>
        <w:t>d，合格的肉鸡即可出售。</w:t>
      </w:r>
    </w:p>
    <w:p>
      <w:pPr>
        <w:pStyle w:val="57"/>
        <w:snapToGrid/>
        <w:spacing w:before="0" w:after="0" w:line="480" w:lineRule="exact"/>
        <w:ind w:firstLine="480"/>
      </w:pPr>
      <w:r>
        <w:rPr>
          <w:rFonts w:hint="eastAsia"/>
        </w:rPr>
        <w:t>（</w:t>
      </w:r>
      <w:r>
        <w:t>3</w:t>
      </w:r>
      <w:r>
        <w:rPr>
          <w:rFonts w:hint="eastAsia"/>
        </w:rPr>
        <w:t>）鸡舍清理</w:t>
      </w:r>
    </w:p>
    <w:p>
      <w:pPr>
        <w:pStyle w:val="57"/>
        <w:snapToGrid/>
        <w:spacing w:before="0" w:after="0" w:line="480" w:lineRule="exact"/>
        <w:ind w:firstLine="480"/>
      </w:pPr>
      <w:r>
        <w:rPr>
          <w:rFonts w:hint="eastAsia"/>
        </w:rPr>
        <w:t>肉鸡出栏后，先将饲槽、饮水器移出鸡舍，然后用高压水冲洗鸡舍，待鸡舍充分干燥后，关好门窗，喷洒消毒液，最后用消毒液熏蒸。对于使用过的饲料和饮水器等，均需要用清水冲洗干净，然后用消毒液进行喷洒。</w:t>
      </w:r>
    </w:p>
    <w:p>
      <w:pPr>
        <w:pStyle w:val="57"/>
        <w:snapToGrid/>
        <w:spacing w:before="0" w:after="0" w:line="480" w:lineRule="exact"/>
        <w:ind w:firstLine="480"/>
      </w:pPr>
      <w:r>
        <w:rPr>
          <w:rFonts w:hint="eastAsia"/>
        </w:rPr>
        <w:t>最后，鸡舍空置</w:t>
      </w:r>
      <w:r>
        <w:t>10-15</w:t>
      </w:r>
      <w:r>
        <w:rPr>
          <w:rFonts w:hint="eastAsia"/>
        </w:rPr>
        <w:t>d，以确保不会向下批次肉鸡传播病毒。</w:t>
      </w:r>
    </w:p>
    <w:p>
      <w:pPr>
        <w:pStyle w:val="57"/>
        <w:snapToGrid/>
        <w:spacing w:before="0" w:after="0" w:line="480" w:lineRule="exact"/>
        <w:ind w:firstLine="0" w:firstLineChars="0"/>
        <w:rPr>
          <w:b/>
        </w:rPr>
      </w:pPr>
      <w:r>
        <w:rPr>
          <w:b/>
        </w:rPr>
        <w:t>2</w:t>
      </w:r>
      <w:r>
        <w:rPr>
          <w:rFonts w:hint="eastAsia"/>
          <w:b/>
        </w:rPr>
        <w:t>、肉鸡养殖场日常管理</w:t>
      </w:r>
    </w:p>
    <w:p>
      <w:pPr>
        <w:pStyle w:val="57"/>
        <w:snapToGrid/>
        <w:spacing w:before="0" w:after="0" w:line="480" w:lineRule="exact"/>
        <w:ind w:firstLine="480"/>
      </w:pPr>
      <w:r>
        <w:rPr>
          <w:rFonts w:hint="eastAsia"/>
        </w:rPr>
        <w:t>（1）</w:t>
      </w:r>
      <w:r>
        <w:t>温度管理</w:t>
      </w:r>
    </w:p>
    <w:p>
      <w:pPr>
        <w:pStyle w:val="57"/>
        <w:snapToGrid/>
        <w:spacing w:before="0" w:after="0" w:line="480" w:lineRule="exact"/>
        <w:ind w:firstLine="480"/>
      </w:pPr>
      <w:r>
        <w:t>育雏温度是以鸡群感到舒适为最佳标准，舒适的表现是鸡群很安静无不快的叫声。肉仔鸡的生长周期短，鸡舍温度稍有不适，对其增重就有较大影响，前期要注意保持在32℃~35℃。温度低，病原微生物趁鸡抵抗力弱时侵入鸡体而使雏鸡发病。以后按要求降温，5周龄后要使温度维持在21℃左右。</w:t>
      </w:r>
    </w:p>
    <w:p>
      <w:pPr>
        <w:pStyle w:val="57"/>
        <w:snapToGrid/>
        <w:spacing w:before="0" w:after="0" w:line="480" w:lineRule="exact"/>
        <w:ind w:firstLine="480"/>
      </w:pPr>
      <w:r>
        <w:rPr>
          <w:rFonts w:hint="eastAsia"/>
        </w:rPr>
        <w:t>（2）</w:t>
      </w:r>
      <w:r>
        <w:t>通风管理</w:t>
      </w:r>
    </w:p>
    <w:p>
      <w:pPr>
        <w:pStyle w:val="57"/>
        <w:snapToGrid/>
        <w:spacing w:before="0" w:after="0" w:line="480" w:lineRule="exact"/>
        <w:ind w:firstLine="480"/>
      </w:pPr>
      <w:r>
        <w:t>通风工作是养殖过程中的重中之重，养殖是否成功与此有较大关系。通风的目的是将舍内有害气体及时排出，同时输入新的空气，调节舍内温度。鸡舍内最常见的有害气体有氨气、二氧化碳、一氧化碳、硫化氢、粪臭素等，这些有害气体浓度过高首先会破坏呼吸系统粘膜及眼结膜，给一些有害病原体的侵入创造了良好条件。通风过大会使鸡舍降低温度，小鸡怕冷打堆压死，大鸡把能量转化成热量从而增加饲养成本降低效益。</w:t>
      </w:r>
    </w:p>
    <w:p>
      <w:pPr>
        <w:pStyle w:val="57"/>
        <w:snapToGrid/>
        <w:spacing w:before="0" w:after="0" w:line="480" w:lineRule="exact"/>
        <w:ind w:firstLine="480"/>
      </w:pPr>
      <w:r>
        <w:rPr>
          <w:rFonts w:hint="eastAsia"/>
        </w:rPr>
        <w:t>（3）</w:t>
      </w:r>
      <w:r>
        <w:t>湿度管理</w:t>
      </w:r>
    </w:p>
    <w:p>
      <w:pPr>
        <w:pStyle w:val="57"/>
        <w:snapToGrid/>
        <w:spacing w:before="0" w:after="0" w:line="480" w:lineRule="exact"/>
        <w:ind w:firstLine="480"/>
      </w:pPr>
      <w:r>
        <w:t>在鸡舍的各个区域安放相对湿度表，以便及时地掌握鸡舍内空气的相对湿度。当鸡舍内相对湿度低于40%可引起雏鸡脱水、羽毛生长不良，成禽羽毛凌乱，皮肤干燥，还易引起尘土飞扬，诱发呼吸道病；若相对湿度高于70%禽舍易于潮湿，羽毛污秽，粘连，关节病例增多，夏季易爆发球虫等。一般情况下育雏湿度掌握在70%--75%之间，以后大致掌握在60%--65%之间。</w:t>
      </w:r>
    </w:p>
    <w:p>
      <w:pPr>
        <w:pStyle w:val="57"/>
        <w:snapToGrid/>
        <w:spacing w:before="0" w:after="0" w:line="480" w:lineRule="exact"/>
        <w:ind w:firstLine="480"/>
      </w:pPr>
      <w:r>
        <w:rPr>
          <w:rFonts w:hint="eastAsia"/>
        </w:rPr>
        <w:t>（</w:t>
      </w:r>
      <w:r>
        <w:t>4</w:t>
      </w:r>
      <w:r>
        <w:rPr>
          <w:rFonts w:hint="eastAsia"/>
        </w:rPr>
        <w:t>）</w:t>
      </w:r>
      <w:r>
        <w:t>密度管理</w:t>
      </w:r>
    </w:p>
    <w:p>
      <w:pPr>
        <w:pStyle w:val="57"/>
        <w:snapToGrid/>
        <w:spacing w:before="0" w:after="0" w:line="480" w:lineRule="exact"/>
        <w:ind w:firstLine="480"/>
      </w:pPr>
      <w:r>
        <w:t>1日龄至2</w:t>
      </w:r>
      <w:r>
        <w:rPr>
          <w:rFonts w:hint="eastAsia"/>
        </w:rPr>
        <w:t>0</w:t>
      </w:r>
      <w:r>
        <w:t>日龄饲养密度25只/m²，2</w:t>
      </w:r>
      <w:r>
        <w:rPr>
          <w:rFonts w:hint="eastAsia"/>
        </w:rPr>
        <w:t>1</w:t>
      </w:r>
      <w:r>
        <w:t>日龄至4</w:t>
      </w:r>
      <w:r>
        <w:rPr>
          <w:rFonts w:hint="eastAsia"/>
        </w:rPr>
        <w:t>5</w:t>
      </w:r>
      <w:r>
        <w:t>日龄，减少饲养密度，饲养密度8只/m²。</w:t>
      </w:r>
    </w:p>
    <w:p>
      <w:pPr>
        <w:pStyle w:val="57"/>
        <w:snapToGrid/>
        <w:spacing w:before="0" w:after="0" w:line="480" w:lineRule="exact"/>
        <w:ind w:firstLine="480"/>
      </w:pPr>
      <w:r>
        <w:rPr>
          <w:rFonts w:hint="eastAsia"/>
        </w:rPr>
        <w:t>（</w:t>
      </w:r>
      <w:r>
        <w:t>5</w:t>
      </w:r>
      <w:r>
        <w:rPr>
          <w:rFonts w:hint="eastAsia"/>
        </w:rPr>
        <w:t>）</w:t>
      </w:r>
      <w:r>
        <w:t>光照管理</w:t>
      </w:r>
    </w:p>
    <w:p>
      <w:pPr>
        <w:pStyle w:val="57"/>
        <w:snapToGrid/>
        <w:spacing w:before="0" w:after="0" w:line="480" w:lineRule="exact"/>
        <w:ind w:firstLine="480"/>
      </w:pPr>
      <w:r>
        <w:t>肉鸡需要光照主要为了延长采食时间，促进生长。鸡舍内每20平方米安装一个灯泡，高度棚架2米，灯距3~4米，配有灯罩。灯泡要分布均匀，以免光线过强，引起喙癖。</w:t>
      </w:r>
    </w:p>
    <w:p>
      <w:pPr>
        <w:pStyle w:val="57"/>
        <w:snapToGrid/>
        <w:spacing w:before="0" w:after="0" w:line="480" w:lineRule="exact"/>
        <w:ind w:firstLine="480"/>
      </w:pPr>
      <w:r>
        <w:rPr>
          <w:rFonts w:hint="eastAsia"/>
        </w:rPr>
        <w:t>（</w:t>
      </w:r>
      <w:r>
        <w:t>6</w:t>
      </w:r>
      <w:r>
        <w:rPr>
          <w:rFonts w:hint="eastAsia"/>
        </w:rPr>
        <w:t>）</w:t>
      </w:r>
      <w:r>
        <w:t>饮水管理</w:t>
      </w:r>
    </w:p>
    <w:p>
      <w:pPr>
        <w:pStyle w:val="57"/>
        <w:spacing w:line="480" w:lineRule="exact"/>
        <w:ind w:firstLine="480"/>
      </w:pPr>
      <w:r>
        <w:t>新鲜和清洁的饮水对鸡的正常生长非常必要。通常鸡每吃1公斤饲料需饮水2公斤左右，气温越高饮水量越多。进雏鸡后第一次饮水中需加多维或速补。有条件时，第一周饮水用20℃左右的温开水，8日龄起改用深井水。鸡舍内的饮水器要摆放均匀，放平放稳，经常调节饮水器高度，使水槽上沿与鸡背相平。饮水器不能断水，注意饮水卫生</w:t>
      </w:r>
      <w:r>
        <w:rPr>
          <w:rFonts w:hint="eastAsia"/>
        </w:rPr>
        <w:t>。</w:t>
      </w:r>
    </w:p>
    <w:p>
      <w:pPr>
        <w:pStyle w:val="57"/>
        <w:snapToGrid/>
        <w:spacing w:before="0" w:after="0" w:line="480" w:lineRule="exact"/>
        <w:ind w:firstLine="480"/>
      </w:pPr>
      <w:r>
        <w:rPr>
          <w:rFonts w:hint="eastAsia"/>
        </w:rPr>
        <w:t>（7）</w:t>
      </w:r>
      <w:r>
        <w:t>饲喂管理</w:t>
      </w:r>
    </w:p>
    <w:p>
      <w:pPr>
        <w:pStyle w:val="57"/>
        <w:snapToGrid/>
        <w:spacing w:before="0" w:after="0" w:line="480" w:lineRule="exact"/>
        <w:ind w:firstLine="480"/>
      </w:pPr>
      <w:r>
        <w:t>3~5日龄苗鸡使用料桶进食，料桶高度随日龄调整。更换饲料时两种料要充分拌匀，逐步换料，以减少换料带来的应激，同时在水中添加多维。</w:t>
      </w:r>
    </w:p>
    <w:p>
      <w:pPr>
        <w:pStyle w:val="57"/>
        <w:snapToGrid/>
        <w:spacing w:before="0" w:after="0" w:line="480" w:lineRule="exact"/>
        <w:ind w:firstLine="0" w:firstLineChars="0"/>
        <w:rPr>
          <w:b/>
        </w:rPr>
      </w:pPr>
      <w:r>
        <w:rPr>
          <w:rFonts w:hint="eastAsia"/>
          <w:b/>
        </w:rPr>
        <w:t>3、鸡粪熟化工艺</w:t>
      </w:r>
    </w:p>
    <w:p>
      <w:pPr>
        <w:pStyle w:val="57"/>
        <w:snapToGrid/>
        <w:spacing w:before="0" w:after="0" w:line="480" w:lineRule="exact"/>
        <w:ind w:firstLine="480"/>
      </w:pPr>
      <w:r>
        <w:rPr>
          <w:rFonts w:hint="eastAsia"/>
        </w:rPr>
        <w:t>本项目采用高温耗氧发酵技术处理养殖过程中产生的鸡粪，设2台100m</w:t>
      </w:r>
      <w:r>
        <w:rPr>
          <w:rFonts w:hint="eastAsia"/>
          <w:vertAlign w:val="superscript"/>
        </w:rPr>
        <w:t>3</w:t>
      </w:r>
      <w:r>
        <w:rPr>
          <w:rFonts w:hint="eastAsia"/>
        </w:rPr>
        <w:t>高温耗氧发酵罐；鸡粪</w:t>
      </w:r>
      <w:r>
        <w:rPr>
          <w:rFonts w:hint="eastAsia"/>
          <w:kern w:val="0"/>
          <w:szCs w:val="21"/>
        </w:rPr>
        <w:t>经发酵罐熟化后外运有机肥厂综合利用。</w:t>
      </w:r>
    </w:p>
    <w:p>
      <w:pPr>
        <w:pStyle w:val="57"/>
        <w:snapToGrid/>
        <w:spacing w:before="0" w:after="0" w:line="480" w:lineRule="exact"/>
        <w:ind w:firstLine="480"/>
      </w:pPr>
      <w:r>
        <w:rPr>
          <w:rFonts w:hint="eastAsia"/>
        </w:rPr>
        <w:t>高温好氧发酵技术的处理过程是在微生物的分解作用下使有机物料变成CO</w:t>
      </w:r>
      <w:r>
        <w:rPr>
          <w:rFonts w:hint="eastAsia"/>
          <w:vertAlign w:val="subscript"/>
        </w:rPr>
        <w:t>2</w:t>
      </w:r>
      <w:r>
        <w:rPr>
          <w:rFonts w:hint="eastAsia"/>
        </w:rPr>
        <w:t>和小分子的有机化合物，实现有机物料的降解，是一个减量化、稳定过程。同时发酵也聚集大量的热使堆体温度达到55℃以上，并且持续一段时间，对病原菌和杂草种子等有杀灭作用，实现有机物料无害化的过程，真正实现有机废弃物的资源化利用。</w:t>
      </w:r>
    </w:p>
    <w:p>
      <w:pPr>
        <w:pStyle w:val="57"/>
        <w:snapToGrid/>
        <w:spacing w:before="0" w:after="0" w:line="480" w:lineRule="exact"/>
        <w:ind w:firstLine="480"/>
      </w:pPr>
      <w:r>
        <w:rPr>
          <w:rFonts w:hint="eastAsia"/>
        </w:rPr>
        <w:t>本项目设2台100m</w:t>
      </w:r>
      <w:r>
        <w:rPr>
          <w:rFonts w:hint="eastAsia"/>
          <w:vertAlign w:val="superscript"/>
        </w:rPr>
        <w:t>3</w:t>
      </w:r>
      <w:r>
        <w:rPr>
          <w:rFonts w:hint="eastAsia"/>
        </w:rPr>
        <w:t>高温耗氧发酵罐；</w:t>
      </w:r>
      <w:r>
        <w:t>罐式好氧发酵机由上料装置、动力驱动装置、发酵机本体、搅拌轴及桨叶、曝气及排气、控制柜等部分组成。</w:t>
      </w:r>
    </w:p>
    <w:p>
      <w:pPr>
        <w:pStyle w:val="57"/>
        <w:snapToGrid/>
        <w:spacing w:before="0" w:after="0" w:line="480" w:lineRule="exact"/>
        <w:ind w:firstLine="480"/>
      </w:pPr>
      <w:r>
        <w:t>好氧发酵机初次工作时，首先鸡粪与少量堆肥接种剂（发酵菌种）混合均匀，送入投料料斗，通过料斗升降机输送至发酵机上料口上端，将物料由顶部进入发酵反应器内，物料在驱动机构搅拌桨叶的搅动下，在发酵机内形成连续搅动的状态，同时设备的曝气和热回收装置为曝气桨叶提供干燥热空气，在桨叶后侧形成均匀的热空气空间，与物料充分接触供氧、传热、除湿。保持物料充足的供氧条件和受热的均匀度。整个好氧发酵、去水过程中，曝气和排气系统连续不断为物料提供新鲜空气，满足发酵机内好氧发酵工艺要求。好氧发酵机内部有可以输送空气和进行搅拌的桨叶。在好氧条件下，通过好氧菌的作用，分解有机废弃物，利用有机废弃物的分解热蒸发掉物料中的水分，使鸡粪变为有机肥。</w:t>
      </w:r>
    </w:p>
    <w:p>
      <w:pPr>
        <w:pStyle w:val="57"/>
        <w:snapToGrid/>
        <w:spacing w:before="0" w:after="0" w:line="480" w:lineRule="exact"/>
        <w:ind w:firstLine="0" w:firstLineChars="0"/>
        <w:rPr>
          <w:b/>
        </w:rPr>
      </w:pPr>
      <w:r>
        <w:rPr>
          <w:rFonts w:hint="eastAsia"/>
          <w:b/>
        </w:rPr>
        <w:t>4、肉鸡养殖场防疫工作</w:t>
      </w:r>
    </w:p>
    <w:p>
      <w:pPr>
        <w:pStyle w:val="57"/>
        <w:snapToGrid/>
        <w:spacing w:before="0" w:after="0" w:line="480" w:lineRule="exact"/>
        <w:ind w:firstLine="480"/>
      </w:pPr>
      <w:r>
        <w:rPr>
          <w:rFonts w:hint="eastAsia"/>
        </w:rPr>
        <w:t>做好接种免疫工作是规模化养鸡疫病防治的重要措施，只有对鸡群进行正确、合理的免疫接种，才能保障鸡群不发生疫病，同时还能保证鸡群的后代在一段时间内不会发生疫病。</w:t>
      </w:r>
    </w:p>
    <w:p>
      <w:pPr>
        <w:pStyle w:val="57"/>
        <w:snapToGrid/>
        <w:spacing w:before="0" w:after="0" w:line="480" w:lineRule="exact"/>
        <w:ind w:firstLine="480"/>
      </w:pPr>
      <w:r>
        <w:rPr>
          <w:rFonts w:hint="eastAsia"/>
        </w:rPr>
        <w:t>（1）加强对投入品的管理</w:t>
      </w:r>
    </w:p>
    <w:p>
      <w:pPr>
        <w:pStyle w:val="57"/>
        <w:snapToGrid/>
        <w:spacing w:before="0" w:after="0" w:line="480" w:lineRule="exact"/>
        <w:ind w:firstLine="480"/>
      </w:pPr>
      <w:r>
        <w:rPr>
          <w:rFonts w:hint="eastAsia"/>
        </w:rPr>
        <w:t>规模养鸡场的防疫工作应该在动物卫生防疫部门的指导下完成，同时综合养殖场的实际情况进行免疫。对于疫苗或者兽药的使用，都应该严格按照相关的规定使用，不仅要为鸡群提供安全、有效的防疫，同时还应该保证鸡群的健康和营养。</w:t>
      </w:r>
    </w:p>
    <w:p>
      <w:pPr>
        <w:pStyle w:val="57"/>
        <w:snapToGrid/>
        <w:spacing w:before="0" w:after="0" w:line="480" w:lineRule="exact"/>
        <w:ind w:firstLine="480"/>
      </w:pPr>
      <w:r>
        <w:rPr>
          <w:rFonts w:hint="eastAsia"/>
        </w:rPr>
        <w:t>（2）加强养鸡场的卫生管理</w:t>
      </w:r>
    </w:p>
    <w:p>
      <w:pPr>
        <w:pStyle w:val="57"/>
        <w:snapToGrid/>
        <w:spacing w:before="0" w:after="0" w:line="480" w:lineRule="exact"/>
        <w:ind w:firstLine="480"/>
      </w:pPr>
      <w:r>
        <w:rPr>
          <w:rFonts w:hint="eastAsia"/>
        </w:rPr>
        <w:t>在养鸡场的大门口，应该设立专门的消毒池，进出的车辆必须经过严格的消毒，不能将病原体带入养殖场内。对于进出的人员和杂物同样应该做好病原体的监督管理。饲养人员在进入鸡舍时，应该洗手、消毒，穿工作鞋和工作服。</w:t>
      </w:r>
    </w:p>
    <w:p>
      <w:pPr>
        <w:pStyle w:val="57"/>
        <w:snapToGrid/>
        <w:spacing w:before="0" w:after="0" w:line="480" w:lineRule="exact"/>
        <w:ind w:firstLine="480"/>
      </w:pPr>
      <w:r>
        <w:rPr>
          <w:rFonts w:hint="eastAsia"/>
        </w:rPr>
        <w:t>（</w:t>
      </w:r>
      <w:r>
        <w:t>3</w:t>
      </w:r>
      <w:r>
        <w:rPr>
          <w:rFonts w:hint="eastAsia"/>
        </w:rPr>
        <w:t>）做好疫病处置</w:t>
      </w:r>
    </w:p>
    <w:p>
      <w:pPr>
        <w:pStyle w:val="57"/>
        <w:snapToGrid/>
        <w:spacing w:before="0" w:after="0" w:line="480" w:lineRule="exact"/>
        <w:ind w:firstLine="480"/>
      </w:pPr>
      <w:r>
        <w:rPr>
          <w:rFonts w:hint="eastAsia"/>
        </w:rPr>
        <w:t>做好疫情的处置也是一个重要的防治描施，一些鸡疫情具有传染性，只有及时处置才能有效预防。工作人员每天都要按照一定的程序对鸡群的健康状况进行观察，一旦发现不良鸡应该及时淘汰，一旦发现可能发生疫病的鸡应该及时隔离，果断处理，从而有效避免鸡疫病发生传播。对于没有治疗价值的疫病鸡或者死鸡，应该及时进行填埋处理，对污染的鸡舍、用具和工具等都应该进行彻底消毒。</w:t>
      </w:r>
    </w:p>
    <w:p>
      <w:pPr>
        <w:pStyle w:val="57"/>
        <w:snapToGrid/>
        <w:spacing w:before="0" w:after="0" w:line="480" w:lineRule="exact"/>
        <w:ind w:firstLine="0" w:firstLineChars="0"/>
        <w:rPr>
          <w:b/>
        </w:rPr>
      </w:pPr>
      <w:r>
        <w:rPr>
          <w:rFonts w:hint="eastAsia"/>
          <w:b/>
        </w:rPr>
        <w:t>5、肉鸡养殖场消毒方式</w:t>
      </w:r>
    </w:p>
    <w:p>
      <w:pPr>
        <w:pStyle w:val="57"/>
        <w:snapToGrid/>
        <w:spacing w:before="0" w:after="0" w:line="480" w:lineRule="exact"/>
        <w:ind w:firstLine="480"/>
      </w:pPr>
      <w:r>
        <w:rPr>
          <w:rFonts w:hint="eastAsia"/>
        </w:rPr>
        <w:t>为减少肉鸡受到各种细菌的感染，需要对以下几个方面进行消毒。</w:t>
      </w:r>
    </w:p>
    <w:p>
      <w:pPr>
        <w:pStyle w:val="57"/>
        <w:snapToGrid/>
        <w:spacing w:before="0" w:after="0" w:line="480" w:lineRule="exact"/>
        <w:ind w:firstLine="480"/>
      </w:pPr>
      <w:r>
        <w:rPr>
          <w:rFonts w:hint="eastAsia"/>
        </w:rPr>
        <w:t>（1）鸡舍消毒：肉鸡生长速度快，饲养周期短，一般年可饲养6批。如果上批肉鸡感染了细菌和病毒，无论发病与否，舍内都会残留病原体，这些病原体如果得不到彻底消灭，很容易导致下批鸡感染，所以消毒尤为重要。为给下一个饲养周期创造良好的环境，必须进行彻底的消毒。同时，在鸡群转群、销售、淘汰完毕后，鸡舍成为空舍，这时鸡舍中能彻底消毒，消灭上批养鸡过程中蓄积的细菌、病毒、球虫卵囊等一切病原体的唯一有利时机。消毒方式为鸡舍冲洗干净后，将消毒液喷洒鸡舍内。</w:t>
      </w:r>
    </w:p>
    <w:p>
      <w:pPr>
        <w:pStyle w:val="57"/>
        <w:snapToGrid/>
        <w:spacing w:before="0" w:after="0" w:line="480" w:lineRule="exact"/>
        <w:ind w:firstLine="480"/>
      </w:pPr>
      <w:r>
        <w:rPr>
          <w:rFonts w:hint="eastAsia"/>
        </w:rPr>
        <w:t>（2）鸡的消毒防疫：用活动喷雾装置对鸡体进行喷雾消毒，既能直接杀灭隐藏于鸡舍内环境包括空气在内的病原微生物，又能直接杀灭鸡体表、呼吸道浅表滞留的微生物。</w:t>
      </w:r>
    </w:p>
    <w:p>
      <w:pPr>
        <w:pStyle w:val="57"/>
        <w:snapToGrid/>
        <w:spacing w:before="0" w:after="0" w:line="480" w:lineRule="exact"/>
        <w:ind w:firstLine="480"/>
      </w:pPr>
      <w:r>
        <w:rPr>
          <w:rFonts w:hint="eastAsia"/>
        </w:rPr>
        <w:t>（3）鸡舍器具消毒：鸡饲糟、饮水器及其他用具需定期进行清洗消毒。</w:t>
      </w:r>
    </w:p>
    <w:p>
      <w:pPr>
        <w:pStyle w:val="57"/>
        <w:snapToGrid/>
        <w:spacing w:before="0" w:after="0" w:line="480" w:lineRule="exact"/>
        <w:ind w:firstLine="480"/>
      </w:pPr>
      <w:r>
        <w:rPr>
          <w:rFonts w:hint="eastAsia"/>
        </w:rPr>
        <w:t>（4）工作人员消毒：工作人员进入鸡舍前需进入消毒间内进行喷雾消毒。</w:t>
      </w:r>
    </w:p>
    <w:p>
      <w:pPr>
        <w:pStyle w:val="57"/>
        <w:snapToGrid/>
        <w:spacing w:before="0" w:after="0" w:line="480" w:lineRule="exact"/>
        <w:ind w:firstLine="480"/>
      </w:pPr>
      <w:r>
        <w:rPr>
          <w:rFonts w:hint="eastAsia"/>
        </w:rPr>
        <w:t>（5）进出车辆消毒：采用消毒水池的方式对进出厂区的车辆消毒。</w:t>
      </w:r>
    </w:p>
    <w:p>
      <w:pPr>
        <w:pStyle w:val="57"/>
        <w:snapToGrid/>
        <w:spacing w:before="0" w:after="0" w:line="480" w:lineRule="exact"/>
        <w:ind w:firstLine="480"/>
      </w:pPr>
      <w:r>
        <w:rPr>
          <w:rFonts w:hint="eastAsia"/>
        </w:rPr>
        <w:t>木工程主要采用</w:t>
      </w:r>
      <w:r>
        <w:rPr>
          <w:rFonts w:hint="eastAsia"/>
          <w:bCs/>
        </w:rPr>
        <w:t>新结尔灭、过氧乙酸、百毒杀等消毒药剂</w:t>
      </w:r>
      <w:r>
        <w:rPr>
          <w:rFonts w:hint="eastAsia"/>
        </w:rPr>
        <w:t>，可防止产生氯代有机物及其它的二次污染物，能够满足《畜禽养殖业污染防治技术规范》（H</w:t>
      </w:r>
      <w:r>
        <w:t>J/T80-2001</w:t>
      </w:r>
      <w:r>
        <w:rPr>
          <w:rFonts w:hint="eastAsia"/>
        </w:rPr>
        <w:t>）要求。</w:t>
      </w:r>
    </w:p>
    <w:p>
      <w:pPr>
        <w:pStyle w:val="57"/>
        <w:snapToGrid/>
        <w:spacing w:before="0" w:after="0" w:line="480" w:lineRule="exact"/>
        <w:ind w:firstLine="0" w:firstLineChars="0"/>
        <w:rPr>
          <w:b/>
        </w:rPr>
      </w:pPr>
      <w:r>
        <w:rPr>
          <w:rFonts w:hint="eastAsia"/>
          <w:b/>
        </w:rPr>
        <w:t>6、肉鸡养殖场病死鸡尸体处理与处置</w:t>
      </w:r>
    </w:p>
    <w:p>
      <w:pPr>
        <w:pStyle w:val="57"/>
        <w:snapToGrid/>
        <w:spacing w:before="0" w:after="0" w:line="480" w:lineRule="exact"/>
        <w:ind w:firstLine="480"/>
      </w:pPr>
      <w:r>
        <w:rPr>
          <w:rFonts w:hint="eastAsia"/>
        </w:rPr>
        <w:t>根据《畜禽养殖业污染防治技术规范》（HJ/</w:t>
      </w:r>
      <w:r>
        <w:t>T</w:t>
      </w:r>
      <w:r>
        <w:rPr>
          <w:rFonts w:hint="eastAsia"/>
        </w:rPr>
        <w:t>81-2001）的相关规定，企业对病死鸡尸体应及时处理，不得随意丢弃，不得出售或作为饲料再利用。根据《病死及病害动物无害化处理技术规范》（农医发[2017]25号）、《病害动物和病害动物产品生物安全处理规程》（GBl6548-2006），病死鸡尸体处理应采用焚烧、安全填埋或无害化处理等方式处置，本项目采用安全填埋的方式处置。</w:t>
      </w:r>
    </w:p>
    <w:p>
      <w:pPr>
        <w:pStyle w:val="57"/>
        <w:snapToGrid/>
        <w:spacing w:before="0" w:after="0" w:line="480" w:lineRule="exact"/>
        <w:ind w:firstLine="480"/>
      </w:pPr>
      <w:r>
        <w:rPr>
          <w:rFonts w:hint="eastAsia"/>
        </w:rPr>
        <w:t>肉鸡养殖</w:t>
      </w:r>
      <w:r>
        <w:t>工艺流程图及产污环节图见图3.2-1。</w:t>
      </w:r>
    </w:p>
    <w:p>
      <w:pPr>
        <w:pStyle w:val="57"/>
        <w:snapToGrid/>
        <w:spacing w:before="0" w:after="0" w:line="240" w:lineRule="auto"/>
        <w:ind w:firstLine="0" w:firstLineChars="0"/>
        <w:jc w:val="center"/>
      </w:pPr>
      <w:r>
        <w:object>
          <v:shape id="_x0000_i1025" o:spt="75" type="#_x0000_t75" style="height:346.5pt;width:436.5pt;" o:ole="t" filled="f" coordsize="21600,21600">
            <v:path/>
            <v:fill on="f" focussize="0,0"/>
            <v:stroke/>
            <v:imagedata r:id="rId20" o:title=""/>
            <o:lock v:ext="edit" aspectratio="t"/>
            <w10:wrap type="none"/>
            <w10:anchorlock/>
          </v:shape>
          <o:OLEObject Type="Embed" ProgID="Visio.Drawing.11" ShapeID="_x0000_i1025" DrawAspect="Content" ObjectID="_1468075725" r:id="rId19">
            <o:LockedField>false</o:LockedField>
          </o:OLEObject>
        </w:object>
      </w:r>
    </w:p>
    <w:p>
      <w:pPr>
        <w:pStyle w:val="57"/>
        <w:snapToGrid/>
        <w:spacing w:before="0" w:after="0" w:line="240" w:lineRule="auto"/>
        <w:ind w:firstLine="0" w:firstLineChars="0"/>
        <w:jc w:val="center"/>
        <w:rPr>
          <w:rFonts w:ascii="黑体" w:hAnsi="黑体" w:eastAsia="黑体"/>
        </w:rPr>
      </w:pPr>
      <w:r>
        <w:rPr>
          <w:rFonts w:hint="eastAsia" w:ascii="黑体" w:hAnsi="黑体" w:eastAsia="黑体"/>
        </w:rPr>
        <w:t>图3</w:t>
      </w:r>
      <w:r>
        <w:rPr>
          <w:rFonts w:ascii="黑体" w:hAnsi="黑体" w:eastAsia="黑体"/>
        </w:rPr>
        <w:t xml:space="preserve">.2-1  </w:t>
      </w:r>
      <w:r>
        <w:rPr>
          <w:rFonts w:hint="eastAsia" w:ascii="黑体" w:hAnsi="黑体" w:eastAsia="黑体"/>
        </w:rPr>
        <w:t>工艺流程及产排污示意图</w:t>
      </w:r>
    </w:p>
    <w:p>
      <w:pPr>
        <w:pStyle w:val="57"/>
        <w:keepNext/>
        <w:keepLines/>
        <w:spacing w:before="0" w:after="0" w:line="480" w:lineRule="exact"/>
        <w:ind w:firstLine="0" w:firstLineChars="0"/>
        <w:outlineLvl w:val="2"/>
        <w:rPr>
          <w:b/>
        </w:rPr>
      </w:pPr>
      <w:r>
        <w:rPr>
          <w:rFonts w:hint="eastAsia"/>
          <w:b/>
        </w:rPr>
        <w:t>3.</w:t>
      </w:r>
      <w:r>
        <w:rPr>
          <w:b/>
        </w:rPr>
        <w:t>2.2</w:t>
      </w:r>
      <w:r>
        <w:rPr>
          <w:rFonts w:hint="eastAsia"/>
          <w:b/>
        </w:rPr>
        <w:t>产排污环节</w:t>
      </w:r>
    </w:p>
    <w:p>
      <w:pPr>
        <w:pStyle w:val="57"/>
        <w:snapToGrid/>
        <w:spacing w:before="0" w:after="0" w:line="480" w:lineRule="exact"/>
        <w:ind w:firstLine="480"/>
        <w:rPr>
          <w:rFonts w:cs="宋体"/>
          <w:color w:val="000000"/>
          <w:szCs w:val="22"/>
        </w:rPr>
      </w:pPr>
      <w:r>
        <w:rPr>
          <w:rFonts w:hint="eastAsia" w:cs="宋体"/>
          <w:color w:val="000000"/>
          <w:szCs w:val="22"/>
        </w:rPr>
        <w:t>本项目主要的产排污节点见表3</w:t>
      </w:r>
      <w:r>
        <w:rPr>
          <w:rFonts w:cs="宋体"/>
          <w:color w:val="000000"/>
          <w:szCs w:val="22"/>
        </w:rPr>
        <w:t>.</w:t>
      </w:r>
      <w:r>
        <w:rPr>
          <w:rFonts w:hint="eastAsia" w:cs="宋体"/>
          <w:color w:val="000000"/>
          <w:szCs w:val="22"/>
        </w:rPr>
        <w:t>2</w:t>
      </w:r>
      <w:r>
        <w:rPr>
          <w:rFonts w:cs="宋体"/>
          <w:color w:val="000000"/>
          <w:szCs w:val="22"/>
        </w:rPr>
        <w:t>-1</w:t>
      </w:r>
      <w:r>
        <w:rPr>
          <w:rFonts w:hint="eastAsia" w:cs="宋体"/>
          <w:color w:val="000000"/>
          <w:szCs w:val="22"/>
        </w:rPr>
        <w:t>。</w:t>
      </w:r>
    </w:p>
    <w:p>
      <w:pPr>
        <w:spacing w:line="480" w:lineRule="exact"/>
        <w:jc w:val="center"/>
        <w:rPr>
          <w:rFonts w:ascii="黑体" w:hAnsi="黑体" w:eastAsia="黑体" w:cs="宋体"/>
          <w:sz w:val="24"/>
          <w:szCs w:val="24"/>
        </w:rPr>
      </w:pPr>
      <w:r>
        <w:rPr>
          <w:rFonts w:hint="eastAsia" w:ascii="黑体" w:hAnsi="黑体" w:eastAsia="黑体" w:cs="宋体"/>
          <w:sz w:val="24"/>
          <w:szCs w:val="24"/>
        </w:rPr>
        <w:t>表</w:t>
      </w:r>
      <w:r>
        <w:rPr>
          <w:rFonts w:ascii="黑体" w:hAnsi="黑体" w:eastAsia="黑体"/>
          <w:sz w:val="24"/>
          <w:szCs w:val="24"/>
        </w:rPr>
        <w:t>3.</w:t>
      </w:r>
      <w:r>
        <w:rPr>
          <w:rFonts w:hint="eastAsia" w:ascii="黑体" w:hAnsi="黑体" w:eastAsia="黑体"/>
          <w:sz w:val="24"/>
          <w:szCs w:val="24"/>
        </w:rPr>
        <w:t>2</w:t>
      </w:r>
      <w:r>
        <w:rPr>
          <w:rFonts w:ascii="黑体" w:hAnsi="黑体" w:eastAsia="黑体"/>
          <w:sz w:val="24"/>
          <w:szCs w:val="24"/>
        </w:rPr>
        <w:t xml:space="preserve">-1  </w:t>
      </w:r>
      <w:r>
        <w:rPr>
          <w:rFonts w:hint="eastAsia" w:ascii="黑体" w:hAnsi="黑体" w:eastAsia="黑体" w:cs="宋体"/>
          <w:sz w:val="24"/>
          <w:szCs w:val="24"/>
        </w:rPr>
        <w:t>建设项目生产工艺的具体排污节点情况汇总</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38"/>
        <w:gridCol w:w="866"/>
        <w:gridCol w:w="1578"/>
        <w:gridCol w:w="2582"/>
        <w:gridCol w:w="34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75" w:type="pct"/>
            <w:gridSpan w:val="2"/>
            <w:vAlign w:val="center"/>
          </w:tcPr>
          <w:p>
            <w:pPr>
              <w:jc w:val="center"/>
              <w:rPr>
                <w:szCs w:val="21"/>
              </w:rPr>
            </w:pPr>
            <w:r>
              <w:rPr>
                <w:rFonts w:hint="eastAsia"/>
                <w:szCs w:val="21"/>
              </w:rPr>
              <w:t>污染源分类</w:t>
            </w:r>
          </w:p>
        </w:tc>
        <w:tc>
          <w:tcPr>
            <w:tcW w:w="2296" w:type="pct"/>
            <w:gridSpan w:val="2"/>
            <w:vAlign w:val="center"/>
          </w:tcPr>
          <w:p>
            <w:pPr>
              <w:jc w:val="center"/>
              <w:rPr>
                <w:szCs w:val="21"/>
              </w:rPr>
            </w:pPr>
            <w:r>
              <w:rPr>
                <w:szCs w:val="21"/>
              </w:rPr>
              <w:t>污染源</w:t>
            </w:r>
          </w:p>
        </w:tc>
        <w:tc>
          <w:tcPr>
            <w:tcW w:w="1929" w:type="pct"/>
            <w:vAlign w:val="center"/>
          </w:tcPr>
          <w:p>
            <w:pPr>
              <w:jc w:val="center"/>
              <w:rPr>
                <w:szCs w:val="21"/>
              </w:rPr>
            </w:pPr>
            <w:r>
              <w:rPr>
                <w:szCs w:val="21"/>
              </w:rPr>
              <w:t>主要污染因子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restart"/>
            <w:vAlign w:val="center"/>
          </w:tcPr>
          <w:p>
            <w:pPr>
              <w:jc w:val="center"/>
              <w:rPr>
                <w:szCs w:val="21"/>
              </w:rPr>
            </w:pPr>
            <w:r>
              <w:rPr>
                <w:rFonts w:hint="eastAsia"/>
              </w:rPr>
              <w:t>运营</w:t>
            </w:r>
            <w:r>
              <w:t>期污染源</w:t>
            </w:r>
          </w:p>
        </w:tc>
        <w:tc>
          <w:tcPr>
            <w:tcW w:w="478" w:type="pct"/>
            <w:vMerge w:val="restart"/>
            <w:vAlign w:val="center"/>
          </w:tcPr>
          <w:p>
            <w:pPr>
              <w:jc w:val="center"/>
              <w:rPr>
                <w:szCs w:val="21"/>
              </w:rPr>
            </w:pPr>
            <w:r>
              <w:t>大气污染源</w:t>
            </w:r>
          </w:p>
        </w:tc>
        <w:tc>
          <w:tcPr>
            <w:tcW w:w="2296" w:type="pct"/>
            <w:gridSpan w:val="2"/>
            <w:vAlign w:val="center"/>
          </w:tcPr>
          <w:p>
            <w:pPr>
              <w:jc w:val="center"/>
              <w:rPr>
                <w:szCs w:val="21"/>
              </w:rPr>
            </w:pPr>
            <w:r>
              <w:rPr>
                <w:rFonts w:hint="eastAsia"/>
                <w:szCs w:val="21"/>
              </w:rPr>
              <w:t>鸡舍、污水处理站、发酵罐、</w:t>
            </w:r>
            <w:r>
              <w:rPr>
                <w:rFonts w:hint="eastAsia" w:hAnsi="宋体"/>
                <w:bCs/>
                <w:kern w:val="0"/>
                <w:szCs w:val="21"/>
              </w:rPr>
              <w:t>临时储粪房</w:t>
            </w:r>
          </w:p>
        </w:tc>
        <w:tc>
          <w:tcPr>
            <w:tcW w:w="1929" w:type="pct"/>
            <w:vAlign w:val="center"/>
          </w:tcPr>
          <w:p>
            <w:pPr>
              <w:jc w:val="center"/>
              <w:rPr>
                <w:szCs w:val="21"/>
              </w:rPr>
            </w:pPr>
            <w:r>
              <w:rPr>
                <w:rFonts w:hint="eastAsia"/>
                <w:szCs w:val="21"/>
              </w:rPr>
              <w:t>N</w:t>
            </w:r>
            <w:r>
              <w:rPr>
                <w:szCs w:val="21"/>
              </w:rPr>
              <w:t>H</w:t>
            </w:r>
            <w:r>
              <w:rPr>
                <w:szCs w:val="21"/>
                <w:vertAlign w:val="subscript"/>
              </w:rPr>
              <w:t>3</w:t>
            </w:r>
            <w:r>
              <w:rPr>
                <w:rFonts w:hint="eastAsia"/>
                <w:szCs w:val="21"/>
              </w:rPr>
              <w:t>、H</w:t>
            </w:r>
            <w:r>
              <w:rPr>
                <w:szCs w:val="21"/>
                <w:vertAlign w:val="subscript"/>
              </w:rPr>
              <w:t>2</w:t>
            </w:r>
            <w:r>
              <w:rPr>
                <w:szCs w:val="21"/>
              </w:rPr>
              <w:t>S</w:t>
            </w:r>
            <w:r>
              <w:rPr>
                <w:rFonts w:hint="eastAsia"/>
                <w:szCs w:val="21"/>
              </w:rPr>
              <w:t>、臭气浓度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jc w:val="center"/>
            </w:pPr>
          </w:p>
        </w:tc>
        <w:tc>
          <w:tcPr>
            <w:tcW w:w="478" w:type="pct"/>
            <w:vMerge w:val="continue"/>
            <w:vAlign w:val="center"/>
          </w:tcPr>
          <w:p>
            <w:pPr>
              <w:jc w:val="center"/>
            </w:pPr>
          </w:p>
        </w:tc>
        <w:tc>
          <w:tcPr>
            <w:tcW w:w="871" w:type="pct"/>
            <w:tcBorders>
              <w:bottom w:val="single" w:color="auto" w:sz="4" w:space="0"/>
            </w:tcBorders>
            <w:vAlign w:val="center"/>
          </w:tcPr>
          <w:p>
            <w:pPr>
              <w:jc w:val="center"/>
              <w:rPr>
                <w:szCs w:val="21"/>
              </w:rPr>
            </w:pPr>
            <w:r>
              <w:rPr>
                <w:rFonts w:hint="eastAsia"/>
                <w:szCs w:val="21"/>
              </w:rPr>
              <w:t>锅炉房</w:t>
            </w:r>
          </w:p>
        </w:tc>
        <w:tc>
          <w:tcPr>
            <w:tcW w:w="1425" w:type="pct"/>
            <w:tcBorders>
              <w:bottom w:val="single" w:color="auto" w:sz="4" w:space="0"/>
            </w:tcBorders>
            <w:vAlign w:val="center"/>
          </w:tcPr>
          <w:p>
            <w:pPr>
              <w:jc w:val="center"/>
              <w:rPr>
                <w:szCs w:val="21"/>
              </w:rPr>
            </w:pPr>
            <w:r>
              <w:rPr>
                <w:rFonts w:hint="eastAsia"/>
                <w:szCs w:val="21"/>
              </w:rPr>
              <w:t>燃液化天然气热水锅炉</w:t>
            </w:r>
          </w:p>
        </w:tc>
        <w:tc>
          <w:tcPr>
            <w:tcW w:w="1929" w:type="pct"/>
            <w:vAlign w:val="center"/>
          </w:tcPr>
          <w:p>
            <w:pPr>
              <w:jc w:val="center"/>
              <w:rPr>
                <w:szCs w:val="21"/>
              </w:rPr>
            </w:pPr>
            <w:r>
              <w:rPr>
                <w:szCs w:val="21"/>
              </w:rPr>
              <w:t>SO</w:t>
            </w:r>
            <w:r>
              <w:rPr>
                <w:szCs w:val="21"/>
                <w:vertAlign w:val="subscript"/>
              </w:rPr>
              <w:t>2</w:t>
            </w:r>
            <w:r>
              <w:rPr>
                <w:rFonts w:hint="eastAsia"/>
                <w:szCs w:val="21"/>
              </w:rPr>
              <w:t>、N</w:t>
            </w:r>
            <w:r>
              <w:rPr>
                <w:szCs w:val="21"/>
              </w:rPr>
              <w:t>O</w:t>
            </w:r>
            <w:r>
              <w:rPr>
                <w:szCs w:val="21"/>
                <w:vertAlign w:val="subscript"/>
              </w:rPr>
              <w:t>x</w:t>
            </w:r>
            <w:r>
              <w:rPr>
                <w:rFonts w:hint="eastAsia"/>
                <w:szCs w:val="21"/>
              </w:rPr>
              <w:t>、烟尘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rPr>
                <w:sz w:val="21"/>
                <w:szCs w:val="21"/>
              </w:rPr>
            </w:pPr>
          </w:p>
        </w:tc>
        <w:tc>
          <w:tcPr>
            <w:tcW w:w="478" w:type="pct"/>
            <w:vMerge w:val="restart"/>
            <w:vAlign w:val="center"/>
          </w:tcPr>
          <w:p>
            <w:pPr>
              <w:pStyle w:val="89"/>
              <w:rPr>
                <w:sz w:val="21"/>
                <w:szCs w:val="21"/>
              </w:rPr>
            </w:pPr>
            <w:r>
              <w:rPr>
                <w:sz w:val="21"/>
                <w:szCs w:val="21"/>
              </w:rPr>
              <w:t>水</w:t>
            </w:r>
          </w:p>
          <w:p>
            <w:pPr>
              <w:pStyle w:val="89"/>
              <w:rPr>
                <w:sz w:val="21"/>
                <w:szCs w:val="21"/>
              </w:rPr>
            </w:pPr>
            <w:r>
              <w:rPr>
                <w:sz w:val="21"/>
                <w:szCs w:val="21"/>
              </w:rPr>
              <w:t>污染源</w:t>
            </w:r>
          </w:p>
        </w:tc>
        <w:tc>
          <w:tcPr>
            <w:tcW w:w="2296" w:type="pct"/>
            <w:gridSpan w:val="2"/>
            <w:vAlign w:val="center"/>
          </w:tcPr>
          <w:p>
            <w:pPr>
              <w:jc w:val="center"/>
              <w:rPr>
                <w:szCs w:val="21"/>
              </w:rPr>
            </w:pPr>
            <w:r>
              <w:rPr>
                <w:rFonts w:hint="eastAsia"/>
                <w:szCs w:val="21"/>
              </w:rPr>
              <w:t>设备和鸡舍冲洗废水</w:t>
            </w:r>
          </w:p>
        </w:tc>
        <w:tc>
          <w:tcPr>
            <w:tcW w:w="1929" w:type="pct"/>
            <w:vAlign w:val="center"/>
          </w:tcPr>
          <w:p>
            <w:pPr>
              <w:jc w:val="center"/>
              <w:rPr>
                <w:szCs w:val="21"/>
              </w:rPr>
            </w:pPr>
            <w:r>
              <w:rPr>
                <w:rFonts w:hint="eastAsia"/>
                <w:szCs w:val="21"/>
              </w:rPr>
              <w:t>C</w:t>
            </w:r>
            <w:r>
              <w:rPr>
                <w:szCs w:val="21"/>
              </w:rPr>
              <w:t>OD</w:t>
            </w:r>
            <w:r>
              <w:rPr>
                <w:rFonts w:hint="eastAsia"/>
                <w:szCs w:val="21"/>
              </w:rPr>
              <w:t>、氨氮、T</w:t>
            </w:r>
            <w:r>
              <w:rPr>
                <w:szCs w:val="21"/>
              </w:rPr>
              <w:t>N</w:t>
            </w:r>
            <w:r>
              <w:rPr>
                <w:rFonts w:hint="eastAsia"/>
                <w:szCs w:val="21"/>
              </w:rPr>
              <w:t>、T</w:t>
            </w:r>
            <w:r>
              <w:rPr>
                <w:szCs w:val="21"/>
              </w:rPr>
              <w:t>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rPr>
                <w:sz w:val="21"/>
                <w:szCs w:val="21"/>
              </w:rPr>
            </w:pPr>
          </w:p>
        </w:tc>
        <w:tc>
          <w:tcPr>
            <w:tcW w:w="478" w:type="pct"/>
            <w:vMerge w:val="continue"/>
            <w:vAlign w:val="center"/>
          </w:tcPr>
          <w:p>
            <w:pPr>
              <w:pStyle w:val="89"/>
              <w:rPr>
                <w:sz w:val="21"/>
                <w:szCs w:val="21"/>
              </w:rPr>
            </w:pPr>
          </w:p>
        </w:tc>
        <w:tc>
          <w:tcPr>
            <w:tcW w:w="2296" w:type="pct"/>
            <w:gridSpan w:val="2"/>
            <w:vAlign w:val="center"/>
          </w:tcPr>
          <w:p>
            <w:pPr>
              <w:jc w:val="center"/>
              <w:rPr>
                <w:szCs w:val="21"/>
              </w:rPr>
            </w:pPr>
            <w:r>
              <w:rPr>
                <w:rFonts w:hint="eastAsia"/>
                <w:szCs w:val="21"/>
              </w:rPr>
              <w:t>锅炉定排水、软水系统排水</w:t>
            </w:r>
          </w:p>
        </w:tc>
        <w:tc>
          <w:tcPr>
            <w:tcW w:w="1929" w:type="pct"/>
            <w:vAlign w:val="center"/>
          </w:tcPr>
          <w:p>
            <w:pPr>
              <w:jc w:val="center"/>
              <w:rPr>
                <w:szCs w:val="21"/>
              </w:rPr>
            </w:pPr>
            <w:r>
              <w:rPr>
                <w:rFonts w:hint="eastAsia"/>
                <w:szCs w:val="21"/>
              </w:rPr>
              <w:t>COD、SS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rPr>
                <w:sz w:val="21"/>
                <w:szCs w:val="21"/>
              </w:rPr>
            </w:pPr>
          </w:p>
        </w:tc>
        <w:tc>
          <w:tcPr>
            <w:tcW w:w="478" w:type="pct"/>
            <w:vMerge w:val="continue"/>
            <w:vAlign w:val="center"/>
          </w:tcPr>
          <w:p>
            <w:pPr>
              <w:pStyle w:val="89"/>
              <w:rPr>
                <w:sz w:val="21"/>
                <w:szCs w:val="21"/>
              </w:rPr>
            </w:pPr>
          </w:p>
        </w:tc>
        <w:tc>
          <w:tcPr>
            <w:tcW w:w="2296" w:type="pct"/>
            <w:gridSpan w:val="2"/>
            <w:vAlign w:val="center"/>
          </w:tcPr>
          <w:p>
            <w:pPr>
              <w:jc w:val="center"/>
              <w:rPr>
                <w:szCs w:val="21"/>
              </w:rPr>
            </w:pPr>
            <w:r>
              <w:rPr>
                <w:rFonts w:hint="eastAsia"/>
                <w:szCs w:val="21"/>
              </w:rPr>
              <w:t>办公、生活废水</w:t>
            </w:r>
          </w:p>
        </w:tc>
        <w:tc>
          <w:tcPr>
            <w:tcW w:w="1929" w:type="pct"/>
            <w:vAlign w:val="center"/>
          </w:tcPr>
          <w:p>
            <w:pPr>
              <w:jc w:val="center"/>
              <w:rPr>
                <w:szCs w:val="21"/>
              </w:rPr>
            </w:pPr>
            <w:r>
              <w:rPr>
                <w:rFonts w:hint="eastAsia"/>
                <w:szCs w:val="21"/>
              </w:rPr>
              <w:t>C</w:t>
            </w:r>
            <w:r>
              <w:rPr>
                <w:szCs w:val="21"/>
              </w:rPr>
              <w:t>OD</w:t>
            </w:r>
            <w:r>
              <w:rPr>
                <w:rFonts w:hint="eastAsia"/>
                <w:szCs w:val="21"/>
              </w:rPr>
              <w:t>、B</w:t>
            </w:r>
            <w:r>
              <w:rPr>
                <w:szCs w:val="21"/>
              </w:rPr>
              <w:t>OD</w:t>
            </w:r>
            <w:r>
              <w:rPr>
                <w:rFonts w:hint="eastAsia"/>
                <w:szCs w:val="21"/>
              </w:rPr>
              <w:t>、S</w:t>
            </w:r>
            <w:r>
              <w:rPr>
                <w:szCs w:val="21"/>
              </w:rPr>
              <w:t>S</w:t>
            </w:r>
            <w:r>
              <w:rPr>
                <w:rFonts w:hint="eastAsia"/>
                <w:szCs w:val="21"/>
              </w:rPr>
              <w:t>、氨氮、动植物油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snapToGrid/>
              <w:rPr>
                <w:sz w:val="21"/>
                <w:szCs w:val="21"/>
              </w:rPr>
            </w:pPr>
          </w:p>
        </w:tc>
        <w:tc>
          <w:tcPr>
            <w:tcW w:w="478" w:type="pct"/>
            <w:vMerge w:val="restart"/>
            <w:vAlign w:val="center"/>
          </w:tcPr>
          <w:p>
            <w:pPr>
              <w:pStyle w:val="89"/>
              <w:rPr>
                <w:sz w:val="21"/>
                <w:szCs w:val="21"/>
              </w:rPr>
            </w:pPr>
            <w:r>
              <w:rPr>
                <w:sz w:val="21"/>
                <w:szCs w:val="21"/>
              </w:rPr>
              <w:t>固体</w:t>
            </w:r>
          </w:p>
          <w:p>
            <w:pPr>
              <w:pStyle w:val="89"/>
              <w:rPr>
                <w:sz w:val="21"/>
                <w:szCs w:val="21"/>
              </w:rPr>
            </w:pPr>
            <w:r>
              <w:rPr>
                <w:rFonts w:hint="eastAsia"/>
                <w:sz w:val="21"/>
                <w:szCs w:val="21"/>
              </w:rPr>
              <w:t>废物源</w:t>
            </w:r>
          </w:p>
        </w:tc>
        <w:tc>
          <w:tcPr>
            <w:tcW w:w="871" w:type="pct"/>
            <w:vMerge w:val="restart"/>
            <w:vAlign w:val="center"/>
          </w:tcPr>
          <w:p>
            <w:pPr>
              <w:jc w:val="center"/>
              <w:rPr>
                <w:szCs w:val="21"/>
              </w:rPr>
            </w:pPr>
            <w:r>
              <w:rPr>
                <w:rFonts w:hint="eastAsia"/>
                <w:szCs w:val="21"/>
              </w:rPr>
              <w:t>鸡舍</w:t>
            </w:r>
          </w:p>
        </w:tc>
        <w:tc>
          <w:tcPr>
            <w:tcW w:w="1425" w:type="pct"/>
            <w:vAlign w:val="center"/>
          </w:tcPr>
          <w:p>
            <w:pPr>
              <w:jc w:val="center"/>
              <w:rPr>
                <w:szCs w:val="21"/>
              </w:rPr>
            </w:pPr>
            <w:r>
              <w:rPr>
                <w:rFonts w:hint="eastAsia"/>
                <w:szCs w:val="21"/>
              </w:rPr>
              <w:t>干清鸡粪</w:t>
            </w:r>
          </w:p>
        </w:tc>
        <w:tc>
          <w:tcPr>
            <w:tcW w:w="1929" w:type="pct"/>
            <w:vAlign w:val="center"/>
          </w:tcPr>
          <w:p>
            <w:pPr>
              <w:jc w:val="center"/>
              <w:rPr>
                <w:szCs w:val="21"/>
              </w:rPr>
            </w:pPr>
            <w:r>
              <w:rPr>
                <w:rFonts w:hint="eastAsia"/>
                <w:szCs w:val="21"/>
              </w:rPr>
              <w:t>一般固废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snapToGrid/>
              <w:rPr>
                <w:sz w:val="21"/>
                <w:szCs w:val="21"/>
              </w:rPr>
            </w:pPr>
          </w:p>
        </w:tc>
        <w:tc>
          <w:tcPr>
            <w:tcW w:w="478" w:type="pct"/>
            <w:vMerge w:val="continue"/>
            <w:vAlign w:val="center"/>
          </w:tcPr>
          <w:p>
            <w:pPr>
              <w:pStyle w:val="89"/>
              <w:rPr>
                <w:sz w:val="21"/>
                <w:szCs w:val="21"/>
              </w:rPr>
            </w:pPr>
          </w:p>
        </w:tc>
        <w:tc>
          <w:tcPr>
            <w:tcW w:w="871" w:type="pct"/>
            <w:vMerge w:val="continue"/>
            <w:vAlign w:val="center"/>
          </w:tcPr>
          <w:p>
            <w:pPr>
              <w:jc w:val="center"/>
              <w:rPr>
                <w:szCs w:val="21"/>
              </w:rPr>
            </w:pPr>
          </w:p>
        </w:tc>
        <w:tc>
          <w:tcPr>
            <w:tcW w:w="1425" w:type="pct"/>
            <w:vAlign w:val="center"/>
          </w:tcPr>
          <w:p>
            <w:pPr>
              <w:jc w:val="center"/>
              <w:rPr>
                <w:szCs w:val="21"/>
              </w:rPr>
            </w:pPr>
            <w:r>
              <w:rPr>
                <w:rFonts w:hint="eastAsia"/>
                <w:szCs w:val="21"/>
              </w:rPr>
              <w:t>饲料残渣</w:t>
            </w:r>
          </w:p>
        </w:tc>
        <w:tc>
          <w:tcPr>
            <w:tcW w:w="1929" w:type="pct"/>
            <w:vAlign w:val="center"/>
          </w:tcPr>
          <w:p>
            <w:pPr>
              <w:jc w:val="center"/>
              <w:rPr>
                <w:szCs w:val="21"/>
              </w:rPr>
            </w:pPr>
            <w:r>
              <w:rPr>
                <w:rFonts w:hint="eastAsia"/>
                <w:szCs w:val="21"/>
              </w:rPr>
              <w:t>一般固废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snapToGrid/>
              <w:rPr>
                <w:sz w:val="21"/>
                <w:szCs w:val="21"/>
              </w:rPr>
            </w:pPr>
          </w:p>
        </w:tc>
        <w:tc>
          <w:tcPr>
            <w:tcW w:w="478" w:type="pct"/>
            <w:vMerge w:val="continue"/>
            <w:vAlign w:val="center"/>
          </w:tcPr>
          <w:p>
            <w:pPr>
              <w:pStyle w:val="89"/>
              <w:rPr>
                <w:sz w:val="21"/>
                <w:szCs w:val="21"/>
              </w:rPr>
            </w:pPr>
          </w:p>
        </w:tc>
        <w:tc>
          <w:tcPr>
            <w:tcW w:w="871" w:type="pct"/>
            <w:vMerge w:val="continue"/>
            <w:vAlign w:val="center"/>
          </w:tcPr>
          <w:p>
            <w:pPr>
              <w:jc w:val="center"/>
              <w:rPr>
                <w:rFonts w:hAnsi="宋体"/>
                <w:bCs/>
                <w:szCs w:val="21"/>
              </w:rPr>
            </w:pPr>
          </w:p>
        </w:tc>
        <w:tc>
          <w:tcPr>
            <w:tcW w:w="1425" w:type="pct"/>
            <w:vAlign w:val="center"/>
          </w:tcPr>
          <w:p>
            <w:pPr>
              <w:jc w:val="center"/>
              <w:rPr>
                <w:rFonts w:hAnsi="宋体"/>
                <w:bCs/>
                <w:szCs w:val="21"/>
              </w:rPr>
            </w:pPr>
            <w:r>
              <w:rPr>
                <w:rFonts w:hint="eastAsia" w:hAnsi="宋体"/>
                <w:bCs/>
                <w:szCs w:val="21"/>
              </w:rPr>
              <w:t>病死鸡</w:t>
            </w:r>
          </w:p>
        </w:tc>
        <w:tc>
          <w:tcPr>
            <w:tcW w:w="1929" w:type="pct"/>
            <w:vAlign w:val="center"/>
          </w:tcPr>
          <w:p>
            <w:pPr>
              <w:jc w:val="center"/>
              <w:rPr>
                <w:rFonts w:hAnsi="宋体"/>
                <w:bCs/>
                <w:szCs w:val="21"/>
              </w:rPr>
            </w:pPr>
            <w:r>
              <w:rPr>
                <w:rFonts w:hint="eastAsia" w:hAnsi="宋体"/>
                <w:bCs/>
                <w:szCs w:val="21"/>
              </w:rPr>
              <w:t>一般固废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snapToGrid/>
              <w:rPr>
                <w:sz w:val="21"/>
                <w:szCs w:val="21"/>
              </w:rPr>
            </w:pPr>
          </w:p>
        </w:tc>
        <w:tc>
          <w:tcPr>
            <w:tcW w:w="478" w:type="pct"/>
            <w:vMerge w:val="continue"/>
            <w:vAlign w:val="center"/>
          </w:tcPr>
          <w:p>
            <w:pPr>
              <w:pStyle w:val="89"/>
              <w:rPr>
                <w:sz w:val="21"/>
                <w:szCs w:val="21"/>
              </w:rPr>
            </w:pPr>
          </w:p>
        </w:tc>
        <w:tc>
          <w:tcPr>
            <w:tcW w:w="871" w:type="pct"/>
            <w:vAlign w:val="center"/>
          </w:tcPr>
          <w:p>
            <w:pPr>
              <w:jc w:val="center"/>
              <w:rPr>
                <w:szCs w:val="21"/>
              </w:rPr>
            </w:pPr>
            <w:r>
              <w:rPr>
                <w:rFonts w:hint="eastAsia"/>
                <w:szCs w:val="21"/>
              </w:rPr>
              <w:t>污水处理站</w:t>
            </w:r>
          </w:p>
        </w:tc>
        <w:tc>
          <w:tcPr>
            <w:tcW w:w="1425" w:type="pct"/>
            <w:vAlign w:val="center"/>
          </w:tcPr>
          <w:p>
            <w:pPr>
              <w:jc w:val="center"/>
              <w:rPr>
                <w:szCs w:val="21"/>
              </w:rPr>
            </w:pPr>
            <w:r>
              <w:rPr>
                <w:rFonts w:hint="eastAsia"/>
                <w:szCs w:val="21"/>
              </w:rPr>
              <w:t>污泥</w:t>
            </w:r>
          </w:p>
        </w:tc>
        <w:tc>
          <w:tcPr>
            <w:tcW w:w="1929" w:type="pct"/>
            <w:vAlign w:val="center"/>
          </w:tcPr>
          <w:p>
            <w:pPr>
              <w:jc w:val="center"/>
              <w:rPr>
                <w:szCs w:val="21"/>
              </w:rPr>
            </w:pPr>
            <w:r>
              <w:rPr>
                <w:rFonts w:hint="eastAsia" w:hAnsi="宋体"/>
                <w:bCs/>
                <w:szCs w:val="21"/>
              </w:rPr>
              <w:t>一般固废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snapToGrid/>
              <w:rPr>
                <w:sz w:val="21"/>
                <w:szCs w:val="21"/>
              </w:rPr>
            </w:pPr>
          </w:p>
        </w:tc>
        <w:tc>
          <w:tcPr>
            <w:tcW w:w="478" w:type="pct"/>
            <w:vMerge w:val="continue"/>
            <w:vAlign w:val="center"/>
          </w:tcPr>
          <w:p>
            <w:pPr>
              <w:pStyle w:val="89"/>
              <w:rPr>
                <w:sz w:val="21"/>
                <w:szCs w:val="21"/>
              </w:rPr>
            </w:pPr>
          </w:p>
        </w:tc>
        <w:tc>
          <w:tcPr>
            <w:tcW w:w="871" w:type="pct"/>
            <w:vAlign w:val="center"/>
          </w:tcPr>
          <w:p>
            <w:pPr>
              <w:jc w:val="center"/>
              <w:rPr>
                <w:szCs w:val="21"/>
              </w:rPr>
            </w:pPr>
            <w:r>
              <w:rPr>
                <w:rFonts w:hint="eastAsia"/>
                <w:szCs w:val="21"/>
              </w:rPr>
              <w:t>鸡舍</w:t>
            </w:r>
          </w:p>
        </w:tc>
        <w:tc>
          <w:tcPr>
            <w:tcW w:w="1425" w:type="pct"/>
            <w:vAlign w:val="center"/>
          </w:tcPr>
          <w:p>
            <w:pPr>
              <w:jc w:val="center"/>
              <w:rPr>
                <w:szCs w:val="21"/>
              </w:rPr>
            </w:pPr>
            <w:r>
              <w:rPr>
                <w:rFonts w:hint="eastAsia"/>
                <w:szCs w:val="21"/>
              </w:rPr>
              <w:t>诊治、防疫</w:t>
            </w:r>
          </w:p>
        </w:tc>
        <w:tc>
          <w:tcPr>
            <w:tcW w:w="1929" w:type="pct"/>
            <w:vAlign w:val="center"/>
          </w:tcPr>
          <w:p>
            <w:pPr>
              <w:jc w:val="center"/>
              <w:rPr>
                <w:szCs w:val="21"/>
              </w:rPr>
            </w:pPr>
            <w:r>
              <w:rPr>
                <w:rFonts w:hint="eastAsia"/>
                <w:szCs w:val="21"/>
              </w:rPr>
              <w:t>医疗废物、消毒废物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snapToGrid/>
              <w:rPr>
                <w:sz w:val="21"/>
                <w:szCs w:val="21"/>
              </w:rPr>
            </w:pPr>
          </w:p>
        </w:tc>
        <w:tc>
          <w:tcPr>
            <w:tcW w:w="478" w:type="pct"/>
            <w:vMerge w:val="continue"/>
            <w:vAlign w:val="center"/>
          </w:tcPr>
          <w:p>
            <w:pPr>
              <w:pStyle w:val="89"/>
              <w:rPr>
                <w:sz w:val="21"/>
                <w:szCs w:val="21"/>
              </w:rPr>
            </w:pPr>
          </w:p>
        </w:tc>
        <w:tc>
          <w:tcPr>
            <w:tcW w:w="871" w:type="pct"/>
            <w:vAlign w:val="center"/>
          </w:tcPr>
          <w:p>
            <w:pPr>
              <w:jc w:val="center"/>
              <w:rPr>
                <w:szCs w:val="21"/>
              </w:rPr>
            </w:pPr>
            <w:r>
              <w:rPr>
                <w:rFonts w:hint="eastAsia"/>
                <w:szCs w:val="21"/>
              </w:rPr>
              <w:t>饲养、防疫</w:t>
            </w:r>
          </w:p>
        </w:tc>
        <w:tc>
          <w:tcPr>
            <w:tcW w:w="1425" w:type="pct"/>
            <w:vAlign w:val="center"/>
          </w:tcPr>
          <w:p>
            <w:pPr>
              <w:jc w:val="center"/>
              <w:rPr>
                <w:szCs w:val="21"/>
              </w:rPr>
            </w:pPr>
            <w:r>
              <w:rPr>
                <w:rFonts w:hint="eastAsia"/>
                <w:szCs w:val="21"/>
              </w:rPr>
              <w:t>饲料包括、药品消毒剂外包装</w:t>
            </w:r>
          </w:p>
        </w:tc>
        <w:tc>
          <w:tcPr>
            <w:tcW w:w="1929" w:type="pct"/>
            <w:vAlign w:val="center"/>
          </w:tcPr>
          <w:p>
            <w:pPr>
              <w:jc w:val="center"/>
              <w:rPr>
                <w:szCs w:val="21"/>
              </w:rPr>
            </w:pPr>
            <w:r>
              <w:rPr>
                <w:rFonts w:hint="eastAsia" w:hAnsi="宋体"/>
                <w:bCs/>
                <w:szCs w:val="21"/>
              </w:rPr>
              <w:t>一般固废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snapToGrid/>
              <w:rPr>
                <w:sz w:val="21"/>
                <w:szCs w:val="21"/>
              </w:rPr>
            </w:pPr>
          </w:p>
        </w:tc>
        <w:tc>
          <w:tcPr>
            <w:tcW w:w="478" w:type="pct"/>
            <w:vMerge w:val="continue"/>
            <w:vAlign w:val="center"/>
          </w:tcPr>
          <w:p>
            <w:pPr>
              <w:pStyle w:val="89"/>
              <w:rPr>
                <w:sz w:val="21"/>
                <w:szCs w:val="21"/>
              </w:rPr>
            </w:pPr>
          </w:p>
        </w:tc>
        <w:tc>
          <w:tcPr>
            <w:tcW w:w="871" w:type="pct"/>
            <w:vAlign w:val="center"/>
          </w:tcPr>
          <w:p>
            <w:pPr>
              <w:jc w:val="center"/>
              <w:rPr>
                <w:szCs w:val="21"/>
              </w:rPr>
            </w:pPr>
            <w:r>
              <w:rPr>
                <w:rFonts w:hint="eastAsia"/>
                <w:szCs w:val="21"/>
              </w:rPr>
              <w:t>生活</w:t>
            </w:r>
          </w:p>
        </w:tc>
        <w:tc>
          <w:tcPr>
            <w:tcW w:w="1425" w:type="pct"/>
            <w:vAlign w:val="center"/>
          </w:tcPr>
          <w:p>
            <w:pPr>
              <w:jc w:val="center"/>
              <w:rPr>
                <w:szCs w:val="21"/>
              </w:rPr>
            </w:pPr>
            <w:r>
              <w:rPr>
                <w:rFonts w:hint="eastAsia"/>
                <w:szCs w:val="21"/>
              </w:rPr>
              <w:t>生活办公</w:t>
            </w:r>
          </w:p>
        </w:tc>
        <w:tc>
          <w:tcPr>
            <w:tcW w:w="1929" w:type="pct"/>
            <w:vAlign w:val="center"/>
          </w:tcPr>
          <w:p>
            <w:pPr>
              <w:jc w:val="center"/>
              <w:rPr>
                <w:szCs w:val="21"/>
              </w:rPr>
            </w:pPr>
            <w:r>
              <w:rPr>
                <w:rFonts w:hint="eastAsia"/>
                <w:szCs w:val="21"/>
              </w:rPr>
              <w:t>生活垃圾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snapToGrid/>
              <w:rPr>
                <w:sz w:val="21"/>
                <w:szCs w:val="21"/>
              </w:rPr>
            </w:pPr>
          </w:p>
        </w:tc>
        <w:tc>
          <w:tcPr>
            <w:tcW w:w="478" w:type="pct"/>
            <w:vMerge w:val="restart"/>
            <w:vAlign w:val="center"/>
          </w:tcPr>
          <w:p>
            <w:pPr>
              <w:pStyle w:val="89"/>
              <w:rPr>
                <w:sz w:val="21"/>
                <w:szCs w:val="21"/>
              </w:rPr>
            </w:pPr>
            <w:r>
              <w:rPr>
                <w:sz w:val="21"/>
                <w:szCs w:val="21"/>
              </w:rPr>
              <w:t>噪声</w:t>
            </w:r>
          </w:p>
          <w:p>
            <w:pPr>
              <w:pStyle w:val="89"/>
              <w:rPr>
                <w:sz w:val="21"/>
                <w:szCs w:val="21"/>
              </w:rPr>
            </w:pPr>
            <w:r>
              <w:rPr>
                <w:rFonts w:hint="eastAsia"/>
                <w:sz w:val="21"/>
                <w:szCs w:val="21"/>
              </w:rPr>
              <w:t>污染源</w:t>
            </w:r>
          </w:p>
        </w:tc>
        <w:tc>
          <w:tcPr>
            <w:tcW w:w="871" w:type="pct"/>
            <w:vAlign w:val="center"/>
          </w:tcPr>
          <w:p>
            <w:pPr>
              <w:jc w:val="center"/>
              <w:rPr>
                <w:szCs w:val="21"/>
              </w:rPr>
            </w:pPr>
            <w:r>
              <w:rPr>
                <w:szCs w:val="21"/>
              </w:rPr>
              <w:t>生产</w:t>
            </w:r>
          </w:p>
        </w:tc>
        <w:tc>
          <w:tcPr>
            <w:tcW w:w="1425" w:type="pct"/>
            <w:vAlign w:val="center"/>
          </w:tcPr>
          <w:p>
            <w:pPr>
              <w:jc w:val="center"/>
              <w:rPr>
                <w:szCs w:val="21"/>
              </w:rPr>
            </w:pPr>
            <w:r>
              <w:rPr>
                <w:rFonts w:hint="eastAsia"/>
                <w:szCs w:val="21"/>
              </w:rPr>
              <w:t>鸡叫声、排风扇、水泵等</w:t>
            </w:r>
          </w:p>
        </w:tc>
        <w:tc>
          <w:tcPr>
            <w:tcW w:w="1929" w:type="pct"/>
            <w:vMerge w:val="restart"/>
            <w:vAlign w:val="center"/>
          </w:tcPr>
          <w:p>
            <w:pPr>
              <w:jc w:val="center"/>
              <w:rPr>
                <w:szCs w:val="21"/>
              </w:rPr>
            </w:pPr>
            <w:r>
              <w:rPr>
                <w:szCs w:val="21"/>
              </w:rPr>
              <w:t>噪声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97" w:type="pct"/>
            <w:vMerge w:val="continue"/>
            <w:vAlign w:val="center"/>
          </w:tcPr>
          <w:p>
            <w:pPr>
              <w:pStyle w:val="89"/>
              <w:snapToGrid/>
              <w:rPr>
                <w:sz w:val="21"/>
                <w:szCs w:val="21"/>
              </w:rPr>
            </w:pPr>
          </w:p>
        </w:tc>
        <w:tc>
          <w:tcPr>
            <w:tcW w:w="478" w:type="pct"/>
            <w:vMerge w:val="continue"/>
            <w:vAlign w:val="center"/>
          </w:tcPr>
          <w:p>
            <w:pPr>
              <w:pStyle w:val="89"/>
              <w:snapToGrid/>
              <w:rPr>
                <w:sz w:val="21"/>
                <w:szCs w:val="21"/>
              </w:rPr>
            </w:pPr>
          </w:p>
        </w:tc>
        <w:tc>
          <w:tcPr>
            <w:tcW w:w="871" w:type="pct"/>
            <w:vAlign w:val="center"/>
          </w:tcPr>
          <w:p>
            <w:pPr>
              <w:jc w:val="center"/>
              <w:rPr>
                <w:szCs w:val="21"/>
              </w:rPr>
            </w:pPr>
            <w:r>
              <w:rPr>
                <w:szCs w:val="21"/>
              </w:rPr>
              <w:t>运输车辆</w:t>
            </w:r>
          </w:p>
        </w:tc>
        <w:tc>
          <w:tcPr>
            <w:tcW w:w="1425" w:type="pct"/>
            <w:vAlign w:val="center"/>
          </w:tcPr>
          <w:p>
            <w:pPr>
              <w:jc w:val="center"/>
              <w:rPr>
                <w:szCs w:val="21"/>
              </w:rPr>
            </w:pPr>
            <w:r>
              <w:rPr>
                <w:szCs w:val="21"/>
              </w:rPr>
              <w:t>运输噪声</w:t>
            </w:r>
          </w:p>
        </w:tc>
        <w:tc>
          <w:tcPr>
            <w:tcW w:w="1929" w:type="pct"/>
            <w:vMerge w:val="continue"/>
            <w:vAlign w:val="center"/>
          </w:tcPr>
          <w:p>
            <w:pPr>
              <w:jc w:val="center"/>
              <w:rPr>
                <w:szCs w:val="21"/>
              </w:rPr>
            </w:pPr>
          </w:p>
        </w:tc>
      </w:tr>
    </w:tbl>
    <w:p>
      <w:pPr>
        <w:pStyle w:val="57"/>
        <w:keepNext/>
        <w:keepLines/>
        <w:spacing w:before="0" w:after="0" w:line="480" w:lineRule="exact"/>
        <w:ind w:firstLine="0" w:firstLineChars="0"/>
        <w:outlineLvl w:val="2"/>
        <w:rPr>
          <w:b/>
        </w:rPr>
      </w:pPr>
      <w:r>
        <w:rPr>
          <w:rFonts w:hint="eastAsia"/>
          <w:b/>
        </w:rPr>
        <w:t>3.</w:t>
      </w:r>
      <w:r>
        <w:rPr>
          <w:b/>
        </w:rPr>
        <w:t>2.3原辅材料消耗</w:t>
      </w:r>
    </w:p>
    <w:p>
      <w:pPr>
        <w:pStyle w:val="57"/>
        <w:snapToGrid/>
        <w:spacing w:before="0" w:after="0" w:line="480" w:lineRule="exact"/>
        <w:ind w:firstLine="480"/>
      </w:pPr>
      <w:r>
        <w:t>本项目原辅材料消耗情况见表3.2-</w:t>
      </w:r>
      <w:r>
        <w:rPr>
          <w:rFonts w:hint="eastAsia"/>
        </w:rPr>
        <w:t>2</w:t>
      </w:r>
      <w:r>
        <w:t>。</w:t>
      </w:r>
    </w:p>
    <w:p>
      <w:pPr>
        <w:spacing w:line="480" w:lineRule="exact"/>
        <w:jc w:val="center"/>
        <w:rPr>
          <w:rFonts w:ascii="黑体" w:hAnsi="黑体" w:eastAsia="黑体"/>
          <w:sz w:val="24"/>
          <w:szCs w:val="24"/>
        </w:rPr>
      </w:pPr>
      <w:r>
        <w:rPr>
          <w:rFonts w:ascii="黑体" w:hAnsi="黑体" w:eastAsia="黑体"/>
          <w:sz w:val="24"/>
          <w:szCs w:val="24"/>
        </w:rPr>
        <w:t>表3.</w:t>
      </w:r>
      <w:r>
        <w:rPr>
          <w:rFonts w:hint="eastAsia" w:ascii="黑体" w:hAnsi="黑体" w:eastAsia="黑体"/>
          <w:sz w:val="24"/>
          <w:szCs w:val="24"/>
        </w:rPr>
        <w:t>2</w:t>
      </w:r>
      <w:r>
        <w:rPr>
          <w:rFonts w:ascii="黑体" w:hAnsi="黑体" w:eastAsia="黑体"/>
          <w:sz w:val="24"/>
          <w:szCs w:val="24"/>
        </w:rPr>
        <w:t>-2  主要原辅材料消耗表</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7"/>
        <w:gridCol w:w="1985"/>
        <w:gridCol w:w="1134"/>
        <w:gridCol w:w="1559"/>
        <w:gridCol w:w="1960"/>
        <w:gridCol w:w="14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17" w:type="dxa"/>
            <w:vAlign w:val="center"/>
          </w:tcPr>
          <w:p>
            <w:pPr>
              <w:jc w:val="center"/>
              <w:rPr>
                <w:szCs w:val="24"/>
              </w:rPr>
            </w:pPr>
            <w:r>
              <w:rPr>
                <w:rFonts w:hAnsi="宋体"/>
                <w:szCs w:val="24"/>
              </w:rPr>
              <w:t>序号</w:t>
            </w:r>
          </w:p>
        </w:tc>
        <w:tc>
          <w:tcPr>
            <w:tcW w:w="1985" w:type="dxa"/>
            <w:vAlign w:val="center"/>
          </w:tcPr>
          <w:p>
            <w:pPr>
              <w:jc w:val="center"/>
              <w:rPr>
                <w:szCs w:val="24"/>
              </w:rPr>
            </w:pPr>
            <w:r>
              <w:rPr>
                <w:rFonts w:hAnsi="宋体"/>
                <w:szCs w:val="24"/>
              </w:rPr>
              <w:t>名称</w:t>
            </w:r>
          </w:p>
        </w:tc>
        <w:tc>
          <w:tcPr>
            <w:tcW w:w="1134" w:type="dxa"/>
            <w:vAlign w:val="center"/>
          </w:tcPr>
          <w:p>
            <w:pPr>
              <w:jc w:val="center"/>
              <w:rPr>
                <w:szCs w:val="24"/>
              </w:rPr>
            </w:pPr>
            <w:r>
              <w:rPr>
                <w:rFonts w:hAnsi="宋体"/>
                <w:szCs w:val="24"/>
              </w:rPr>
              <w:t>单位</w:t>
            </w:r>
          </w:p>
        </w:tc>
        <w:tc>
          <w:tcPr>
            <w:tcW w:w="1559" w:type="dxa"/>
            <w:vAlign w:val="center"/>
          </w:tcPr>
          <w:p>
            <w:pPr>
              <w:jc w:val="center"/>
              <w:rPr>
                <w:szCs w:val="24"/>
              </w:rPr>
            </w:pPr>
            <w:r>
              <w:rPr>
                <w:rFonts w:hAnsi="宋体"/>
                <w:szCs w:val="24"/>
              </w:rPr>
              <w:t>消耗量</w:t>
            </w:r>
          </w:p>
        </w:tc>
        <w:tc>
          <w:tcPr>
            <w:tcW w:w="1960" w:type="dxa"/>
            <w:vAlign w:val="center"/>
          </w:tcPr>
          <w:p>
            <w:pPr>
              <w:jc w:val="center"/>
              <w:rPr>
                <w:szCs w:val="24"/>
              </w:rPr>
            </w:pPr>
            <w:r>
              <w:rPr>
                <w:rFonts w:hAnsi="宋体"/>
                <w:szCs w:val="24"/>
              </w:rPr>
              <w:t>存储方式</w:t>
            </w:r>
          </w:p>
        </w:tc>
        <w:tc>
          <w:tcPr>
            <w:tcW w:w="1491" w:type="dxa"/>
            <w:vAlign w:val="center"/>
          </w:tcPr>
          <w:p>
            <w:pPr>
              <w:jc w:val="center"/>
              <w:rPr>
                <w:szCs w:val="24"/>
              </w:rPr>
            </w:pPr>
            <w:r>
              <w:rPr>
                <w:rFonts w:hAnsi="宋体"/>
                <w:szCs w:val="24"/>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17" w:type="dxa"/>
            <w:vAlign w:val="center"/>
          </w:tcPr>
          <w:p>
            <w:pPr>
              <w:jc w:val="center"/>
              <w:rPr>
                <w:szCs w:val="24"/>
              </w:rPr>
            </w:pPr>
            <w:r>
              <w:rPr>
                <w:szCs w:val="24"/>
              </w:rPr>
              <w:t>1</w:t>
            </w:r>
          </w:p>
        </w:tc>
        <w:tc>
          <w:tcPr>
            <w:tcW w:w="1985" w:type="dxa"/>
            <w:vAlign w:val="center"/>
          </w:tcPr>
          <w:p>
            <w:pPr>
              <w:jc w:val="center"/>
              <w:rPr>
                <w:szCs w:val="24"/>
              </w:rPr>
            </w:pPr>
            <w:r>
              <w:rPr>
                <w:rFonts w:hAnsi="宋体"/>
                <w:szCs w:val="24"/>
              </w:rPr>
              <w:t>饲料</w:t>
            </w:r>
          </w:p>
        </w:tc>
        <w:tc>
          <w:tcPr>
            <w:tcW w:w="1134" w:type="dxa"/>
            <w:vAlign w:val="center"/>
          </w:tcPr>
          <w:p>
            <w:pPr>
              <w:jc w:val="center"/>
              <w:rPr>
                <w:szCs w:val="24"/>
              </w:rPr>
            </w:pPr>
            <w:r>
              <w:rPr>
                <w:szCs w:val="24"/>
              </w:rPr>
              <w:t>t/a</w:t>
            </w:r>
          </w:p>
        </w:tc>
        <w:tc>
          <w:tcPr>
            <w:tcW w:w="1559" w:type="dxa"/>
            <w:vAlign w:val="center"/>
          </w:tcPr>
          <w:p>
            <w:pPr>
              <w:jc w:val="center"/>
              <w:rPr>
                <w:szCs w:val="24"/>
              </w:rPr>
            </w:pPr>
            <w:r>
              <w:rPr>
                <w:rFonts w:hint="eastAsia"/>
                <w:szCs w:val="24"/>
              </w:rPr>
              <w:t>7910</w:t>
            </w:r>
          </w:p>
        </w:tc>
        <w:tc>
          <w:tcPr>
            <w:tcW w:w="1960" w:type="dxa"/>
            <w:vAlign w:val="center"/>
          </w:tcPr>
          <w:p>
            <w:pPr>
              <w:jc w:val="center"/>
              <w:rPr>
                <w:szCs w:val="24"/>
              </w:rPr>
            </w:pPr>
            <w:r>
              <w:rPr>
                <w:rFonts w:hint="eastAsia"/>
                <w:szCs w:val="24"/>
              </w:rPr>
              <w:t>50</w:t>
            </w:r>
            <w:r>
              <w:rPr>
                <w:szCs w:val="24"/>
              </w:rPr>
              <w:t>kg/</w:t>
            </w:r>
            <w:r>
              <w:rPr>
                <w:rFonts w:hAnsi="宋体"/>
                <w:szCs w:val="24"/>
              </w:rPr>
              <w:t>袋</w:t>
            </w:r>
          </w:p>
        </w:tc>
        <w:tc>
          <w:tcPr>
            <w:tcW w:w="1491" w:type="dxa"/>
            <w:vAlign w:val="center"/>
          </w:tcPr>
          <w:p>
            <w:pPr>
              <w:jc w:val="center"/>
              <w:rPr>
                <w:szCs w:val="24"/>
              </w:rPr>
            </w:pPr>
            <w:r>
              <w:rPr>
                <w:rFonts w:hAnsi="宋体"/>
                <w:szCs w:val="24"/>
              </w:rPr>
              <w:t>外购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17" w:type="dxa"/>
            <w:vAlign w:val="center"/>
          </w:tcPr>
          <w:p>
            <w:pPr>
              <w:jc w:val="center"/>
              <w:rPr>
                <w:szCs w:val="24"/>
              </w:rPr>
            </w:pPr>
            <w:r>
              <w:rPr>
                <w:szCs w:val="24"/>
              </w:rPr>
              <w:t>2</w:t>
            </w:r>
          </w:p>
        </w:tc>
        <w:tc>
          <w:tcPr>
            <w:tcW w:w="1985" w:type="dxa"/>
            <w:vAlign w:val="center"/>
          </w:tcPr>
          <w:p>
            <w:pPr>
              <w:jc w:val="center"/>
              <w:rPr>
                <w:rFonts w:hAnsi="宋体"/>
                <w:szCs w:val="24"/>
              </w:rPr>
            </w:pPr>
            <w:r>
              <w:rPr>
                <w:rFonts w:hint="eastAsia" w:hAnsi="宋体"/>
                <w:szCs w:val="24"/>
              </w:rPr>
              <w:t>微生物菌剂</w:t>
            </w:r>
          </w:p>
        </w:tc>
        <w:tc>
          <w:tcPr>
            <w:tcW w:w="1134" w:type="dxa"/>
            <w:vAlign w:val="center"/>
          </w:tcPr>
          <w:p>
            <w:pPr>
              <w:jc w:val="center"/>
              <w:rPr>
                <w:szCs w:val="24"/>
              </w:rPr>
            </w:pPr>
            <w:r>
              <w:rPr>
                <w:rFonts w:hint="eastAsia"/>
                <w:szCs w:val="24"/>
              </w:rPr>
              <w:t>t/a</w:t>
            </w:r>
          </w:p>
        </w:tc>
        <w:tc>
          <w:tcPr>
            <w:tcW w:w="1559" w:type="dxa"/>
            <w:vAlign w:val="center"/>
          </w:tcPr>
          <w:p>
            <w:pPr>
              <w:jc w:val="center"/>
              <w:rPr>
                <w:szCs w:val="24"/>
              </w:rPr>
            </w:pPr>
            <w:r>
              <w:rPr>
                <w:rFonts w:hint="eastAsia"/>
                <w:szCs w:val="24"/>
              </w:rPr>
              <w:t>0.5</w:t>
            </w:r>
          </w:p>
        </w:tc>
        <w:tc>
          <w:tcPr>
            <w:tcW w:w="1960" w:type="dxa"/>
            <w:vAlign w:val="center"/>
          </w:tcPr>
          <w:p>
            <w:pPr>
              <w:jc w:val="center"/>
              <w:rPr>
                <w:szCs w:val="24"/>
              </w:rPr>
            </w:pPr>
            <w:r>
              <w:rPr>
                <w:rFonts w:hint="eastAsia"/>
                <w:szCs w:val="24"/>
              </w:rPr>
              <w:t>瓶装</w:t>
            </w:r>
          </w:p>
        </w:tc>
        <w:tc>
          <w:tcPr>
            <w:tcW w:w="1491" w:type="dxa"/>
            <w:vAlign w:val="center"/>
          </w:tcPr>
          <w:p>
            <w:pPr>
              <w:jc w:val="center"/>
              <w:rPr>
                <w:rFonts w:hAnsi="宋体"/>
                <w:szCs w:val="24"/>
              </w:rPr>
            </w:pPr>
            <w:r>
              <w:rPr>
                <w:rFonts w:hint="eastAsia" w:hAnsi="宋体"/>
                <w:szCs w:val="24"/>
              </w:rPr>
              <w:t>外购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17" w:type="dxa"/>
            <w:vAlign w:val="center"/>
          </w:tcPr>
          <w:p>
            <w:pPr>
              <w:jc w:val="center"/>
              <w:rPr>
                <w:szCs w:val="24"/>
              </w:rPr>
            </w:pPr>
            <w:r>
              <w:rPr>
                <w:rFonts w:hint="eastAsia"/>
                <w:szCs w:val="24"/>
              </w:rPr>
              <w:t>3</w:t>
            </w:r>
          </w:p>
        </w:tc>
        <w:tc>
          <w:tcPr>
            <w:tcW w:w="1985" w:type="dxa"/>
            <w:vAlign w:val="center"/>
          </w:tcPr>
          <w:p>
            <w:pPr>
              <w:jc w:val="center"/>
              <w:rPr>
                <w:szCs w:val="24"/>
              </w:rPr>
            </w:pPr>
            <w:r>
              <w:rPr>
                <w:rFonts w:hAnsi="宋体"/>
                <w:szCs w:val="24"/>
              </w:rPr>
              <w:t>疫苗</w:t>
            </w:r>
          </w:p>
        </w:tc>
        <w:tc>
          <w:tcPr>
            <w:tcW w:w="1134" w:type="dxa"/>
            <w:vAlign w:val="center"/>
          </w:tcPr>
          <w:p>
            <w:pPr>
              <w:jc w:val="center"/>
              <w:rPr>
                <w:szCs w:val="24"/>
              </w:rPr>
            </w:pPr>
            <w:r>
              <w:rPr>
                <w:rFonts w:hAnsi="宋体"/>
                <w:szCs w:val="24"/>
              </w:rPr>
              <w:t>万只</w:t>
            </w:r>
            <w:r>
              <w:rPr>
                <w:szCs w:val="24"/>
              </w:rPr>
              <w:t>/a</w:t>
            </w:r>
          </w:p>
        </w:tc>
        <w:tc>
          <w:tcPr>
            <w:tcW w:w="1559" w:type="dxa"/>
            <w:vAlign w:val="center"/>
          </w:tcPr>
          <w:p>
            <w:pPr>
              <w:jc w:val="center"/>
              <w:rPr>
                <w:szCs w:val="24"/>
              </w:rPr>
            </w:pPr>
            <w:r>
              <w:rPr>
                <w:szCs w:val="24"/>
              </w:rPr>
              <w:t>14</w:t>
            </w:r>
            <w:r>
              <w:rPr>
                <w:rFonts w:hint="eastAsia"/>
                <w:szCs w:val="24"/>
              </w:rPr>
              <w:t>0</w:t>
            </w:r>
          </w:p>
        </w:tc>
        <w:tc>
          <w:tcPr>
            <w:tcW w:w="1960" w:type="dxa"/>
            <w:vAlign w:val="center"/>
          </w:tcPr>
          <w:p>
            <w:pPr>
              <w:jc w:val="center"/>
              <w:rPr>
                <w:szCs w:val="24"/>
              </w:rPr>
            </w:pPr>
            <w:r>
              <w:rPr>
                <w:rFonts w:hAnsi="宋体"/>
                <w:szCs w:val="24"/>
              </w:rPr>
              <w:t>箱装</w:t>
            </w:r>
          </w:p>
        </w:tc>
        <w:tc>
          <w:tcPr>
            <w:tcW w:w="1491" w:type="dxa"/>
            <w:vAlign w:val="center"/>
          </w:tcPr>
          <w:p>
            <w:pPr>
              <w:jc w:val="center"/>
              <w:rPr>
                <w:szCs w:val="24"/>
              </w:rPr>
            </w:pPr>
            <w:r>
              <w:rPr>
                <w:rFonts w:hAnsi="宋体"/>
                <w:szCs w:val="24"/>
              </w:rPr>
              <w:t>外购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17" w:type="dxa"/>
            <w:vAlign w:val="center"/>
          </w:tcPr>
          <w:p>
            <w:pPr>
              <w:jc w:val="center"/>
              <w:rPr>
                <w:szCs w:val="24"/>
              </w:rPr>
            </w:pPr>
            <w:r>
              <w:rPr>
                <w:rFonts w:hint="eastAsia"/>
                <w:szCs w:val="24"/>
              </w:rPr>
              <w:t>4</w:t>
            </w:r>
          </w:p>
        </w:tc>
        <w:tc>
          <w:tcPr>
            <w:tcW w:w="1985" w:type="dxa"/>
            <w:vAlign w:val="center"/>
          </w:tcPr>
          <w:p>
            <w:pPr>
              <w:jc w:val="center"/>
              <w:rPr>
                <w:rFonts w:hAnsi="宋体"/>
                <w:szCs w:val="24"/>
              </w:rPr>
            </w:pPr>
            <w:r>
              <w:rPr>
                <w:rFonts w:hint="eastAsia" w:hAnsi="宋体"/>
                <w:szCs w:val="24"/>
              </w:rPr>
              <w:t>营养药及预防用药</w:t>
            </w:r>
          </w:p>
        </w:tc>
        <w:tc>
          <w:tcPr>
            <w:tcW w:w="1134" w:type="dxa"/>
            <w:vAlign w:val="center"/>
          </w:tcPr>
          <w:p>
            <w:pPr>
              <w:jc w:val="center"/>
              <w:rPr>
                <w:rFonts w:hAnsi="宋体"/>
                <w:szCs w:val="24"/>
              </w:rPr>
            </w:pPr>
            <w:r>
              <w:rPr>
                <w:rFonts w:hint="eastAsia" w:hAnsi="宋体"/>
                <w:szCs w:val="24"/>
              </w:rPr>
              <w:t>瓶/袋</w:t>
            </w:r>
          </w:p>
        </w:tc>
        <w:tc>
          <w:tcPr>
            <w:tcW w:w="1559" w:type="dxa"/>
            <w:vAlign w:val="center"/>
          </w:tcPr>
          <w:p>
            <w:pPr>
              <w:jc w:val="center"/>
              <w:rPr>
                <w:szCs w:val="24"/>
              </w:rPr>
            </w:pPr>
            <w:r>
              <w:rPr>
                <w:szCs w:val="24"/>
              </w:rPr>
              <w:t>7520</w:t>
            </w:r>
          </w:p>
        </w:tc>
        <w:tc>
          <w:tcPr>
            <w:tcW w:w="1960" w:type="dxa"/>
            <w:vAlign w:val="center"/>
          </w:tcPr>
          <w:p>
            <w:pPr>
              <w:jc w:val="center"/>
              <w:rPr>
                <w:rFonts w:hAnsi="宋体"/>
                <w:szCs w:val="24"/>
              </w:rPr>
            </w:pPr>
            <w:r>
              <w:rPr>
                <w:rFonts w:hint="eastAsia" w:hAnsi="宋体"/>
                <w:szCs w:val="24"/>
              </w:rPr>
              <w:t>瓶装/袋装</w:t>
            </w:r>
          </w:p>
        </w:tc>
        <w:tc>
          <w:tcPr>
            <w:tcW w:w="1491" w:type="dxa"/>
            <w:vAlign w:val="center"/>
          </w:tcPr>
          <w:p>
            <w:pPr>
              <w:jc w:val="center"/>
              <w:rPr>
                <w:szCs w:val="24"/>
              </w:rPr>
            </w:pPr>
            <w:r>
              <w:rPr>
                <w:rFonts w:hAnsi="宋体"/>
                <w:szCs w:val="24"/>
              </w:rPr>
              <w:t>外购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17" w:type="dxa"/>
            <w:vAlign w:val="center"/>
          </w:tcPr>
          <w:p>
            <w:pPr>
              <w:jc w:val="center"/>
              <w:rPr>
                <w:szCs w:val="24"/>
              </w:rPr>
            </w:pPr>
            <w:r>
              <w:rPr>
                <w:rFonts w:hint="eastAsia"/>
                <w:szCs w:val="24"/>
              </w:rPr>
              <w:t>5</w:t>
            </w:r>
          </w:p>
        </w:tc>
        <w:tc>
          <w:tcPr>
            <w:tcW w:w="1985" w:type="dxa"/>
            <w:vAlign w:val="center"/>
          </w:tcPr>
          <w:p>
            <w:pPr>
              <w:jc w:val="center"/>
              <w:rPr>
                <w:szCs w:val="24"/>
              </w:rPr>
            </w:pPr>
            <w:r>
              <w:rPr>
                <w:rFonts w:hAnsi="宋体"/>
                <w:szCs w:val="24"/>
              </w:rPr>
              <w:t>消毒剂</w:t>
            </w:r>
          </w:p>
        </w:tc>
        <w:tc>
          <w:tcPr>
            <w:tcW w:w="1134" w:type="dxa"/>
            <w:vAlign w:val="center"/>
          </w:tcPr>
          <w:p>
            <w:pPr>
              <w:jc w:val="center"/>
              <w:rPr>
                <w:szCs w:val="24"/>
              </w:rPr>
            </w:pPr>
            <w:r>
              <w:rPr>
                <w:rFonts w:hAnsi="宋体"/>
                <w:szCs w:val="24"/>
              </w:rPr>
              <w:t>瓶</w:t>
            </w:r>
            <w:r>
              <w:rPr>
                <w:szCs w:val="24"/>
              </w:rPr>
              <w:t>/a</w:t>
            </w:r>
          </w:p>
        </w:tc>
        <w:tc>
          <w:tcPr>
            <w:tcW w:w="1559" w:type="dxa"/>
            <w:vAlign w:val="center"/>
          </w:tcPr>
          <w:p>
            <w:pPr>
              <w:jc w:val="center"/>
              <w:rPr>
                <w:szCs w:val="24"/>
              </w:rPr>
            </w:pPr>
            <w:r>
              <w:rPr>
                <w:rFonts w:hint="eastAsia"/>
                <w:szCs w:val="24"/>
              </w:rPr>
              <w:t>5</w:t>
            </w:r>
            <w:r>
              <w:rPr>
                <w:szCs w:val="24"/>
              </w:rPr>
              <w:t>9</w:t>
            </w:r>
            <w:r>
              <w:rPr>
                <w:rFonts w:hint="eastAsia"/>
                <w:szCs w:val="24"/>
              </w:rPr>
              <w:t>0</w:t>
            </w:r>
          </w:p>
        </w:tc>
        <w:tc>
          <w:tcPr>
            <w:tcW w:w="1960" w:type="dxa"/>
            <w:vAlign w:val="center"/>
          </w:tcPr>
          <w:p>
            <w:pPr>
              <w:jc w:val="center"/>
              <w:rPr>
                <w:szCs w:val="24"/>
              </w:rPr>
            </w:pPr>
            <w:r>
              <w:rPr>
                <w:szCs w:val="24"/>
              </w:rPr>
              <w:t>1000ml/</w:t>
            </w:r>
            <w:r>
              <w:rPr>
                <w:rFonts w:hAnsi="宋体"/>
                <w:szCs w:val="24"/>
              </w:rPr>
              <w:t>瓶</w:t>
            </w:r>
          </w:p>
        </w:tc>
        <w:tc>
          <w:tcPr>
            <w:tcW w:w="1491" w:type="dxa"/>
            <w:vAlign w:val="center"/>
          </w:tcPr>
          <w:p>
            <w:pPr>
              <w:jc w:val="center"/>
              <w:rPr>
                <w:szCs w:val="24"/>
              </w:rPr>
            </w:pPr>
            <w:r>
              <w:rPr>
                <w:rFonts w:hAnsi="宋体"/>
                <w:szCs w:val="24"/>
              </w:rPr>
              <w:t>外购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17" w:type="dxa"/>
            <w:vAlign w:val="center"/>
          </w:tcPr>
          <w:p>
            <w:pPr>
              <w:jc w:val="center"/>
              <w:rPr>
                <w:szCs w:val="24"/>
              </w:rPr>
            </w:pPr>
            <w:r>
              <w:rPr>
                <w:rFonts w:hint="eastAsia"/>
                <w:szCs w:val="24"/>
              </w:rPr>
              <w:t>6</w:t>
            </w:r>
          </w:p>
        </w:tc>
        <w:tc>
          <w:tcPr>
            <w:tcW w:w="1985" w:type="dxa"/>
            <w:vAlign w:val="center"/>
          </w:tcPr>
          <w:p>
            <w:pPr>
              <w:jc w:val="center"/>
              <w:rPr>
                <w:szCs w:val="24"/>
              </w:rPr>
            </w:pPr>
            <w:r>
              <w:rPr>
                <w:rFonts w:hAnsi="宋体"/>
                <w:szCs w:val="24"/>
              </w:rPr>
              <w:t>石灰</w:t>
            </w:r>
          </w:p>
        </w:tc>
        <w:tc>
          <w:tcPr>
            <w:tcW w:w="1134" w:type="dxa"/>
            <w:vAlign w:val="center"/>
          </w:tcPr>
          <w:p>
            <w:pPr>
              <w:jc w:val="center"/>
              <w:rPr>
                <w:szCs w:val="24"/>
              </w:rPr>
            </w:pPr>
            <w:r>
              <w:rPr>
                <w:szCs w:val="24"/>
              </w:rPr>
              <w:t>t/a</w:t>
            </w:r>
          </w:p>
        </w:tc>
        <w:tc>
          <w:tcPr>
            <w:tcW w:w="1559" w:type="dxa"/>
            <w:vAlign w:val="center"/>
          </w:tcPr>
          <w:p>
            <w:pPr>
              <w:jc w:val="center"/>
              <w:rPr>
                <w:szCs w:val="24"/>
              </w:rPr>
            </w:pPr>
            <w:r>
              <w:rPr>
                <w:szCs w:val="24"/>
              </w:rPr>
              <w:t>2</w:t>
            </w:r>
          </w:p>
        </w:tc>
        <w:tc>
          <w:tcPr>
            <w:tcW w:w="1960" w:type="dxa"/>
            <w:vAlign w:val="center"/>
          </w:tcPr>
          <w:p>
            <w:pPr>
              <w:jc w:val="center"/>
              <w:rPr>
                <w:szCs w:val="24"/>
              </w:rPr>
            </w:pPr>
            <w:r>
              <w:rPr>
                <w:szCs w:val="24"/>
              </w:rPr>
              <w:t>25kg/</w:t>
            </w:r>
            <w:r>
              <w:rPr>
                <w:rFonts w:hAnsi="宋体"/>
                <w:szCs w:val="24"/>
              </w:rPr>
              <w:t>袋</w:t>
            </w:r>
          </w:p>
        </w:tc>
        <w:tc>
          <w:tcPr>
            <w:tcW w:w="1491" w:type="dxa"/>
            <w:vAlign w:val="center"/>
          </w:tcPr>
          <w:p>
            <w:pPr>
              <w:jc w:val="center"/>
              <w:rPr>
                <w:szCs w:val="24"/>
              </w:rPr>
            </w:pPr>
            <w:r>
              <w:rPr>
                <w:rFonts w:hAnsi="宋体"/>
                <w:szCs w:val="24"/>
              </w:rPr>
              <w:t>外购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17" w:type="dxa"/>
            <w:vAlign w:val="center"/>
          </w:tcPr>
          <w:p>
            <w:pPr>
              <w:jc w:val="center"/>
              <w:rPr>
                <w:szCs w:val="24"/>
              </w:rPr>
            </w:pPr>
            <w:r>
              <w:rPr>
                <w:rFonts w:hint="eastAsia"/>
                <w:szCs w:val="24"/>
              </w:rPr>
              <w:t>7</w:t>
            </w:r>
          </w:p>
        </w:tc>
        <w:tc>
          <w:tcPr>
            <w:tcW w:w="1985" w:type="dxa"/>
            <w:vAlign w:val="center"/>
          </w:tcPr>
          <w:p>
            <w:pPr>
              <w:jc w:val="center"/>
              <w:rPr>
                <w:szCs w:val="24"/>
              </w:rPr>
            </w:pPr>
            <w:r>
              <w:rPr>
                <w:rFonts w:hAnsi="宋体"/>
                <w:szCs w:val="24"/>
              </w:rPr>
              <w:t>水</w:t>
            </w:r>
          </w:p>
        </w:tc>
        <w:tc>
          <w:tcPr>
            <w:tcW w:w="1134" w:type="dxa"/>
            <w:vAlign w:val="center"/>
          </w:tcPr>
          <w:p>
            <w:pPr>
              <w:jc w:val="center"/>
              <w:rPr>
                <w:szCs w:val="24"/>
              </w:rPr>
            </w:pPr>
            <w:r>
              <w:rPr>
                <w:rFonts w:hAnsi="宋体"/>
                <w:szCs w:val="24"/>
              </w:rPr>
              <w:t>万</w:t>
            </w:r>
            <w:r>
              <w:rPr>
                <w:szCs w:val="24"/>
              </w:rPr>
              <w:t>m</w:t>
            </w:r>
            <w:r>
              <w:rPr>
                <w:szCs w:val="24"/>
                <w:vertAlign w:val="superscript"/>
              </w:rPr>
              <w:t>3</w:t>
            </w:r>
            <w:r>
              <w:rPr>
                <w:szCs w:val="24"/>
              </w:rPr>
              <w:t>/a</w:t>
            </w:r>
          </w:p>
        </w:tc>
        <w:tc>
          <w:tcPr>
            <w:tcW w:w="1559" w:type="dxa"/>
            <w:vAlign w:val="center"/>
          </w:tcPr>
          <w:p>
            <w:pPr>
              <w:jc w:val="center"/>
              <w:rPr>
                <w:szCs w:val="24"/>
              </w:rPr>
            </w:pPr>
            <w:r>
              <w:rPr>
                <w:rFonts w:hint="eastAsia"/>
                <w:szCs w:val="24"/>
              </w:rPr>
              <w:t>4</w:t>
            </w:r>
          </w:p>
        </w:tc>
        <w:tc>
          <w:tcPr>
            <w:tcW w:w="1960" w:type="dxa"/>
            <w:vAlign w:val="center"/>
          </w:tcPr>
          <w:p>
            <w:pPr>
              <w:jc w:val="center"/>
              <w:rPr>
                <w:szCs w:val="24"/>
              </w:rPr>
            </w:pPr>
            <w:r>
              <w:rPr>
                <w:szCs w:val="24"/>
              </w:rPr>
              <w:t>/</w:t>
            </w:r>
          </w:p>
        </w:tc>
        <w:tc>
          <w:tcPr>
            <w:tcW w:w="1491" w:type="dxa"/>
            <w:vAlign w:val="center"/>
          </w:tcPr>
          <w:p>
            <w:pPr>
              <w:jc w:val="center"/>
              <w:rPr>
                <w:szCs w:val="24"/>
              </w:rPr>
            </w:pPr>
            <w:r>
              <w:rPr>
                <w:rFonts w:hAnsi="宋体"/>
                <w:szCs w:val="24"/>
              </w:rPr>
              <w:t>自备深井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817" w:type="dxa"/>
            <w:vAlign w:val="center"/>
          </w:tcPr>
          <w:p>
            <w:pPr>
              <w:jc w:val="center"/>
              <w:rPr>
                <w:szCs w:val="24"/>
              </w:rPr>
            </w:pPr>
            <w:r>
              <w:rPr>
                <w:rFonts w:hint="eastAsia"/>
                <w:szCs w:val="24"/>
              </w:rPr>
              <w:t>8</w:t>
            </w:r>
          </w:p>
        </w:tc>
        <w:tc>
          <w:tcPr>
            <w:tcW w:w="1985" w:type="dxa"/>
            <w:vAlign w:val="center"/>
          </w:tcPr>
          <w:p>
            <w:pPr>
              <w:jc w:val="center"/>
              <w:rPr>
                <w:szCs w:val="24"/>
              </w:rPr>
            </w:pPr>
            <w:r>
              <w:rPr>
                <w:rFonts w:hAnsi="宋体"/>
                <w:szCs w:val="24"/>
              </w:rPr>
              <w:t>电</w:t>
            </w:r>
          </w:p>
        </w:tc>
        <w:tc>
          <w:tcPr>
            <w:tcW w:w="1134" w:type="dxa"/>
            <w:vAlign w:val="center"/>
          </w:tcPr>
          <w:p>
            <w:pPr>
              <w:jc w:val="center"/>
              <w:rPr>
                <w:szCs w:val="24"/>
              </w:rPr>
            </w:pPr>
            <w:r>
              <w:rPr>
                <w:rFonts w:hAnsi="宋体"/>
                <w:szCs w:val="24"/>
              </w:rPr>
              <w:t>万</w:t>
            </w:r>
            <w:r>
              <w:rPr>
                <w:szCs w:val="24"/>
              </w:rPr>
              <w:t>kw/a</w:t>
            </w:r>
          </w:p>
        </w:tc>
        <w:tc>
          <w:tcPr>
            <w:tcW w:w="1559" w:type="dxa"/>
            <w:vAlign w:val="center"/>
          </w:tcPr>
          <w:p>
            <w:pPr>
              <w:jc w:val="center"/>
              <w:rPr>
                <w:szCs w:val="24"/>
              </w:rPr>
            </w:pPr>
            <w:r>
              <w:rPr>
                <w:szCs w:val="24"/>
              </w:rPr>
              <w:t>120</w:t>
            </w:r>
          </w:p>
        </w:tc>
        <w:tc>
          <w:tcPr>
            <w:tcW w:w="1960" w:type="dxa"/>
            <w:vAlign w:val="center"/>
          </w:tcPr>
          <w:p>
            <w:pPr>
              <w:jc w:val="center"/>
              <w:rPr>
                <w:szCs w:val="24"/>
              </w:rPr>
            </w:pPr>
            <w:r>
              <w:rPr>
                <w:szCs w:val="24"/>
              </w:rPr>
              <w:t>/</w:t>
            </w:r>
          </w:p>
        </w:tc>
        <w:tc>
          <w:tcPr>
            <w:tcW w:w="1491" w:type="dxa"/>
            <w:vAlign w:val="center"/>
          </w:tcPr>
          <w:p>
            <w:pPr>
              <w:jc w:val="center"/>
              <w:rPr>
                <w:szCs w:val="24"/>
              </w:rPr>
            </w:pPr>
            <w:r>
              <w:rPr>
                <w:rFonts w:hAnsi="宋体"/>
                <w:szCs w:val="24"/>
              </w:rPr>
              <w:t>市政供电</w:t>
            </w:r>
          </w:p>
        </w:tc>
      </w:tr>
    </w:tbl>
    <w:p>
      <w:pPr>
        <w:pStyle w:val="2"/>
        <w:spacing w:before="156" w:beforeLines="50" w:after="0" w:line="480" w:lineRule="exact"/>
        <w:rPr>
          <w:rFonts w:ascii="宋体" w:hAnsi="宋体" w:eastAsia="宋体"/>
          <w:spacing w:val="4"/>
          <w:sz w:val="28"/>
          <w:szCs w:val="28"/>
        </w:rPr>
      </w:pPr>
      <w:bookmarkStart w:id="54" w:name="_Toc19105457"/>
      <w:r>
        <w:rPr>
          <w:rFonts w:ascii="Times New Roman" w:hAnsi="Times New Roman" w:eastAsia="黑体" w:cs="Times New Roman"/>
          <w:spacing w:val="4"/>
          <w:sz w:val="28"/>
          <w:szCs w:val="28"/>
        </w:rPr>
        <w:t>3.</w:t>
      </w:r>
      <w:r>
        <w:rPr>
          <w:rFonts w:hint="eastAsia" w:ascii="Times New Roman" w:hAnsi="Times New Roman" w:eastAsia="黑体" w:cs="Times New Roman"/>
          <w:spacing w:val="4"/>
          <w:sz w:val="28"/>
          <w:szCs w:val="28"/>
        </w:rPr>
        <w:t>3公用工程</w:t>
      </w:r>
      <w:bookmarkEnd w:id="54"/>
    </w:p>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3</w:t>
      </w:r>
      <w:r>
        <w:rPr>
          <w:rFonts w:ascii="Times New Roman" w:hAnsi="Times New Roman" w:eastAsia="宋体"/>
          <w:b/>
        </w:rPr>
        <w:t>.1</w:t>
      </w:r>
      <w:r>
        <w:rPr>
          <w:rFonts w:ascii="宋体" w:hAnsi="宋体" w:eastAsia="宋体"/>
          <w:b/>
        </w:rPr>
        <w:t>供电</w:t>
      </w:r>
    </w:p>
    <w:p>
      <w:pPr>
        <w:spacing w:line="480" w:lineRule="exact"/>
        <w:ind w:firstLine="480" w:firstLineChars="200"/>
        <w:rPr>
          <w:bCs/>
          <w:sz w:val="24"/>
          <w:szCs w:val="24"/>
        </w:rPr>
      </w:pPr>
      <w:r>
        <w:rPr>
          <w:rFonts w:hint="eastAsia"/>
          <w:sz w:val="24"/>
        </w:rPr>
        <w:t>本项目用电由市政供给，附近电网现有变压器接入，供电电源引入配电室，经变电后送各用电环节，保证照明和其它用电需求。</w:t>
      </w:r>
    </w:p>
    <w:p>
      <w:pPr>
        <w:pStyle w:val="57"/>
        <w:keepNext/>
        <w:keepLines/>
        <w:spacing w:before="0" w:after="0" w:line="480" w:lineRule="exact"/>
        <w:ind w:firstLine="0" w:firstLineChars="0"/>
        <w:outlineLvl w:val="2"/>
        <w:rPr>
          <w:b/>
        </w:rPr>
      </w:pPr>
      <w:r>
        <w:rPr>
          <w:b/>
        </w:rPr>
        <w:t>3.</w:t>
      </w:r>
      <w:r>
        <w:rPr>
          <w:rFonts w:hint="eastAsia"/>
          <w:b/>
        </w:rPr>
        <w:t>3</w:t>
      </w:r>
      <w:r>
        <w:rPr>
          <w:b/>
        </w:rPr>
        <w:t>.</w:t>
      </w:r>
      <w:r>
        <w:rPr>
          <w:rFonts w:hint="eastAsia"/>
          <w:b/>
        </w:rPr>
        <w:t>2</w:t>
      </w:r>
      <w:r>
        <w:rPr>
          <w:rFonts w:ascii="宋体" w:hAnsi="宋体"/>
          <w:b/>
        </w:rPr>
        <w:t>供热</w:t>
      </w:r>
    </w:p>
    <w:p>
      <w:pPr>
        <w:spacing w:line="480" w:lineRule="exact"/>
        <w:ind w:firstLine="480" w:firstLineChars="200"/>
        <w:rPr>
          <w:sz w:val="24"/>
        </w:rPr>
      </w:pPr>
      <w:r>
        <w:rPr>
          <w:rFonts w:hint="eastAsia"/>
          <w:sz w:val="24"/>
        </w:rPr>
        <w:t>本项目采暖由燃液化天然气热水锅炉供给。主要取暖单元为场区鸡舍、污水处理站及办公用房。本项目新建</w:t>
      </w:r>
      <w:r>
        <w:rPr>
          <w:sz w:val="24"/>
        </w:rPr>
        <w:t>1</w:t>
      </w:r>
      <w:r>
        <w:rPr>
          <w:rFonts w:hint="eastAsia"/>
          <w:sz w:val="24"/>
        </w:rPr>
        <w:t>台2</w:t>
      </w:r>
      <w:r>
        <w:rPr>
          <w:sz w:val="24"/>
        </w:rPr>
        <w:t>.1MW</w:t>
      </w:r>
      <w:r>
        <w:rPr>
          <w:rFonts w:hint="eastAsia"/>
          <w:sz w:val="24"/>
        </w:rPr>
        <w:t>燃气热水锅炉。</w:t>
      </w:r>
    </w:p>
    <w:p>
      <w:pPr>
        <w:spacing w:line="480" w:lineRule="exact"/>
        <w:ind w:firstLine="480" w:firstLineChars="200"/>
        <w:rPr>
          <w:bCs/>
          <w:sz w:val="24"/>
          <w:szCs w:val="24"/>
        </w:rPr>
      </w:pPr>
      <w:r>
        <w:rPr>
          <w:bCs/>
          <w:sz w:val="24"/>
          <w:szCs w:val="24"/>
        </w:rPr>
        <w:t>基本耗热量计算公式</w:t>
      </w:r>
      <w:r>
        <w:rPr>
          <w:rFonts w:hint="eastAsia"/>
          <w:bCs/>
          <w:sz w:val="24"/>
          <w:szCs w:val="24"/>
        </w:rPr>
        <w:t>：</w:t>
      </w:r>
      <w:r>
        <w:rPr>
          <w:bCs/>
          <w:sz w:val="24"/>
          <w:szCs w:val="24"/>
        </w:rPr>
        <w:t>Q=a*F*K(tn-tw)</w:t>
      </w:r>
    </w:p>
    <w:p>
      <w:pPr>
        <w:spacing w:line="480" w:lineRule="exact"/>
        <w:ind w:firstLine="480" w:firstLineChars="200"/>
        <w:rPr>
          <w:bCs/>
          <w:sz w:val="24"/>
          <w:szCs w:val="24"/>
        </w:rPr>
      </w:pPr>
      <w:r>
        <w:rPr>
          <w:bCs/>
          <w:sz w:val="24"/>
          <w:szCs w:val="24"/>
        </w:rPr>
        <w:t>其中：</w:t>
      </w:r>
    </w:p>
    <w:p>
      <w:pPr>
        <w:spacing w:line="480" w:lineRule="exact"/>
        <w:ind w:firstLine="480" w:firstLineChars="200"/>
        <w:rPr>
          <w:bCs/>
          <w:sz w:val="24"/>
          <w:szCs w:val="24"/>
        </w:rPr>
      </w:pPr>
      <w:r>
        <w:rPr>
          <w:rFonts w:hint="eastAsia"/>
          <w:bCs/>
          <w:sz w:val="24"/>
          <w:szCs w:val="24"/>
        </w:rPr>
        <w:t>Q</w:t>
      </w:r>
      <w:r>
        <w:rPr>
          <w:bCs/>
          <w:sz w:val="24"/>
          <w:szCs w:val="24"/>
        </w:rPr>
        <w:t>=维护结构的基本耗热量，W；</w:t>
      </w:r>
    </w:p>
    <w:p>
      <w:pPr>
        <w:spacing w:line="480" w:lineRule="exact"/>
        <w:ind w:firstLine="480" w:firstLineChars="200"/>
        <w:rPr>
          <w:bCs/>
          <w:sz w:val="24"/>
          <w:szCs w:val="24"/>
        </w:rPr>
      </w:pPr>
      <w:r>
        <w:rPr>
          <w:bCs/>
          <w:sz w:val="24"/>
          <w:szCs w:val="24"/>
        </w:rPr>
        <w:t>F——维护结构的面积，m</w:t>
      </w:r>
      <w:r>
        <w:rPr>
          <w:bCs/>
          <w:sz w:val="24"/>
          <w:szCs w:val="24"/>
          <w:vertAlign w:val="superscript"/>
        </w:rPr>
        <w:t>2</w:t>
      </w:r>
      <w:r>
        <w:rPr>
          <w:bCs/>
          <w:sz w:val="24"/>
          <w:szCs w:val="24"/>
        </w:rPr>
        <w:t>；</w:t>
      </w:r>
      <w:r>
        <w:rPr>
          <w:rFonts w:hint="eastAsia"/>
          <w:bCs/>
          <w:sz w:val="24"/>
          <w:szCs w:val="24"/>
        </w:rPr>
        <w:t>F取</w:t>
      </w:r>
      <w:r>
        <w:rPr>
          <w:bCs/>
          <w:sz w:val="24"/>
          <w:szCs w:val="24"/>
        </w:rPr>
        <w:t>60000</w:t>
      </w:r>
      <w:r>
        <w:rPr>
          <w:rFonts w:hint="eastAsia"/>
          <w:bCs/>
          <w:sz w:val="24"/>
          <w:szCs w:val="24"/>
        </w:rPr>
        <w:t>（包括鸡舍、办公楼、污水处理站等需要保暖的构建筑物的维护结构面积，墙体、地面、屋顶等）；</w:t>
      </w:r>
    </w:p>
    <w:p>
      <w:pPr>
        <w:spacing w:line="480" w:lineRule="exact"/>
        <w:ind w:firstLine="480" w:firstLineChars="200"/>
        <w:rPr>
          <w:bCs/>
          <w:sz w:val="24"/>
          <w:szCs w:val="24"/>
        </w:rPr>
      </w:pPr>
      <w:r>
        <w:rPr>
          <w:bCs/>
          <w:sz w:val="24"/>
          <w:szCs w:val="24"/>
        </w:rPr>
        <w:t>K——维护结构的传热系数，W/(m</w:t>
      </w:r>
      <w:r>
        <w:rPr>
          <w:bCs/>
          <w:sz w:val="24"/>
          <w:szCs w:val="24"/>
          <w:vertAlign w:val="superscript"/>
        </w:rPr>
        <w:t>2</w:t>
      </w:r>
      <w:r>
        <w:rPr>
          <w:rFonts w:hint="eastAsia"/>
          <w:bCs/>
          <w:sz w:val="24"/>
          <w:szCs w:val="24"/>
        </w:rPr>
        <w:t>·℃</w:t>
      </w:r>
      <w:r>
        <w:rPr>
          <w:bCs/>
          <w:sz w:val="24"/>
          <w:szCs w:val="24"/>
        </w:rPr>
        <w:t>)</w:t>
      </w:r>
      <w:r>
        <w:rPr>
          <w:rFonts w:hint="eastAsia"/>
          <w:bCs/>
          <w:sz w:val="24"/>
          <w:szCs w:val="24"/>
        </w:rPr>
        <w:t>；K取0</w:t>
      </w:r>
      <w:r>
        <w:rPr>
          <w:bCs/>
          <w:sz w:val="24"/>
          <w:szCs w:val="24"/>
        </w:rPr>
        <w:t>.4</w:t>
      </w:r>
      <w:r>
        <w:rPr>
          <w:rFonts w:hint="eastAsia"/>
          <w:bCs/>
          <w:sz w:val="24"/>
          <w:szCs w:val="24"/>
        </w:rPr>
        <w:t>；</w:t>
      </w:r>
    </w:p>
    <w:p>
      <w:pPr>
        <w:spacing w:line="480" w:lineRule="exact"/>
        <w:ind w:firstLine="480" w:firstLineChars="200"/>
        <w:rPr>
          <w:bCs/>
          <w:sz w:val="24"/>
          <w:szCs w:val="24"/>
        </w:rPr>
      </w:pPr>
      <w:r>
        <w:rPr>
          <w:bCs/>
          <w:sz w:val="24"/>
          <w:szCs w:val="24"/>
        </w:rPr>
        <w:t>tn——室内计算温度，</w:t>
      </w:r>
      <w:r>
        <w:rPr>
          <w:rFonts w:hint="eastAsia"/>
          <w:bCs/>
          <w:sz w:val="24"/>
          <w:szCs w:val="24"/>
        </w:rPr>
        <w:t>℃；</w:t>
      </w:r>
      <w:r>
        <w:rPr>
          <w:bCs/>
          <w:sz w:val="24"/>
          <w:szCs w:val="24"/>
        </w:rPr>
        <w:t>tn</w:t>
      </w:r>
      <w:r>
        <w:rPr>
          <w:rFonts w:hint="eastAsia"/>
          <w:bCs/>
          <w:sz w:val="24"/>
          <w:szCs w:val="24"/>
        </w:rPr>
        <w:t>取2</w:t>
      </w:r>
      <w:r>
        <w:rPr>
          <w:bCs/>
          <w:sz w:val="24"/>
          <w:szCs w:val="24"/>
        </w:rPr>
        <w:t>5</w:t>
      </w:r>
      <w:r>
        <w:rPr>
          <w:rFonts w:hint="eastAsia"/>
          <w:bCs/>
          <w:sz w:val="24"/>
          <w:szCs w:val="24"/>
        </w:rPr>
        <w:t>；</w:t>
      </w:r>
    </w:p>
    <w:p>
      <w:pPr>
        <w:spacing w:line="480" w:lineRule="exact"/>
        <w:ind w:firstLine="480" w:firstLineChars="200"/>
        <w:rPr>
          <w:bCs/>
          <w:sz w:val="24"/>
          <w:szCs w:val="24"/>
        </w:rPr>
      </w:pPr>
      <w:r>
        <w:rPr>
          <w:bCs/>
          <w:sz w:val="24"/>
          <w:szCs w:val="24"/>
        </w:rPr>
        <w:t>tw——采暖室外计算温度，</w:t>
      </w:r>
      <w:r>
        <w:rPr>
          <w:rFonts w:hint="eastAsia"/>
          <w:bCs/>
          <w:sz w:val="24"/>
          <w:szCs w:val="24"/>
        </w:rPr>
        <w:t>℃；</w:t>
      </w:r>
      <w:r>
        <w:rPr>
          <w:bCs/>
          <w:sz w:val="24"/>
          <w:szCs w:val="24"/>
        </w:rPr>
        <w:t>tw</w:t>
      </w:r>
      <w:r>
        <w:rPr>
          <w:rFonts w:hint="eastAsia"/>
          <w:bCs/>
          <w:sz w:val="24"/>
          <w:szCs w:val="24"/>
        </w:rPr>
        <w:t>取-</w:t>
      </w:r>
      <w:r>
        <w:rPr>
          <w:bCs/>
          <w:sz w:val="24"/>
          <w:szCs w:val="24"/>
        </w:rPr>
        <w:t>20</w:t>
      </w:r>
      <w:r>
        <w:rPr>
          <w:rFonts w:hint="eastAsia"/>
          <w:bCs/>
          <w:sz w:val="24"/>
          <w:szCs w:val="24"/>
        </w:rPr>
        <w:t>；</w:t>
      </w:r>
    </w:p>
    <w:p>
      <w:pPr>
        <w:spacing w:line="480" w:lineRule="exact"/>
        <w:ind w:firstLine="480" w:firstLineChars="200"/>
        <w:rPr>
          <w:bCs/>
          <w:sz w:val="24"/>
          <w:szCs w:val="24"/>
        </w:rPr>
      </w:pPr>
      <w:r>
        <w:rPr>
          <w:bCs/>
          <w:sz w:val="24"/>
          <w:szCs w:val="24"/>
        </w:rPr>
        <w:t>a——维护结构的温差修正系数</w:t>
      </w:r>
      <w:r>
        <w:rPr>
          <w:rFonts w:hint="eastAsia"/>
          <w:bCs/>
          <w:sz w:val="24"/>
          <w:szCs w:val="24"/>
        </w:rPr>
        <w:t>；</w:t>
      </w:r>
      <w:r>
        <w:rPr>
          <w:bCs/>
          <w:sz w:val="24"/>
          <w:szCs w:val="24"/>
        </w:rPr>
        <w:t>a</w:t>
      </w:r>
      <w:r>
        <w:rPr>
          <w:rFonts w:hint="eastAsia"/>
          <w:bCs/>
          <w:sz w:val="24"/>
          <w:szCs w:val="24"/>
        </w:rPr>
        <w:t>取1</w:t>
      </w:r>
      <w:r>
        <w:rPr>
          <w:bCs/>
          <w:sz w:val="24"/>
          <w:szCs w:val="24"/>
        </w:rPr>
        <w:t>.0.</w:t>
      </w:r>
    </w:p>
    <w:p>
      <w:pPr>
        <w:spacing w:line="480" w:lineRule="exact"/>
        <w:ind w:firstLine="480" w:firstLineChars="200"/>
        <w:rPr>
          <w:sz w:val="24"/>
        </w:rPr>
      </w:pPr>
      <w:r>
        <w:rPr>
          <w:rFonts w:hint="eastAsia"/>
          <w:bCs/>
          <w:sz w:val="24"/>
          <w:szCs w:val="24"/>
        </w:rPr>
        <w:t>计算得Q=</w:t>
      </w:r>
      <w:r>
        <w:rPr>
          <w:bCs/>
          <w:sz w:val="24"/>
          <w:szCs w:val="24"/>
        </w:rPr>
        <w:t>1.08MW</w:t>
      </w:r>
      <w:r>
        <w:rPr>
          <w:rFonts w:hint="eastAsia"/>
          <w:bCs/>
          <w:sz w:val="24"/>
          <w:szCs w:val="24"/>
        </w:rPr>
        <w:t>，供热过程中热损失按</w:t>
      </w:r>
      <w:r>
        <w:rPr>
          <w:bCs/>
          <w:sz w:val="24"/>
          <w:szCs w:val="24"/>
        </w:rPr>
        <w:t>20</w:t>
      </w:r>
      <w:r>
        <w:rPr>
          <w:rFonts w:hint="eastAsia"/>
          <w:bCs/>
          <w:sz w:val="24"/>
          <w:szCs w:val="24"/>
        </w:rPr>
        <w:t>%计，则供热耗热量为1</w:t>
      </w:r>
      <w:r>
        <w:rPr>
          <w:bCs/>
          <w:sz w:val="24"/>
          <w:szCs w:val="24"/>
        </w:rPr>
        <w:t>.35MW</w:t>
      </w:r>
      <w:r>
        <w:rPr>
          <w:rFonts w:hint="eastAsia"/>
          <w:bCs/>
          <w:sz w:val="24"/>
          <w:szCs w:val="24"/>
        </w:rPr>
        <w:t>，本项目设1台</w:t>
      </w:r>
      <w:r>
        <w:rPr>
          <w:rFonts w:hint="eastAsia"/>
          <w:sz w:val="24"/>
        </w:rPr>
        <w:t>2</w:t>
      </w:r>
      <w:r>
        <w:rPr>
          <w:sz w:val="24"/>
        </w:rPr>
        <w:t>.1MW</w:t>
      </w:r>
      <w:r>
        <w:rPr>
          <w:rFonts w:hint="eastAsia"/>
          <w:sz w:val="24"/>
        </w:rPr>
        <w:t>燃气热水锅炉，可以满足本项目供热需要。</w:t>
      </w:r>
    </w:p>
    <w:p>
      <w:pPr>
        <w:spacing w:line="480" w:lineRule="exact"/>
        <w:ind w:firstLine="480" w:firstLineChars="200"/>
        <w:rPr>
          <w:bCs/>
          <w:sz w:val="24"/>
          <w:szCs w:val="24"/>
        </w:rPr>
      </w:pPr>
      <w:r>
        <w:rPr>
          <w:rFonts w:hint="eastAsia"/>
          <w:sz w:val="24"/>
        </w:rPr>
        <w:t>本项目每批次肉鸡饲养4</w:t>
      </w:r>
      <w:r>
        <w:rPr>
          <w:sz w:val="24"/>
        </w:rPr>
        <w:t>5</w:t>
      </w:r>
      <w:r>
        <w:rPr>
          <w:rFonts w:hint="eastAsia"/>
          <w:sz w:val="24"/>
        </w:rPr>
        <w:t>d，出栏消毒后空置1</w:t>
      </w:r>
      <w:r>
        <w:rPr>
          <w:sz w:val="24"/>
        </w:rPr>
        <w:t>5</w:t>
      </w:r>
      <w:r>
        <w:rPr>
          <w:rFonts w:hint="eastAsia"/>
          <w:sz w:val="24"/>
        </w:rPr>
        <w:t>d，在鸡舍空置期间及鸡舍温度较高时不供暖，一般仅在鸡苗入舍前后及根据天气情况供热；因此采暖期供暖按</w:t>
      </w:r>
      <w:r>
        <w:rPr>
          <w:sz w:val="24"/>
        </w:rPr>
        <w:t>24h</w:t>
      </w:r>
      <w:r>
        <w:rPr>
          <w:rFonts w:hint="eastAsia"/>
          <w:sz w:val="24"/>
        </w:rPr>
        <w:t>/d，150d/a计；非采暖期供暖按8h/d，150d/a计。</w:t>
      </w:r>
    </w:p>
    <w:p>
      <w:pPr>
        <w:pStyle w:val="57"/>
        <w:keepNext/>
        <w:keepLines/>
        <w:spacing w:before="0" w:after="0" w:line="480" w:lineRule="exact"/>
        <w:ind w:firstLine="0" w:firstLineChars="0"/>
        <w:outlineLvl w:val="2"/>
        <w:rPr>
          <w:b/>
        </w:rPr>
      </w:pPr>
      <w:r>
        <w:rPr>
          <w:b/>
        </w:rPr>
        <w:t>3.</w:t>
      </w:r>
      <w:r>
        <w:rPr>
          <w:rFonts w:hint="eastAsia"/>
          <w:b/>
        </w:rPr>
        <w:t>3</w:t>
      </w:r>
      <w:r>
        <w:rPr>
          <w:b/>
        </w:rPr>
        <w:t>.</w:t>
      </w:r>
      <w:r>
        <w:rPr>
          <w:rFonts w:hint="eastAsia"/>
          <w:b/>
        </w:rPr>
        <w:t>3</w:t>
      </w:r>
      <w:r>
        <w:rPr>
          <w:rFonts w:ascii="宋体" w:hAnsi="宋体"/>
          <w:b/>
        </w:rPr>
        <w:t>给</w:t>
      </w:r>
      <w:r>
        <w:rPr>
          <w:rFonts w:hint="eastAsia" w:ascii="宋体" w:hAnsi="宋体"/>
          <w:b/>
        </w:rPr>
        <w:t>排</w:t>
      </w:r>
      <w:r>
        <w:rPr>
          <w:rFonts w:ascii="宋体" w:hAnsi="宋体"/>
          <w:b/>
        </w:rPr>
        <w:t>水</w:t>
      </w:r>
    </w:p>
    <w:p>
      <w:pPr>
        <w:pStyle w:val="57"/>
        <w:keepNext/>
        <w:keepLines/>
        <w:spacing w:before="0" w:after="0" w:line="480" w:lineRule="exact"/>
        <w:ind w:firstLine="0" w:firstLineChars="0"/>
        <w:outlineLvl w:val="3"/>
        <w:rPr>
          <w:b/>
        </w:rPr>
      </w:pPr>
      <w:r>
        <w:rPr>
          <w:b/>
        </w:rPr>
        <w:t>3.</w:t>
      </w:r>
      <w:r>
        <w:rPr>
          <w:rFonts w:hint="eastAsia"/>
          <w:b/>
        </w:rPr>
        <w:t>3</w:t>
      </w:r>
      <w:r>
        <w:rPr>
          <w:b/>
        </w:rPr>
        <w:t>.</w:t>
      </w:r>
      <w:r>
        <w:rPr>
          <w:rFonts w:hint="eastAsia"/>
          <w:b/>
        </w:rPr>
        <w:t>3</w:t>
      </w:r>
      <w:r>
        <w:rPr>
          <w:b/>
        </w:rPr>
        <w:t>.</w:t>
      </w:r>
      <w:r>
        <w:rPr>
          <w:rFonts w:hint="eastAsia"/>
          <w:b/>
        </w:rPr>
        <w:t>1水源</w:t>
      </w:r>
    </w:p>
    <w:p>
      <w:pPr>
        <w:spacing w:line="480" w:lineRule="exact"/>
        <w:ind w:firstLine="480" w:firstLineChars="200"/>
        <w:rPr>
          <w:sz w:val="24"/>
        </w:rPr>
      </w:pPr>
      <w:r>
        <w:rPr>
          <w:rFonts w:hint="eastAsia"/>
          <w:sz w:val="24"/>
        </w:rPr>
        <w:t>本项目拟建厂址现有</w:t>
      </w:r>
      <w:r>
        <w:rPr>
          <w:sz w:val="24"/>
        </w:rPr>
        <w:t>1</w:t>
      </w:r>
      <w:r>
        <w:rPr>
          <w:rFonts w:hint="eastAsia"/>
          <w:sz w:val="24"/>
        </w:rPr>
        <w:t>口</w:t>
      </w:r>
      <w:r>
        <w:rPr>
          <w:sz w:val="24"/>
        </w:rPr>
        <w:t>1</w:t>
      </w:r>
      <w:r>
        <w:rPr>
          <w:rFonts w:hint="eastAsia"/>
          <w:sz w:val="24"/>
        </w:rPr>
        <w:t>5</w:t>
      </w:r>
      <w:r>
        <w:rPr>
          <w:sz w:val="24"/>
        </w:rPr>
        <w:t>0m</w:t>
      </w:r>
      <w:r>
        <w:rPr>
          <w:rFonts w:hint="eastAsia"/>
          <w:sz w:val="24"/>
        </w:rPr>
        <w:t>深水井，单井出水量为</w:t>
      </w:r>
      <w:r>
        <w:rPr>
          <w:sz w:val="24"/>
        </w:rPr>
        <w:t>30t/h</w:t>
      </w:r>
      <w:r>
        <w:rPr>
          <w:rFonts w:hint="eastAsia"/>
          <w:sz w:val="24"/>
        </w:rPr>
        <w:t>，水井供水水质良好、水量稳定，为养殖场提供鸡饮用水、鸡舍冲洗用水和生活饮用水，满足项目运营期的用水要求。</w:t>
      </w:r>
    </w:p>
    <w:p>
      <w:pPr>
        <w:pStyle w:val="57"/>
        <w:keepNext/>
        <w:keepLines/>
        <w:spacing w:before="0" w:after="0" w:line="480" w:lineRule="exact"/>
        <w:ind w:firstLine="0" w:firstLineChars="0"/>
        <w:outlineLvl w:val="3"/>
        <w:rPr>
          <w:b/>
        </w:rPr>
      </w:pPr>
      <w:r>
        <w:rPr>
          <w:b/>
        </w:rPr>
        <w:t>3.</w:t>
      </w:r>
      <w:r>
        <w:rPr>
          <w:rFonts w:hint="eastAsia"/>
          <w:b/>
        </w:rPr>
        <w:t>3</w:t>
      </w:r>
      <w:r>
        <w:rPr>
          <w:b/>
        </w:rPr>
        <w:t>.</w:t>
      </w:r>
      <w:r>
        <w:rPr>
          <w:rFonts w:hint="eastAsia"/>
          <w:b/>
        </w:rPr>
        <w:t>3</w:t>
      </w:r>
      <w:r>
        <w:rPr>
          <w:b/>
        </w:rPr>
        <w:t>.2</w:t>
      </w:r>
      <w:r>
        <w:rPr>
          <w:rFonts w:hint="eastAsia"/>
          <w:b/>
        </w:rPr>
        <w:t>用排水量</w:t>
      </w:r>
    </w:p>
    <w:p>
      <w:pPr>
        <w:autoSpaceDE w:val="0"/>
        <w:autoSpaceDN w:val="0"/>
        <w:spacing w:line="480" w:lineRule="exact"/>
        <w:ind w:firstLine="480" w:firstLineChars="200"/>
        <w:rPr>
          <w:sz w:val="24"/>
        </w:rPr>
      </w:pPr>
      <w:r>
        <w:rPr>
          <w:rFonts w:hint="eastAsia"/>
          <w:sz w:val="24"/>
        </w:rPr>
        <w:t>养鸡场用水主要包括鸡饮用水、设备及鸡舍冲洗用水、职工生活用水、夏季降温水帘补水、消毒用水等。</w:t>
      </w:r>
    </w:p>
    <w:p>
      <w:pPr>
        <w:autoSpaceDE w:val="0"/>
        <w:autoSpaceDN w:val="0"/>
        <w:spacing w:line="480" w:lineRule="exact"/>
        <w:rPr>
          <w:b/>
          <w:sz w:val="24"/>
        </w:rPr>
      </w:pPr>
      <w:r>
        <w:rPr>
          <w:rFonts w:hint="eastAsia"/>
          <w:b/>
          <w:sz w:val="24"/>
        </w:rPr>
        <w:t>1、鸡饮用水</w:t>
      </w:r>
    </w:p>
    <w:p>
      <w:pPr>
        <w:autoSpaceDE w:val="0"/>
        <w:autoSpaceDN w:val="0"/>
        <w:spacing w:line="480" w:lineRule="exact"/>
        <w:ind w:firstLine="480" w:firstLineChars="200"/>
        <w:rPr>
          <w:sz w:val="24"/>
        </w:rPr>
      </w:pPr>
      <w:r>
        <w:rPr>
          <w:rFonts w:hint="eastAsia"/>
          <w:sz w:val="24"/>
        </w:rPr>
        <w:t>按照《山西省用水定额》（</w:t>
      </w:r>
      <w:r>
        <w:rPr>
          <w:sz w:val="24"/>
        </w:rPr>
        <w:t>DB</w:t>
      </w:r>
      <w:r>
        <w:rPr>
          <w:rFonts w:hint="eastAsia"/>
          <w:sz w:val="24"/>
        </w:rPr>
        <w:t>14/T1049.1-2015）中规定，畜牧业用水定额为在一定计量时间内，规模化饲养牲畜、家禽的用水量的限额，包括养殖场地冲洗、牲畜饮用、饲料清洗和拌和用水，其中家禽饲养中鸡类用水定额为1L/（只·d）。本项目取鸡饮用水定额为0.6L/（只·d），每批次肉鸡存、出栏量约为</w:t>
      </w:r>
      <w:r>
        <w:rPr>
          <w:sz w:val="24"/>
        </w:rPr>
        <w:t>23.8</w:t>
      </w:r>
      <w:r>
        <w:rPr>
          <w:rFonts w:hint="eastAsia"/>
          <w:sz w:val="24"/>
        </w:rPr>
        <w:t>万只，一个饲养周期约为45d，全年饲养共6批次；则本项目次鸡饮用水量为64</w:t>
      </w:r>
      <w:r>
        <w:rPr>
          <w:sz w:val="24"/>
        </w:rPr>
        <w:t>26</w:t>
      </w:r>
      <w:r>
        <w:rPr>
          <w:rFonts w:hint="eastAsia"/>
          <w:sz w:val="24"/>
        </w:rPr>
        <w:t>m</w:t>
      </w:r>
      <w:r>
        <w:rPr>
          <w:rFonts w:hint="eastAsia"/>
          <w:sz w:val="24"/>
          <w:vertAlign w:val="superscript"/>
        </w:rPr>
        <w:t>3</w:t>
      </w:r>
      <w:r>
        <w:rPr>
          <w:rFonts w:hint="eastAsia"/>
          <w:sz w:val="24"/>
        </w:rPr>
        <w:t>/批次，38</w:t>
      </w:r>
      <w:r>
        <w:rPr>
          <w:sz w:val="24"/>
        </w:rPr>
        <w:t>556</w:t>
      </w:r>
      <w:r>
        <w:rPr>
          <w:rFonts w:hint="eastAsia"/>
          <w:sz w:val="24"/>
        </w:rPr>
        <w:t>m</w:t>
      </w:r>
      <w:r>
        <w:rPr>
          <w:rFonts w:hint="eastAsia"/>
          <w:sz w:val="24"/>
          <w:vertAlign w:val="superscript"/>
        </w:rPr>
        <w:t>3</w:t>
      </w:r>
      <w:r>
        <w:rPr>
          <w:rFonts w:hint="eastAsia"/>
          <w:sz w:val="24"/>
        </w:rPr>
        <w:t>/a，</w:t>
      </w:r>
      <w:r>
        <w:rPr>
          <w:sz w:val="24"/>
        </w:rPr>
        <w:t>142.8</w:t>
      </w:r>
      <w:r>
        <w:rPr>
          <w:rFonts w:hint="eastAsia"/>
          <w:sz w:val="24"/>
        </w:rPr>
        <w:t>m</w:t>
      </w:r>
      <w:r>
        <w:rPr>
          <w:rFonts w:hint="eastAsia"/>
          <w:sz w:val="24"/>
          <w:vertAlign w:val="superscript"/>
        </w:rPr>
        <w:t>3</w:t>
      </w:r>
      <w:r>
        <w:rPr>
          <w:rFonts w:hint="eastAsia"/>
          <w:sz w:val="24"/>
        </w:rPr>
        <w:t>/d。</w:t>
      </w:r>
    </w:p>
    <w:p>
      <w:pPr>
        <w:autoSpaceDE w:val="0"/>
        <w:autoSpaceDN w:val="0"/>
        <w:spacing w:line="480" w:lineRule="exact"/>
        <w:rPr>
          <w:b/>
          <w:sz w:val="24"/>
        </w:rPr>
      </w:pPr>
      <w:r>
        <w:rPr>
          <w:rFonts w:hint="eastAsia"/>
          <w:b/>
          <w:sz w:val="24"/>
        </w:rPr>
        <w:t>2、设备及鸡舍冲洗用水</w:t>
      </w:r>
    </w:p>
    <w:p>
      <w:pPr>
        <w:autoSpaceDE w:val="0"/>
        <w:autoSpaceDN w:val="0"/>
        <w:spacing w:line="480" w:lineRule="exact"/>
        <w:ind w:firstLine="480" w:firstLineChars="200"/>
        <w:rPr>
          <w:sz w:val="24"/>
        </w:rPr>
      </w:pPr>
      <w:r>
        <w:rPr>
          <w:rFonts w:hint="eastAsia"/>
          <w:sz w:val="24"/>
        </w:rPr>
        <w:t>本项目养鸡场采用干清粪工艺，鸡舍粪便日产日清。项目采用全进全出饲养方式，只有在每栋鸡舍鸡全部出栏时冲洗一次，这种方法可有效保证鸡群健康和根除病原菌。项目</w:t>
      </w:r>
      <w:r>
        <w:rPr>
          <w:sz w:val="24"/>
        </w:rPr>
        <w:t>45</w:t>
      </w:r>
      <w:r>
        <w:rPr>
          <w:rFonts w:hint="eastAsia"/>
          <w:sz w:val="24"/>
        </w:rPr>
        <w:t>天出栏一次，年出栏6次；因此，项目鸡舍每</w:t>
      </w:r>
      <w:r>
        <w:rPr>
          <w:sz w:val="24"/>
        </w:rPr>
        <w:t>45</w:t>
      </w:r>
      <w:r>
        <w:rPr>
          <w:rFonts w:hint="eastAsia"/>
          <w:sz w:val="24"/>
        </w:rPr>
        <w:t>天使用高压水枪冲洗一次，冲洗用水定额按</w:t>
      </w:r>
      <w:r>
        <w:rPr>
          <w:sz w:val="24"/>
        </w:rPr>
        <w:t>3</w:t>
      </w:r>
      <w:r>
        <w:rPr>
          <w:rFonts w:hint="eastAsia"/>
          <w:sz w:val="24"/>
        </w:rPr>
        <w:t>L</w:t>
      </w:r>
      <w:r>
        <w:rPr>
          <w:sz w:val="24"/>
        </w:rPr>
        <w:t>/m</w:t>
      </w:r>
      <w:r>
        <w:rPr>
          <w:sz w:val="24"/>
          <w:vertAlign w:val="superscript"/>
        </w:rPr>
        <w:t>2</w:t>
      </w:r>
      <w:r>
        <w:rPr>
          <w:rFonts w:hint="eastAsia"/>
          <w:sz w:val="24"/>
        </w:rPr>
        <w:t>·次计，本项目共</w:t>
      </w:r>
      <w:r>
        <w:rPr>
          <w:sz w:val="24"/>
        </w:rPr>
        <w:t>7</w:t>
      </w:r>
      <w:r>
        <w:rPr>
          <w:rFonts w:hint="eastAsia"/>
          <w:sz w:val="24"/>
        </w:rPr>
        <w:t>栋鸡舍，单栋鸡舍建筑面积为</w:t>
      </w:r>
      <w:r>
        <w:rPr>
          <w:sz w:val="24"/>
        </w:rPr>
        <w:t>1530m</w:t>
      </w:r>
      <w:r>
        <w:rPr>
          <w:sz w:val="24"/>
          <w:vertAlign w:val="superscript"/>
        </w:rPr>
        <w:t>2</w:t>
      </w:r>
      <w:r>
        <w:rPr>
          <w:rFonts w:hint="eastAsia"/>
          <w:sz w:val="24"/>
        </w:rPr>
        <w:t>，总建筑面积为</w:t>
      </w:r>
      <w:r>
        <w:rPr>
          <w:sz w:val="24"/>
        </w:rPr>
        <w:t>10710m</w:t>
      </w:r>
      <w:r>
        <w:rPr>
          <w:sz w:val="24"/>
          <w:vertAlign w:val="superscript"/>
        </w:rPr>
        <w:t>2</w:t>
      </w:r>
      <w:r>
        <w:rPr>
          <w:rFonts w:hint="eastAsia"/>
          <w:sz w:val="24"/>
        </w:rPr>
        <w:t>，则本项目一次冲洗用水量约</w:t>
      </w:r>
      <w:r>
        <w:rPr>
          <w:sz w:val="24"/>
        </w:rPr>
        <w:t>32.1</w:t>
      </w:r>
      <w:r>
        <w:rPr>
          <w:rFonts w:hint="eastAsia"/>
          <w:sz w:val="24"/>
        </w:rPr>
        <w:t>m</w:t>
      </w:r>
      <w:r>
        <w:rPr>
          <w:rFonts w:hint="eastAsia"/>
          <w:sz w:val="24"/>
          <w:vertAlign w:val="superscript"/>
        </w:rPr>
        <w:t>3</w:t>
      </w:r>
      <w:r>
        <w:rPr>
          <w:sz w:val="24"/>
        </w:rPr>
        <w:t>/</w:t>
      </w:r>
      <w:r>
        <w:rPr>
          <w:rFonts w:hint="eastAsia"/>
          <w:sz w:val="24"/>
        </w:rPr>
        <w:t>次，年用水量为</w:t>
      </w:r>
      <w:r>
        <w:rPr>
          <w:sz w:val="24"/>
        </w:rPr>
        <w:t>192.8</w:t>
      </w:r>
      <w:r>
        <w:rPr>
          <w:rFonts w:hint="eastAsia"/>
          <w:sz w:val="24"/>
        </w:rPr>
        <w:t>m</w:t>
      </w:r>
      <w:r>
        <w:rPr>
          <w:rFonts w:hint="eastAsia"/>
          <w:sz w:val="24"/>
          <w:vertAlign w:val="superscript"/>
        </w:rPr>
        <w:t>3</w:t>
      </w:r>
      <w:r>
        <w:rPr>
          <w:sz w:val="24"/>
        </w:rPr>
        <w:t>/a</w:t>
      </w:r>
      <w:r>
        <w:rPr>
          <w:rFonts w:hint="eastAsia"/>
          <w:sz w:val="24"/>
        </w:rPr>
        <w:t>。</w:t>
      </w:r>
    </w:p>
    <w:p>
      <w:pPr>
        <w:autoSpaceDE w:val="0"/>
        <w:autoSpaceDN w:val="0"/>
        <w:spacing w:line="480" w:lineRule="exact"/>
        <w:ind w:firstLine="480" w:firstLineChars="200"/>
        <w:rPr>
          <w:sz w:val="24"/>
        </w:rPr>
      </w:pPr>
      <w:r>
        <w:rPr>
          <w:rFonts w:hint="eastAsia"/>
          <w:sz w:val="24"/>
        </w:rPr>
        <w:t>鸡舍冲洗废水排水量按用水量的</w:t>
      </w:r>
      <w:r>
        <w:rPr>
          <w:sz w:val="24"/>
        </w:rPr>
        <w:t>90%</w:t>
      </w:r>
      <w:r>
        <w:rPr>
          <w:rFonts w:hint="eastAsia"/>
          <w:sz w:val="24"/>
        </w:rPr>
        <w:t>计，则排水量为</w:t>
      </w:r>
      <w:r>
        <w:rPr>
          <w:sz w:val="24"/>
        </w:rPr>
        <w:t>28.9</w:t>
      </w:r>
      <w:r>
        <w:rPr>
          <w:rFonts w:hint="eastAsia"/>
          <w:sz w:val="24"/>
        </w:rPr>
        <w:t>m</w:t>
      </w:r>
      <w:r>
        <w:rPr>
          <w:rFonts w:hint="eastAsia"/>
          <w:sz w:val="24"/>
          <w:vertAlign w:val="superscript"/>
        </w:rPr>
        <w:t>3</w:t>
      </w:r>
      <w:r>
        <w:rPr>
          <w:rFonts w:hint="eastAsia"/>
          <w:sz w:val="24"/>
        </w:rPr>
        <w:t>/次，</w:t>
      </w:r>
      <w:r>
        <w:rPr>
          <w:sz w:val="24"/>
        </w:rPr>
        <w:t>173.3</w:t>
      </w:r>
      <w:r>
        <w:rPr>
          <w:rFonts w:hint="eastAsia"/>
          <w:sz w:val="24"/>
        </w:rPr>
        <w:t>m</w:t>
      </w:r>
      <w:r>
        <w:rPr>
          <w:rFonts w:hint="eastAsia"/>
          <w:sz w:val="24"/>
          <w:vertAlign w:val="superscript"/>
        </w:rPr>
        <w:t>3</w:t>
      </w:r>
      <w:r>
        <w:rPr>
          <w:rFonts w:hint="eastAsia"/>
          <w:sz w:val="24"/>
        </w:rPr>
        <w:t>/a。</w:t>
      </w:r>
    </w:p>
    <w:p>
      <w:pPr>
        <w:autoSpaceDE w:val="0"/>
        <w:autoSpaceDN w:val="0"/>
        <w:spacing w:line="480" w:lineRule="exact"/>
        <w:jc w:val="left"/>
        <w:rPr>
          <w:b/>
          <w:sz w:val="24"/>
        </w:rPr>
      </w:pPr>
      <w:r>
        <w:rPr>
          <w:rFonts w:hint="eastAsia"/>
          <w:b/>
          <w:sz w:val="24"/>
        </w:rPr>
        <w:t>3、夏季水帘降温用水</w:t>
      </w:r>
    </w:p>
    <w:p>
      <w:pPr>
        <w:autoSpaceDE w:val="0"/>
        <w:autoSpaceDN w:val="0"/>
        <w:spacing w:line="480" w:lineRule="exact"/>
        <w:ind w:firstLine="480" w:firstLineChars="200"/>
        <w:rPr>
          <w:sz w:val="24"/>
        </w:rPr>
      </w:pPr>
      <w:r>
        <w:rPr>
          <w:rFonts w:hint="eastAsia"/>
          <w:sz w:val="24"/>
        </w:rPr>
        <w:t>当温度高于</w:t>
      </w:r>
      <w:r>
        <w:rPr>
          <w:sz w:val="24"/>
        </w:rPr>
        <w:t>33℃</w:t>
      </w:r>
      <w:r>
        <w:rPr>
          <w:rFonts w:hint="eastAsia"/>
          <w:sz w:val="24"/>
        </w:rPr>
        <w:t>，鸡舍采用水帘降温系统进行降温，平均按每个鸡舍日蒸发水量为</w:t>
      </w:r>
      <w:r>
        <w:rPr>
          <w:sz w:val="24"/>
        </w:rPr>
        <w:t>2m</w:t>
      </w:r>
      <w:r>
        <w:rPr>
          <w:rFonts w:hint="eastAsia"/>
          <w:sz w:val="24"/>
          <w:vertAlign w:val="superscript"/>
        </w:rPr>
        <w:t>3</w:t>
      </w:r>
      <w:r>
        <w:rPr>
          <w:rFonts w:hint="eastAsia"/>
          <w:sz w:val="24"/>
        </w:rPr>
        <w:t>/d，年使用时间为夏季一批次，按45</w:t>
      </w:r>
      <w:r>
        <w:rPr>
          <w:sz w:val="24"/>
        </w:rPr>
        <w:t>d</w:t>
      </w:r>
      <w:r>
        <w:rPr>
          <w:rFonts w:hint="eastAsia"/>
          <w:sz w:val="24"/>
        </w:rPr>
        <w:t>计。因此，单栋鸡舍降温冷却用水量90</w:t>
      </w:r>
      <w:r>
        <w:rPr>
          <w:sz w:val="24"/>
        </w:rPr>
        <w:t>m</w:t>
      </w:r>
      <w:r>
        <w:rPr>
          <w:sz w:val="24"/>
          <w:vertAlign w:val="superscript"/>
        </w:rPr>
        <w:t>3</w:t>
      </w:r>
      <w:r>
        <w:rPr>
          <w:sz w:val="24"/>
        </w:rPr>
        <w:t>/a</w:t>
      </w:r>
      <w:r>
        <w:rPr>
          <w:rFonts w:hint="eastAsia"/>
          <w:sz w:val="24"/>
        </w:rPr>
        <w:t>，项目养殖场全年鸡舍降温冷却用水量</w:t>
      </w:r>
      <w:r>
        <w:rPr>
          <w:sz w:val="24"/>
        </w:rPr>
        <w:t>630</w:t>
      </w:r>
      <w:r>
        <w:rPr>
          <w:rFonts w:hint="eastAsia"/>
          <w:sz w:val="24"/>
        </w:rPr>
        <w:t>m</w:t>
      </w:r>
      <w:r>
        <w:rPr>
          <w:rFonts w:hint="eastAsia"/>
          <w:sz w:val="24"/>
          <w:vertAlign w:val="superscript"/>
        </w:rPr>
        <w:t>3</w:t>
      </w:r>
      <w:r>
        <w:rPr>
          <w:rFonts w:hint="eastAsia"/>
          <w:sz w:val="24"/>
        </w:rPr>
        <w:t>/a，1</w:t>
      </w:r>
      <w:r>
        <w:rPr>
          <w:sz w:val="24"/>
        </w:rPr>
        <w:t>4</w:t>
      </w:r>
      <w:r>
        <w:rPr>
          <w:rFonts w:hint="eastAsia"/>
          <w:sz w:val="24"/>
        </w:rPr>
        <w:t>m</w:t>
      </w:r>
      <w:r>
        <w:rPr>
          <w:rFonts w:hint="eastAsia"/>
          <w:sz w:val="24"/>
          <w:vertAlign w:val="superscript"/>
        </w:rPr>
        <w:t>3</w:t>
      </w:r>
      <w:r>
        <w:rPr>
          <w:rFonts w:hint="eastAsia"/>
          <w:sz w:val="24"/>
        </w:rPr>
        <w:t>/d。</w:t>
      </w:r>
    </w:p>
    <w:p>
      <w:pPr>
        <w:autoSpaceDE w:val="0"/>
        <w:autoSpaceDN w:val="0"/>
        <w:spacing w:line="480" w:lineRule="exact"/>
        <w:ind w:firstLine="480" w:firstLineChars="200"/>
        <w:rPr>
          <w:sz w:val="24"/>
        </w:rPr>
      </w:pPr>
      <w:r>
        <w:rPr>
          <w:rFonts w:hint="eastAsia"/>
          <w:sz w:val="24"/>
        </w:rPr>
        <w:t>水帘降温系统是利用水蒸发吸热的原理，通过水在重力作用下从上往下留在铜片制蜂窝结构材料的表面形成水膜，当快速流动的空气穿过水帘时水膜中的水会吸收空气中的热量，通过蒸发带走大量的热，使水帘的空气温度降低。水帘降温系统可以有效改善鸡舍的高温闷热环境，使室内温度迅速地降下，并将温度保持在</w:t>
      </w:r>
      <w:r>
        <w:rPr>
          <w:sz w:val="24"/>
        </w:rPr>
        <w:t>26-30℃</w:t>
      </w:r>
      <w:r>
        <w:rPr>
          <w:rFonts w:hint="eastAsia"/>
          <w:sz w:val="24"/>
        </w:rPr>
        <w:t>。其降温换气效果可非常有效的解决鸡舍闷热、空气污浊问题。</w:t>
      </w:r>
    </w:p>
    <w:p>
      <w:pPr>
        <w:autoSpaceDE w:val="0"/>
        <w:autoSpaceDN w:val="0"/>
        <w:spacing w:line="480" w:lineRule="exact"/>
        <w:jc w:val="left"/>
        <w:rPr>
          <w:b/>
          <w:sz w:val="24"/>
        </w:rPr>
      </w:pPr>
      <w:r>
        <w:rPr>
          <w:rFonts w:hint="eastAsia"/>
          <w:b/>
          <w:sz w:val="24"/>
        </w:rPr>
        <w:t>4、消毒用水</w:t>
      </w:r>
    </w:p>
    <w:p>
      <w:pPr>
        <w:autoSpaceDE w:val="0"/>
        <w:autoSpaceDN w:val="0"/>
        <w:spacing w:line="480" w:lineRule="exact"/>
        <w:ind w:firstLine="480" w:firstLineChars="200"/>
        <w:rPr>
          <w:sz w:val="24"/>
        </w:rPr>
      </w:pPr>
      <w:r>
        <w:rPr>
          <w:rFonts w:hint="eastAsia"/>
          <w:bCs/>
          <w:sz w:val="24"/>
        </w:rPr>
        <w:t>本项目鸡舍内外消毒采用新结尔灭、过氧乙酸、百毒杀等消毒药剂，与水按一定比例配比后喷雾消毒、熏蒸消毒。消毒用水计算采用</w:t>
      </w:r>
      <w:r>
        <w:rPr>
          <w:rFonts w:hint="eastAsia"/>
          <w:sz w:val="24"/>
        </w:rPr>
        <w:t>15%过氧乙酸与水按一定比例配比后的量计算，</w:t>
      </w:r>
      <w:r>
        <w:rPr>
          <w:sz w:val="24"/>
        </w:rPr>
        <w:t>浓度为0.</w:t>
      </w:r>
      <w:r>
        <w:rPr>
          <w:rFonts w:hint="eastAsia"/>
          <w:sz w:val="24"/>
        </w:rPr>
        <w:t>2</w:t>
      </w:r>
      <w:r>
        <w:rPr>
          <w:sz w:val="24"/>
        </w:rPr>
        <w:t>%～0.5%的过氧乙酸溶液</w:t>
      </w:r>
      <w:r>
        <w:rPr>
          <w:rFonts w:hint="eastAsia"/>
          <w:sz w:val="24"/>
        </w:rPr>
        <w:t>消毒用</w:t>
      </w:r>
      <w:r>
        <w:rPr>
          <w:sz w:val="24"/>
        </w:rPr>
        <w:t>墙</w:t>
      </w:r>
      <w:r>
        <w:rPr>
          <w:rFonts w:hint="eastAsia"/>
          <w:sz w:val="24"/>
        </w:rPr>
        <w:t>面</w:t>
      </w:r>
      <w:r>
        <w:rPr>
          <w:sz w:val="24"/>
        </w:rPr>
        <w:t>为100毫升/平方米</w:t>
      </w:r>
      <w:r>
        <w:rPr>
          <w:rFonts w:hint="eastAsia"/>
          <w:sz w:val="24"/>
        </w:rPr>
        <w:t>，地面为2</w:t>
      </w:r>
      <w:r>
        <w:rPr>
          <w:sz w:val="24"/>
        </w:rPr>
        <w:t>00毫升/平方米。</w:t>
      </w:r>
      <w:r>
        <w:rPr>
          <w:rFonts w:hint="eastAsia"/>
          <w:sz w:val="24"/>
        </w:rPr>
        <w:t>熏蒸时采用浓度为15%的过氧乙酸，用量为7ml/m</w:t>
      </w:r>
      <w:r>
        <w:rPr>
          <w:rFonts w:hint="eastAsia"/>
          <w:sz w:val="24"/>
          <w:vertAlign w:val="superscript"/>
        </w:rPr>
        <w:t>3</w:t>
      </w:r>
      <w:r>
        <w:rPr>
          <w:rFonts w:hint="eastAsia"/>
          <w:sz w:val="24"/>
        </w:rPr>
        <w:t>-空间。本项目按每批次消毒</w:t>
      </w:r>
      <w:r>
        <w:rPr>
          <w:sz w:val="24"/>
        </w:rPr>
        <w:t>6</w:t>
      </w:r>
      <w:r>
        <w:rPr>
          <w:rFonts w:hint="eastAsia"/>
          <w:sz w:val="24"/>
        </w:rPr>
        <w:t>次，熏蒸1次计；则每批次消毒用水量为2.4m</w:t>
      </w:r>
      <w:r>
        <w:rPr>
          <w:rFonts w:hint="eastAsia"/>
          <w:sz w:val="24"/>
          <w:vertAlign w:val="superscript"/>
        </w:rPr>
        <w:t>3</w:t>
      </w:r>
      <w:r>
        <w:rPr>
          <w:rFonts w:hint="eastAsia"/>
          <w:sz w:val="24"/>
        </w:rPr>
        <w:t>/批次，一年饲养6批次，则消毒年用水量为14.4 m</w:t>
      </w:r>
      <w:r>
        <w:rPr>
          <w:rFonts w:hint="eastAsia"/>
          <w:sz w:val="24"/>
          <w:vertAlign w:val="superscript"/>
        </w:rPr>
        <w:t>3</w:t>
      </w:r>
      <w:r>
        <w:rPr>
          <w:rFonts w:hint="eastAsia"/>
          <w:sz w:val="24"/>
        </w:rPr>
        <w:t>/a。</w:t>
      </w:r>
    </w:p>
    <w:p>
      <w:pPr>
        <w:autoSpaceDE w:val="0"/>
        <w:autoSpaceDN w:val="0"/>
        <w:spacing w:line="480" w:lineRule="exact"/>
        <w:jc w:val="left"/>
        <w:rPr>
          <w:b/>
          <w:sz w:val="24"/>
        </w:rPr>
      </w:pPr>
      <w:r>
        <w:rPr>
          <w:rFonts w:hint="eastAsia"/>
          <w:b/>
          <w:sz w:val="24"/>
        </w:rPr>
        <w:t>5、锅炉用水及软水系统用水</w:t>
      </w:r>
    </w:p>
    <w:p>
      <w:pPr>
        <w:autoSpaceDE w:val="0"/>
        <w:autoSpaceDN w:val="0"/>
        <w:spacing w:line="480" w:lineRule="exact"/>
        <w:ind w:firstLine="480" w:firstLineChars="200"/>
        <w:rPr>
          <w:sz w:val="24"/>
        </w:rPr>
      </w:pPr>
      <w:r>
        <w:rPr>
          <w:rFonts w:hint="eastAsia"/>
          <w:sz w:val="24"/>
        </w:rPr>
        <w:t>本项目新建</w:t>
      </w:r>
      <w:r>
        <w:rPr>
          <w:sz w:val="24"/>
        </w:rPr>
        <w:t>1</w:t>
      </w:r>
      <w:r>
        <w:rPr>
          <w:rFonts w:hint="eastAsia"/>
          <w:sz w:val="24"/>
        </w:rPr>
        <w:t>台</w:t>
      </w:r>
      <w:r>
        <w:rPr>
          <w:sz w:val="24"/>
        </w:rPr>
        <w:t>2.1</w:t>
      </w:r>
      <w:r>
        <w:rPr>
          <w:rFonts w:hint="eastAsia"/>
          <w:sz w:val="24"/>
        </w:rPr>
        <w:t>MW燃气热水锅炉，主要功能为鸡舍保温。采暖期运行</w:t>
      </w:r>
      <w:r>
        <w:rPr>
          <w:sz w:val="24"/>
        </w:rPr>
        <w:t>24h</w:t>
      </w:r>
      <w:r>
        <w:rPr>
          <w:rFonts w:hint="eastAsia"/>
          <w:sz w:val="24"/>
        </w:rPr>
        <w:t>/d，150d/a；非采暖期运行8h/d，150d/a（本项目每批次肉鸡饲养4</w:t>
      </w:r>
      <w:r>
        <w:rPr>
          <w:sz w:val="24"/>
        </w:rPr>
        <w:t>5</w:t>
      </w:r>
      <w:r>
        <w:rPr>
          <w:rFonts w:hint="eastAsia"/>
          <w:sz w:val="24"/>
        </w:rPr>
        <w:t>d，出栏消毒后空置1</w:t>
      </w:r>
      <w:r>
        <w:rPr>
          <w:sz w:val="24"/>
        </w:rPr>
        <w:t>5</w:t>
      </w:r>
      <w:r>
        <w:rPr>
          <w:rFonts w:hint="eastAsia"/>
          <w:sz w:val="24"/>
        </w:rPr>
        <w:t>d，在鸡舍空置期间及鸡舍温度较高时不供暖，一般仅在鸡苗入舍前后及根据天气情况供热；因此采暖期供暖按</w:t>
      </w:r>
      <w:r>
        <w:rPr>
          <w:sz w:val="24"/>
        </w:rPr>
        <w:t>24h</w:t>
      </w:r>
      <w:r>
        <w:rPr>
          <w:rFonts w:hint="eastAsia"/>
          <w:sz w:val="24"/>
        </w:rPr>
        <w:t>/d，150d/a计；非采暖期供暖按8h/d，150d/a计）。</w:t>
      </w:r>
    </w:p>
    <w:p>
      <w:pPr>
        <w:autoSpaceDE w:val="0"/>
        <w:autoSpaceDN w:val="0"/>
        <w:spacing w:line="480" w:lineRule="exact"/>
        <w:ind w:firstLine="480" w:firstLineChars="200"/>
        <w:rPr>
          <w:sz w:val="24"/>
        </w:rPr>
      </w:pPr>
      <w:r>
        <w:rPr>
          <w:rFonts w:hint="eastAsia"/>
          <w:sz w:val="24"/>
        </w:rPr>
        <w:t>项目锅炉用水闭路循环使用，补水量约为循环水量的1</w:t>
      </w:r>
      <w:r>
        <w:rPr>
          <w:sz w:val="24"/>
        </w:rPr>
        <w:t>%</w:t>
      </w:r>
      <w:r>
        <w:rPr>
          <w:rFonts w:hint="eastAsia"/>
          <w:sz w:val="24"/>
        </w:rPr>
        <w:t>（损失0</w:t>
      </w:r>
      <w:r>
        <w:rPr>
          <w:sz w:val="24"/>
        </w:rPr>
        <w:t>.5</w:t>
      </w:r>
      <w:r>
        <w:rPr>
          <w:rFonts w:hint="eastAsia"/>
          <w:sz w:val="24"/>
        </w:rPr>
        <w:t>%，定排水0</w:t>
      </w:r>
      <w:r>
        <w:rPr>
          <w:sz w:val="24"/>
        </w:rPr>
        <w:t>.5</w:t>
      </w:r>
      <w:r>
        <w:rPr>
          <w:rFonts w:hint="eastAsia"/>
          <w:sz w:val="24"/>
        </w:rPr>
        <w:t>%），则项目锅炉采暖期补充水量为</w:t>
      </w:r>
      <w:r>
        <w:rPr>
          <w:sz w:val="24"/>
        </w:rPr>
        <w:t>0.72</w:t>
      </w:r>
      <w:r>
        <w:rPr>
          <w:rFonts w:hint="eastAsia"/>
          <w:sz w:val="24"/>
        </w:rPr>
        <w:t>m</w:t>
      </w:r>
      <w:r>
        <w:rPr>
          <w:rFonts w:hint="eastAsia"/>
          <w:sz w:val="24"/>
          <w:vertAlign w:val="superscript"/>
        </w:rPr>
        <w:t>3</w:t>
      </w:r>
      <w:r>
        <w:rPr>
          <w:rFonts w:hint="eastAsia"/>
          <w:sz w:val="24"/>
        </w:rPr>
        <w:t>/d，</w:t>
      </w:r>
      <w:r>
        <w:rPr>
          <w:sz w:val="24"/>
        </w:rPr>
        <w:t>108</w:t>
      </w:r>
      <w:r>
        <w:rPr>
          <w:rFonts w:hint="eastAsia"/>
          <w:sz w:val="24"/>
        </w:rPr>
        <w:t>m</w:t>
      </w:r>
      <w:r>
        <w:rPr>
          <w:rFonts w:hint="eastAsia"/>
          <w:sz w:val="24"/>
          <w:vertAlign w:val="superscript"/>
        </w:rPr>
        <w:t>3</w:t>
      </w:r>
      <w:r>
        <w:rPr>
          <w:rFonts w:hint="eastAsia"/>
          <w:sz w:val="24"/>
        </w:rPr>
        <w:t>/a；非采暖期补充水量为</w:t>
      </w:r>
      <w:r>
        <w:rPr>
          <w:sz w:val="24"/>
        </w:rPr>
        <w:t>0.24</w:t>
      </w:r>
      <w:r>
        <w:rPr>
          <w:rFonts w:hint="eastAsia"/>
          <w:sz w:val="24"/>
        </w:rPr>
        <w:t>m</w:t>
      </w:r>
      <w:r>
        <w:rPr>
          <w:rFonts w:hint="eastAsia"/>
          <w:sz w:val="24"/>
          <w:vertAlign w:val="superscript"/>
        </w:rPr>
        <w:t>3</w:t>
      </w:r>
      <w:r>
        <w:rPr>
          <w:rFonts w:hint="eastAsia"/>
          <w:sz w:val="24"/>
        </w:rPr>
        <w:t>/d，</w:t>
      </w:r>
      <w:r>
        <w:rPr>
          <w:sz w:val="24"/>
        </w:rPr>
        <w:t>36</w:t>
      </w:r>
      <w:r>
        <w:rPr>
          <w:rFonts w:hint="eastAsia"/>
          <w:sz w:val="24"/>
        </w:rPr>
        <w:t>m</w:t>
      </w:r>
      <w:r>
        <w:rPr>
          <w:rFonts w:hint="eastAsia"/>
          <w:sz w:val="24"/>
          <w:vertAlign w:val="superscript"/>
        </w:rPr>
        <w:t>3</w:t>
      </w:r>
      <w:r>
        <w:rPr>
          <w:rFonts w:hint="eastAsia"/>
          <w:sz w:val="24"/>
        </w:rPr>
        <w:t>/a。</w:t>
      </w:r>
    </w:p>
    <w:p>
      <w:pPr>
        <w:autoSpaceDE w:val="0"/>
        <w:autoSpaceDN w:val="0"/>
        <w:spacing w:line="480" w:lineRule="exact"/>
        <w:ind w:firstLine="480" w:firstLineChars="200"/>
        <w:rPr>
          <w:sz w:val="24"/>
        </w:rPr>
      </w:pPr>
      <w:r>
        <w:rPr>
          <w:rFonts w:hint="eastAsia"/>
          <w:sz w:val="24"/>
        </w:rPr>
        <w:t>锅炉定排水按循环水量的0</w:t>
      </w:r>
      <w:r>
        <w:rPr>
          <w:sz w:val="24"/>
        </w:rPr>
        <w:t>.5</w:t>
      </w:r>
      <w:r>
        <w:rPr>
          <w:rFonts w:hint="eastAsia"/>
          <w:sz w:val="24"/>
        </w:rPr>
        <w:t>%计，则采暖期定排水为0.</w:t>
      </w:r>
      <w:r>
        <w:rPr>
          <w:sz w:val="24"/>
        </w:rPr>
        <w:t>36</w:t>
      </w:r>
      <w:r>
        <w:rPr>
          <w:rFonts w:hint="eastAsia"/>
          <w:sz w:val="24"/>
        </w:rPr>
        <w:t>m</w:t>
      </w:r>
      <w:r>
        <w:rPr>
          <w:rFonts w:hint="eastAsia"/>
          <w:sz w:val="24"/>
          <w:vertAlign w:val="superscript"/>
        </w:rPr>
        <w:t>3</w:t>
      </w:r>
      <w:r>
        <w:rPr>
          <w:rFonts w:hint="eastAsia"/>
          <w:sz w:val="24"/>
        </w:rPr>
        <w:t>/d，</w:t>
      </w:r>
      <w:r>
        <w:rPr>
          <w:sz w:val="24"/>
        </w:rPr>
        <w:t>54</w:t>
      </w:r>
      <w:r>
        <w:rPr>
          <w:rFonts w:hint="eastAsia"/>
          <w:sz w:val="24"/>
        </w:rPr>
        <w:t>m</w:t>
      </w:r>
      <w:r>
        <w:rPr>
          <w:rFonts w:hint="eastAsia"/>
          <w:sz w:val="24"/>
          <w:vertAlign w:val="superscript"/>
        </w:rPr>
        <w:t>3</w:t>
      </w:r>
      <w:r>
        <w:rPr>
          <w:rFonts w:hint="eastAsia"/>
          <w:sz w:val="24"/>
        </w:rPr>
        <w:t>/a；非采暖期定排水为0.</w:t>
      </w:r>
      <w:r>
        <w:rPr>
          <w:sz w:val="24"/>
        </w:rPr>
        <w:t>12</w:t>
      </w:r>
      <w:r>
        <w:rPr>
          <w:rFonts w:hint="eastAsia"/>
          <w:sz w:val="24"/>
        </w:rPr>
        <w:t>m</w:t>
      </w:r>
      <w:r>
        <w:rPr>
          <w:rFonts w:hint="eastAsia"/>
          <w:sz w:val="24"/>
          <w:vertAlign w:val="superscript"/>
        </w:rPr>
        <w:t>3</w:t>
      </w:r>
      <w:r>
        <w:rPr>
          <w:rFonts w:hint="eastAsia"/>
          <w:sz w:val="24"/>
        </w:rPr>
        <w:t>/d，</w:t>
      </w:r>
      <w:r>
        <w:rPr>
          <w:sz w:val="24"/>
        </w:rPr>
        <w:t>18</w:t>
      </w:r>
      <w:r>
        <w:rPr>
          <w:rFonts w:hint="eastAsia"/>
          <w:sz w:val="24"/>
        </w:rPr>
        <w:t>m</w:t>
      </w:r>
      <w:r>
        <w:rPr>
          <w:rFonts w:hint="eastAsia"/>
          <w:sz w:val="24"/>
          <w:vertAlign w:val="superscript"/>
        </w:rPr>
        <w:t>3</w:t>
      </w:r>
      <w:r>
        <w:rPr>
          <w:rFonts w:hint="eastAsia"/>
          <w:sz w:val="24"/>
        </w:rPr>
        <w:t>/a。</w:t>
      </w:r>
    </w:p>
    <w:p>
      <w:pPr>
        <w:autoSpaceDE w:val="0"/>
        <w:autoSpaceDN w:val="0"/>
        <w:spacing w:line="480" w:lineRule="exact"/>
        <w:ind w:firstLine="480" w:firstLineChars="200"/>
        <w:rPr>
          <w:sz w:val="24"/>
        </w:rPr>
      </w:pPr>
      <w:r>
        <w:rPr>
          <w:rFonts w:hint="eastAsia"/>
          <w:sz w:val="24"/>
        </w:rPr>
        <w:t>锅炉用水为软水，采用离子交换树脂法制软水，按</w:t>
      </w:r>
      <w:r>
        <w:rPr>
          <w:sz w:val="24"/>
        </w:rPr>
        <w:t>1t</w:t>
      </w:r>
      <w:r>
        <w:rPr>
          <w:rFonts w:hint="eastAsia"/>
          <w:sz w:val="24"/>
        </w:rPr>
        <w:t>的新鲜水可以产生0.8</w:t>
      </w:r>
      <w:r>
        <w:rPr>
          <w:sz w:val="24"/>
        </w:rPr>
        <w:t>t</w:t>
      </w:r>
      <w:r>
        <w:rPr>
          <w:rFonts w:hint="eastAsia"/>
          <w:sz w:val="24"/>
        </w:rPr>
        <w:t>的软水计；本项目采暖期新鲜水用水量为</w:t>
      </w:r>
      <w:r>
        <w:rPr>
          <w:sz w:val="24"/>
        </w:rPr>
        <w:t>0.9</w:t>
      </w:r>
      <w:r>
        <w:rPr>
          <w:rFonts w:hint="eastAsia"/>
          <w:sz w:val="24"/>
        </w:rPr>
        <w:t>m</w:t>
      </w:r>
      <w:r>
        <w:rPr>
          <w:rFonts w:hint="eastAsia"/>
          <w:sz w:val="24"/>
          <w:vertAlign w:val="superscript"/>
        </w:rPr>
        <w:t>3</w:t>
      </w:r>
      <w:r>
        <w:rPr>
          <w:rFonts w:hint="eastAsia"/>
          <w:sz w:val="24"/>
        </w:rPr>
        <w:t>/d，</w:t>
      </w:r>
      <w:r>
        <w:rPr>
          <w:sz w:val="24"/>
        </w:rPr>
        <w:t>135</w:t>
      </w:r>
      <w:r>
        <w:rPr>
          <w:rFonts w:hint="eastAsia"/>
          <w:sz w:val="24"/>
        </w:rPr>
        <w:t>m</w:t>
      </w:r>
      <w:r>
        <w:rPr>
          <w:rFonts w:hint="eastAsia"/>
          <w:sz w:val="24"/>
          <w:vertAlign w:val="superscript"/>
        </w:rPr>
        <w:t>3</w:t>
      </w:r>
      <w:r>
        <w:rPr>
          <w:rFonts w:hint="eastAsia"/>
          <w:sz w:val="24"/>
        </w:rPr>
        <w:t>/a；非采暖期新鲜水用水量为</w:t>
      </w:r>
      <w:r>
        <w:rPr>
          <w:sz w:val="24"/>
        </w:rPr>
        <w:t>0.3</w:t>
      </w:r>
      <w:r>
        <w:rPr>
          <w:rFonts w:hint="eastAsia"/>
          <w:sz w:val="24"/>
        </w:rPr>
        <w:t>m</w:t>
      </w:r>
      <w:r>
        <w:rPr>
          <w:rFonts w:hint="eastAsia"/>
          <w:sz w:val="24"/>
          <w:vertAlign w:val="superscript"/>
        </w:rPr>
        <w:t>3</w:t>
      </w:r>
      <w:r>
        <w:rPr>
          <w:rFonts w:hint="eastAsia"/>
          <w:sz w:val="24"/>
        </w:rPr>
        <w:t>/d，</w:t>
      </w:r>
      <w:r>
        <w:rPr>
          <w:sz w:val="24"/>
        </w:rPr>
        <w:t>45</w:t>
      </w:r>
      <w:r>
        <w:rPr>
          <w:rFonts w:hint="eastAsia"/>
          <w:sz w:val="24"/>
        </w:rPr>
        <w:t>m</w:t>
      </w:r>
      <w:r>
        <w:rPr>
          <w:rFonts w:hint="eastAsia"/>
          <w:sz w:val="24"/>
          <w:vertAlign w:val="superscript"/>
        </w:rPr>
        <w:t>3</w:t>
      </w:r>
      <w:r>
        <w:rPr>
          <w:rFonts w:hint="eastAsia"/>
          <w:sz w:val="24"/>
        </w:rPr>
        <w:t>/a。</w:t>
      </w:r>
    </w:p>
    <w:p>
      <w:pPr>
        <w:autoSpaceDE w:val="0"/>
        <w:autoSpaceDN w:val="0"/>
        <w:spacing w:line="480" w:lineRule="exact"/>
        <w:ind w:firstLine="480" w:firstLineChars="200"/>
        <w:rPr>
          <w:sz w:val="24"/>
        </w:rPr>
      </w:pPr>
      <w:r>
        <w:rPr>
          <w:rFonts w:hint="eastAsia"/>
          <w:sz w:val="24"/>
        </w:rPr>
        <w:t>采暖期浓水产生量为0.</w:t>
      </w:r>
      <w:r>
        <w:rPr>
          <w:sz w:val="24"/>
        </w:rPr>
        <w:t>18</w:t>
      </w:r>
      <w:r>
        <w:rPr>
          <w:rFonts w:hint="eastAsia"/>
          <w:sz w:val="24"/>
        </w:rPr>
        <w:t>m</w:t>
      </w:r>
      <w:r>
        <w:rPr>
          <w:rFonts w:hint="eastAsia"/>
          <w:sz w:val="24"/>
          <w:vertAlign w:val="superscript"/>
        </w:rPr>
        <w:t>3</w:t>
      </w:r>
      <w:r>
        <w:rPr>
          <w:rFonts w:hint="eastAsia"/>
          <w:sz w:val="24"/>
        </w:rPr>
        <w:t>/d，</w:t>
      </w:r>
      <w:r>
        <w:rPr>
          <w:sz w:val="24"/>
        </w:rPr>
        <w:t>27</w:t>
      </w:r>
      <w:r>
        <w:rPr>
          <w:rFonts w:hint="eastAsia"/>
          <w:sz w:val="24"/>
        </w:rPr>
        <w:t>m</w:t>
      </w:r>
      <w:r>
        <w:rPr>
          <w:rFonts w:hint="eastAsia"/>
          <w:sz w:val="24"/>
          <w:vertAlign w:val="superscript"/>
        </w:rPr>
        <w:t>3</w:t>
      </w:r>
      <w:r>
        <w:rPr>
          <w:rFonts w:hint="eastAsia"/>
          <w:sz w:val="24"/>
        </w:rPr>
        <w:t>/a；非采暖期浓水产生量为0.</w:t>
      </w:r>
      <w:r>
        <w:rPr>
          <w:sz w:val="24"/>
        </w:rPr>
        <w:t>06</w:t>
      </w:r>
      <w:r>
        <w:rPr>
          <w:rFonts w:hint="eastAsia"/>
          <w:sz w:val="24"/>
        </w:rPr>
        <w:t>m</w:t>
      </w:r>
      <w:r>
        <w:rPr>
          <w:rFonts w:hint="eastAsia"/>
          <w:sz w:val="24"/>
          <w:vertAlign w:val="superscript"/>
        </w:rPr>
        <w:t>3</w:t>
      </w:r>
      <w:r>
        <w:rPr>
          <w:rFonts w:hint="eastAsia"/>
          <w:sz w:val="24"/>
        </w:rPr>
        <w:t>/d，</w:t>
      </w:r>
      <w:r>
        <w:rPr>
          <w:sz w:val="24"/>
        </w:rPr>
        <w:t>9</w:t>
      </w:r>
      <w:r>
        <w:rPr>
          <w:rFonts w:hint="eastAsia"/>
          <w:sz w:val="24"/>
        </w:rPr>
        <w:t>m</w:t>
      </w:r>
      <w:r>
        <w:rPr>
          <w:rFonts w:hint="eastAsia"/>
          <w:sz w:val="24"/>
          <w:vertAlign w:val="superscript"/>
        </w:rPr>
        <w:t>3</w:t>
      </w:r>
      <w:r>
        <w:rPr>
          <w:rFonts w:hint="eastAsia"/>
          <w:sz w:val="24"/>
        </w:rPr>
        <w:t>/a。</w:t>
      </w:r>
    </w:p>
    <w:p>
      <w:pPr>
        <w:autoSpaceDE w:val="0"/>
        <w:autoSpaceDN w:val="0"/>
        <w:spacing w:line="480" w:lineRule="exact"/>
        <w:jc w:val="left"/>
        <w:rPr>
          <w:b/>
          <w:sz w:val="24"/>
        </w:rPr>
      </w:pPr>
      <w:r>
        <w:rPr>
          <w:rFonts w:hint="eastAsia"/>
          <w:b/>
          <w:sz w:val="24"/>
        </w:rPr>
        <w:t>6、生活用水</w:t>
      </w:r>
    </w:p>
    <w:p>
      <w:pPr>
        <w:autoSpaceDE w:val="0"/>
        <w:autoSpaceDN w:val="0"/>
        <w:spacing w:line="480" w:lineRule="exact"/>
        <w:ind w:firstLine="480" w:firstLineChars="200"/>
        <w:rPr>
          <w:sz w:val="24"/>
        </w:rPr>
      </w:pPr>
      <w:r>
        <w:rPr>
          <w:rFonts w:hint="eastAsia"/>
          <w:sz w:val="24"/>
        </w:rPr>
        <w:t>项目劳动定员</w:t>
      </w:r>
      <w:r>
        <w:rPr>
          <w:sz w:val="24"/>
        </w:rPr>
        <w:t>15</w:t>
      </w:r>
      <w:r>
        <w:rPr>
          <w:rFonts w:hint="eastAsia"/>
          <w:sz w:val="24"/>
        </w:rPr>
        <w:t>人，均为附近村民，厂区不设浴室，生活水量按</w:t>
      </w:r>
      <w:r>
        <w:rPr>
          <w:sz w:val="24"/>
        </w:rPr>
        <w:t>30L/</w:t>
      </w:r>
      <w:r>
        <w:rPr>
          <w:rFonts w:hint="eastAsia"/>
          <w:sz w:val="24"/>
        </w:rPr>
        <w:t>人</w:t>
      </w:r>
      <w:r>
        <w:rPr>
          <w:sz w:val="24"/>
        </w:rPr>
        <w:t>•</w:t>
      </w:r>
      <w:r>
        <w:rPr>
          <w:rFonts w:hint="eastAsia"/>
          <w:sz w:val="24"/>
        </w:rPr>
        <w:t>天计，则本项目生活用水量为1</w:t>
      </w:r>
      <w:r>
        <w:rPr>
          <w:sz w:val="24"/>
        </w:rPr>
        <w:t>64.2m</w:t>
      </w:r>
      <w:r>
        <w:rPr>
          <w:sz w:val="24"/>
          <w:vertAlign w:val="superscript"/>
        </w:rPr>
        <w:t>3</w:t>
      </w:r>
      <w:r>
        <w:rPr>
          <w:sz w:val="24"/>
        </w:rPr>
        <w:t>/d</w:t>
      </w:r>
      <w:r>
        <w:rPr>
          <w:rFonts w:hint="eastAsia"/>
          <w:sz w:val="24"/>
        </w:rPr>
        <w:t>，0.</w:t>
      </w:r>
      <w:r>
        <w:rPr>
          <w:sz w:val="24"/>
        </w:rPr>
        <w:t>45m</w:t>
      </w:r>
      <w:r>
        <w:rPr>
          <w:sz w:val="24"/>
          <w:vertAlign w:val="superscript"/>
        </w:rPr>
        <w:t>3</w:t>
      </w:r>
      <w:r>
        <w:rPr>
          <w:sz w:val="24"/>
        </w:rPr>
        <w:t>/d</w:t>
      </w:r>
      <w:r>
        <w:rPr>
          <w:rFonts w:hint="eastAsia"/>
          <w:sz w:val="24"/>
        </w:rPr>
        <w:t>。</w:t>
      </w:r>
    </w:p>
    <w:p>
      <w:pPr>
        <w:autoSpaceDE w:val="0"/>
        <w:autoSpaceDN w:val="0"/>
        <w:spacing w:line="480" w:lineRule="exact"/>
        <w:ind w:firstLine="480" w:firstLineChars="200"/>
        <w:rPr>
          <w:sz w:val="24"/>
        </w:rPr>
      </w:pPr>
      <w:r>
        <w:rPr>
          <w:rFonts w:hint="eastAsia"/>
          <w:sz w:val="24"/>
        </w:rPr>
        <w:t>生活污水排水量按用水量的</w:t>
      </w:r>
      <w:r>
        <w:rPr>
          <w:sz w:val="24"/>
        </w:rPr>
        <w:t>80%</w:t>
      </w:r>
      <w:r>
        <w:rPr>
          <w:rFonts w:hint="eastAsia"/>
          <w:sz w:val="24"/>
        </w:rPr>
        <w:t>计，则生活污水产生量为0.</w:t>
      </w:r>
      <w:r>
        <w:rPr>
          <w:sz w:val="24"/>
        </w:rPr>
        <w:t>36m</w:t>
      </w:r>
      <w:r>
        <w:rPr>
          <w:sz w:val="24"/>
          <w:vertAlign w:val="superscript"/>
        </w:rPr>
        <w:t>3</w:t>
      </w:r>
      <w:r>
        <w:rPr>
          <w:sz w:val="24"/>
        </w:rPr>
        <w:t>/d</w:t>
      </w:r>
      <w:r>
        <w:rPr>
          <w:rFonts w:hint="eastAsia"/>
          <w:sz w:val="24"/>
        </w:rPr>
        <w:t>，</w:t>
      </w:r>
      <w:r>
        <w:rPr>
          <w:sz w:val="24"/>
        </w:rPr>
        <w:t>131.4</w:t>
      </w:r>
      <w:r>
        <w:rPr>
          <w:rFonts w:hint="eastAsia"/>
          <w:sz w:val="24"/>
        </w:rPr>
        <w:t>m</w:t>
      </w:r>
      <w:r>
        <w:rPr>
          <w:rFonts w:hint="eastAsia"/>
          <w:sz w:val="24"/>
          <w:vertAlign w:val="superscript"/>
        </w:rPr>
        <w:t>3</w:t>
      </w:r>
      <w:r>
        <w:rPr>
          <w:rFonts w:hint="eastAsia"/>
          <w:sz w:val="24"/>
        </w:rPr>
        <w:t>/a（按36</w:t>
      </w:r>
      <w:r>
        <w:rPr>
          <w:sz w:val="24"/>
        </w:rPr>
        <w:t>5</w:t>
      </w:r>
      <w:r>
        <w:rPr>
          <w:rFonts w:hint="eastAsia"/>
          <w:sz w:val="24"/>
        </w:rPr>
        <w:t>d/a计）。</w:t>
      </w:r>
    </w:p>
    <w:p>
      <w:pPr>
        <w:autoSpaceDE w:val="0"/>
        <w:autoSpaceDN w:val="0"/>
        <w:spacing w:line="480" w:lineRule="exact"/>
        <w:jc w:val="left"/>
        <w:rPr>
          <w:b/>
          <w:sz w:val="24"/>
        </w:rPr>
      </w:pPr>
      <w:r>
        <w:rPr>
          <w:b/>
          <w:sz w:val="24"/>
        </w:rPr>
        <w:t>7</w:t>
      </w:r>
      <w:r>
        <w:rPr>
          <w:rFonts w:hint="eastAsia"/>
          <w:b/>
          <w:sz w:val="24"/>
        </w:rPr>
        <w:t>、绿化用水</w:t>
      </w:r>
    </w:p>
    <w:p>
      <w:pPr>
        <w:autoSpaceDE w:val="0"/>
        <w:autoSpaceDN w:val="0"/>
        <w:spacing w:line="480" w:lineRule="exact"/>
        <w:ind w:firstLine="480" w:firstLineChars="200"/>
        <w:rPr>
          <w:sz w:val="24"/>
        </w:rPr>
      </w:pPr>
      <w:r>
        <w:rPr>
          <w:bCs/>
          <w:sz w:val="24"/>
        </w:rPr>
        <w:t>绿化用水量按0.5</w:t>
      </w:r>
      <w:r>
        <w:rPr>
          <w:rFonts w:hint="eastAsia"/>
          <w:bCs/>
          <w:sz w:val="24"/>
        </w:rPr>
        <w:t>m</w:t>
      </w:r>
      <w:r>
        <w:rPr>
          <w:bCs/>
          <w:sz w:val="24"/>
          <w:vertAlign w:val="superscript"/>
        </w:rPr>
        <w:t>3</w:t>
      </w:r>
      <w:r>
        <w:rPr>
          <w:bCs/>
          <w:sz w:val="24"/>
        </w:rPr>
        <w:t>/m</w:t>
      </w:r>
      <w:r>
        <w:rPr>
          <w:bCs/>
          <w:sz w:val="24"/>
          <w:vertAlign w:val="superscript"/>
        </w:rPr>
        <w:t>2</w:t>
      </w:r>
      <w:r>
        <w:rPr>
          <w:rFonts w:hint="eastAsia"/>
          <w:bCs/>
          <w:sz w:val="24"/>
        </w:rPr>
        <w:t>·a</w:t>
      </w:r>
      <w:r>
        <w:rPr>
          <w:bCs/>
          <w:sz w:val="24"/>
        </w:rPr>
        <w:t>，绿化面积</w:t>
      </w:r>
      <w:r>
        <w:rPr>
          <w:rFonts w:hint="eastAsia"/>
          <w:bCs/>
          <w:sz w:val="24"/>
        </w:rPr>
        <w:t>约</w:t>
      </w:r>
      <w:r>
        <w:rPr>
          <w:bCs/>
          <w:sz w:val="24"/>
        </w:rPr>
        <w:t>为</w:t>
      </w:r>
      <w:r>
        <w:rPr>
          <w:sz w:val="24"/>
        </w:rPr>
        <w:t>4200</w:t>
      </w:r>
      <w:r>
        <w:rPr>
          <w:bCs/>
          <w:sz w:val="24"/>
        </w:rPr>
        <w:t>m</w:t>
      </w:r>
      <w:r>
        <w:rPr>
          <w:bCs/>
          <w:sz w:val="24"/>
          <w:vertAlign w:val="superscript"/>
        </w:rPr>
        <w:t>2</w:t>
      </w:r>
      <w:r>
        <w:rPr>
          <w:bCs/>
          <w:sz w:val="24"/>
        </w:rPr>
        <w:t>，则本项目绿化用水量为2100m</w:t>
      </w:r>
      <w:r>
        <w:rPr>
          <w:bCs/>
          <w:sz w:val="24"/>
          <w:vertAlign w:val="superscript"/>
        </w:rPr>
        <w:t>3</w:t>
      </w:r>
      <w:r>
        <w:rPr>
          <w:bCs/>
          <w:sz w:val="24"/>
        </w:rPr>
        <w:t>/a</w:t>
      </w:r>
      <w:r>
        <w:rPr>
          <w:rFonts w:hint="eastAsia"/>
          <w:bCs/>
          <w:sz w:val="24"/>
        </w:rPr>
        <w:t>，</w:t>
      </w:r>
      <w:r>
        <w:rPr>
          <w:bCs/>
          <w:sz w:val="24"/>
        </w:rPr>
        <w:t>14m</w:t>
      </w:r>
      <w:r>
        <w:rPr>
          <w:bCs/>
          <w:sz w:val="24"/>
          <w:vertAlign w:val="superscript"/>
        </w:rPr>
        <w:t>3</w:t>
      </w:r>
      <w:r>
        <w:rPr>
          <w:bCs/>
          <w:sz w:val="24"/>
        </w:rPr>
        <w:t>/</w:t>
      </w:r>
      <w:r>
        <w:rPr>
          <w:rFonts w:hint="eastAsia"/>
          <w:bCs/>
          <w:sz w:val="24"/>
        </w:rPr>
        <w:t>d（非采暖期）</w:t>
      </w:r>
      <w:r>
        <w:rPr>
          <w:bCs/>
          <w:sz w:val="24"/>
        </w:rPr>
        <w:t>。</w:t>
      </w:r>
      <w:r>
        <w:rPr>
          <w:rFonts w:hint="eastAsia"/>
          <w:bCs/>
          <w:sz w:val="24"/>
        </w:rPr>
        <w:t>用水全部蒸发及消耗。</w:t>
      </w:r>
    </w:p>
    <w:p>
      <w:pPr>
        <w:pStyle w:val="57"/>
        <w:keepNext/>
        <w:keepLines/>
        <w:spacing w:before="0" w:after="0" w:line="480" w:lineRule="exact"/>
        <w:ind w:firstLine="0" w:firstLineChars="0"/>
        <w:outlineLvl w:val="3"/>
        <w:rPr>
          <w:b/>
        </w:rPr>
      </w:pPr>
      <w:r>
        <w:rPr>
          <w:b/>
        </w:rPr>
        <w:t>3.</w:t>
      </w:r>
      <w:r>
        <w:rPr>
          <w:rFonts w:hint="eastAsia"/>
          <w:b/>
        </w:rPr>
        <w:t>3</w:t>
      </w:r>
      <w:r>
        <w:rPr>
          <w:b/>
        </w:rPr>
        <w:t>.</w:t>
      </w:r>
      <w:r>
        <w:rPr>
          <w:rFonts w:hint="eastAsia"/>
          <w:b/>
        </w:rPr>
        <w:t>3</w:t>
      </w:r>
      <w:r>
        <w:rPr>
          <w:b/>
        </w:rPr>
        <w:t>.</w:t>
      </w:r>
      <w:r>
        <w:rPr>
          <w:rFonts w:hint="eastAsia"/>
          <w:b/>
        </w:rPr>
        <w:t>3排水系统</w:t>
      </w:r>
    </w:p>
    <w:p>
      <w:pPr>
        <w:autoSpaceDE w:val="0"/>
        <w:autoSpaceDN w:val="0"/>
        <w:spacing w:line="480" w:lineRule="exact"/>
        <w:ind w:firstLine="480" w:firstLineChars="200"/>
        <w:rPr>
          <w:sz w:val="24"/>
        </w:rPr>
      </w:pPr>
      <w:r>
        <w:rPr>
          <w:rFonts w:hint="eastAsia"/>
          <w:sz w:val="24"/>
        </w:rPr>
        <w:t>养殖场废水主要包括鸡舍冲洗废水、职工生活污水、锅炉定排水和软水系统排水。</w:t>
      </w:r>
    </w:p>
    <w:p>
      <w:pPr>
        <w:autoSpaceDE w:val="0"/>
        <w:autoSpaceDN w:val="0"/>
        <w:spacing w:line="480" w:lineRule="exact"/>
        <w:ind w:firstLine="480" w:firstLineChars="200"/>
        <w:rPr>
          <w:sz w:val="24"/>
        </w:rPr>
      </w:pPr>
      <w:r>
        <w:rPr>
          <w:rFonts w:hint="eastAsia"/>
          <w:sz w:val="24"/>
        </w:rPr>
        <w:t>项目排水采用雨污分流制；雨水经雨水收集管网收集后由场区路旁排水沟排出场外。锅炉定排水、软水制备系统排水、生活污水、鸡舍冲洗废水集中收集，经污水处理站处理后，用于农田灌溉，不外排。</w:t>
      </w:r>
    </w:p>
    <w:p>
      <w:pPr>
        <w:spacing w:line="480" w:lineRule="exact"/>
        <w:ind w:firstLine="480" w:firstLineChars="200"/>
        <w:rPr>
          <w:bCs/>
          <w:sz w:val="24"/>
          <w:szCs w:val="24"/>
        </w:rPr>
      </w:pPr>
      <w:r>
        <w:rPr>
          <w:rFonts w:hint="eastAsia"/>
          <w:sz w:val="24"/>
        </w:rPr>
        <w:t>本项目用排水量核算表见表</w:t>
      </w:r>
      <w:r>
        <w:rPr>
          <w:sz w:val="24"/>
        </w:rPr>
        <w:t>3.</w:t>
      </w:r>
      <w:r>
        <w:rPr>
          <w:rFonts w:hint="eastAsia"/>
          <w:sz w:val="24"/>
        </w:rPr>
        <w:t>3</w:t>
      </w:r>
      <w:r>
        <w:rPr>
          <w:sz w:val="24"/>
        </w:rPr>
        <w:t>-1</w:t>
      </w:r>
      <w:r>
        <w:rPr>
          <w:rFonts w:hint="eastAsia"/>
          <w:sz w:val="24"/>
        </w:rPr>
        <w:t>。</w:t>
      </w:r>
    </w:p>
    <w:p>
      <w:pPr>
        <w:spacing w:line="480" w:lineRule="exact"/>
        <w:jc w:val="center"/>
        <w:rPr>
          <w:rFonts w:ascii="黑体" w:hAnsi="黑体" w:eastAsia="黑体"/>
          <w:sz w:val="24"/>
          <w:szCs w:val="21"/>
        </w:rPr>
      </w:pPr>
      <w:r>
        <w:rPr>
          <w:rFonts w:hint="eastAsia" w:ascii="黑体" w:hAnsi="黑体" w:eastAsia="黑体"/>
          <w:sz w:val="24"/>
          <w:szCs w:val="21"/>
        </w:rPr>
        <w:t>表3.3-1  项目用水量核算表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1149"/>
        <w:gridCol w:w="1292"/>
        <w:gridCol w:w="1436"/>
        <w:gridCol w:w="862"/>
        <w:gridCol w:w="718"/>
        <w:gridCol w:w="864"/>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vMerge w:val="restar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序号</w:t>
            </w:r>
          </w:p>
        </w:tc>
        <w:tc>
          <w:tcPr>
            <w:tcW w:w="647" w:type="pct"/>
            <w:vMerge w:val="restar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用水项目</w:t>
            </w:r>
          </w:p>
        </w:tc>
        <w:tc>
          <w:tcPr>
            <w:tcW w:w="727" w:type="pct"/>
            <w:vMerge w:val="restar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用水单位</w:t>
            </w:r>
          </w:p>
        </w:tc>
        <w:tc>
          <w:tcPr>
            <w:tcW w:w="808" w:type="pct"/>
            <w:vMerge w:val="restar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额定量</w:t>
            </w:r>
          </w:p>
        </w:tc>
        <w:tc>
          <w:tcPr>
            <w:tcW w:w="1375" w:type="pct"/>
            <w:gridSpan w:val="3"/>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用排水量（</w:t>
            </w:r>
            <w:r>
              <w:rPr>
                <w:szCs w:val="21"/>
              </w:rPr>
              <w:t>m</w:t>
            </w:r>
            <w:r>
              <w:rPr>
                <w:szCs w:val="21"/>
                <w:vertAlign w:val="superscript"/>
              </w:rPr>
              <w:t>3</w:t>
            </w:r>
            <w:r>
              <w:rPr>
                <w:szCs w:val="21"/>
              </w:rPr>
              <w:t>·d</w:t>
            </w:r>
            <w:r>
              <w:rPr>
                <w:szCs w:val="21"/>
                <w:vertAlign w:val="superscript"/>
              </w:rPr>
              <w:t>-1</w:t>
            </w:r>
            <w:r>
              <w:rPr>
                <w:szCs w:val="21"/>
              </w:rPr>
              <w:t>)</w:t>
            </w:r>
          </w:p>
        </w:tc>
        <w:tc>
          <w:tcPr>
            <w:tcW w:w="1189" w:type="pct"/>
            <w:vMerge w:val="restar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4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72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80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485"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新鲜水</w:t>
            </w:r>
          </w:p>
        </w:tc>
        <w:tc>
          <w:tcPr>
            <w:tcW w:w="40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复用水</w:t>
            </w:r>
          </w:p>
        </w:tc>
        <w:tc>
          <w:tcPr>
            <w:tcW w:w="486"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排水量</w:t>
            </w:r>
          </w:p>
        </w:tc>
        <w:tc>
          <w:tcPr>
            <w:tcW w:w="11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1</w:t>
            </w:r>
          </w:p>
        </w:tc>
        <w:tc>
          <w:tcPr>
            <w:tcW w:w="647"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bCs/>
                <w:szCs w:val="21"/>
              </w:rPr>
              <w:t>鸡饮用水</w:t>
            </w:r>
          </w:p>
        </w:tc>
        <w:tc>
          <w:tcPr>
            <w:tcW w:w="727"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szCs w:val="21"/>
              </w:rPr>
            </w:pPr>
            <w:r>
              <w:rPr>
                <w:szCs w:val="21"/>
              </w:rPr>
              <w:t>23.8</w:t>
            </w:r>
            <w:r>
              <w:rPr>
                <w:rFonts w:hint="eastAsia"/>
                <w:szCs w:val="21"/>
              </w:rPr>
              <w:t>万只/批</w:t>
            </w:r>
          </w:p>
        </w:tc>
        <w:tc>
          <w:tcPr>
            <w:tcW w:w="808"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0.6L/（只·d）</w:t>
            </w:r>
          </w:p>
        </w:tc>
        <w:tc>
          <w:tcPr>
            <w:tcW w:w="485"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szCs w:val="21"/>
              </w:rPr>
            </w:pPr>
            <w:r>
              <w:rPr>
                <w:szCs w:val="21"/>
              </w:rPr>
              <w:t>142.8</w:t>
            </w:r>
          </w:p>
        </w:tc>
        <w:tc>
          <w:tcPr>
            <w:tcW w:w="40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0</w:t>
            </w:r>
          </w:p>
        </w:tc>
        <w:tc>
          <w:tcPr>
            <w:tcW w:w="48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189"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生长、粪便、蒸发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szCs w:val="21"/>
              </w:rPr>
              <w:t>2</w:t>
            </w:r>
          </w:p>
        </w:tc>
        <w:tc>
          <w:tcPr>
            <w:tcW w:w="647"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bCs/>
                <w:szCs w:val="21"/>
              </w:rPr>
              <w:t>冲洗用水</w:t>
            </w:r>
          </w:p>
        </w:tc>
        <w:tc>
          <w:tcPr>
            <w:tcW w:w="727" w:type="pct"/>
            <w:vMerge w:val="restart"/>
            <w:tcBorders>
              <w:top w:val="single" w:color="auto" w:sz="4" w:space="0"/>
              <w:left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vertAlign w:val="superscript"/>
              </w:rPr>
            </w:pPr>
            <w:r>
              <w:rPr>
                <w:szCs w:val="21"/>
              </w:rPr>
              <w:t>10710</w:t>
            </w:r>
            <w:r>
              <w:rPr>
                <w:rFonts w:hint="eastAsia"/>
                <w:szCs w:val="21"/>
              </w:rPr>
              <w:t>m</w:t>
            </w:r>
            <w:r>
              <w:rPr>
                <w:rFonts w:hint="eastAsia"/>
                <w:szCs w:val="21"/>
                <w:vertAlign w:val="superscript"/>
              </w:rPr>
              <w:t>2</w:t>
            </w:r>
          </w:p>
        </w:tc>
        <w:tc>
          <w:tcPr>
            <w:tcW w:w="808"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bCs/>
                <w:szCs w:val="21"/>
              </w:rPr>
              <w:t>3</w:t>
            </w:r>
            <w:r>
              <w:rPr>
                <w:bCs/>
                <w:szCs w:val="21"/>
              </w:rPr>
              <w:t>L/m</w:t>
            </w:r>
            <w:r>
              <w:rPr>
                <w:bCs/>
                <w:szCs w:val="21"/>
                <w:vertAlign w:val="superscript"/>
              </w:rPr>
              <w:t>2</w:t>
            </w:r>
            <w:r>
              <w:rPr>
                <w:rFonts w:hint="eastAsia"/>
                <w:bCs/>
                <w:szCs w:val="21"/>
              </w:rPr>
              <w:t>·次</w:t>
            </w:r>
          </w:p>
        </w:tc>
        <w:tc>
          <w:tcPr>
            <w:tcW w:w="485" w:type="pct"/>
            <w:tcBorders>
              <w:top w:val="single" w:color="auto" w:sz="4" w:space="0"/>
              <w:left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32.1m</w:t>
            </w:r>
            <w:r>
              <w:rPr>
                <w:rFonts w:hint="eastAsia"/>
                <w:szCs w:val="21"/>
                <w:vertAlign w:val="superscript"/>
              </w:rPr>
              <w:t>3</w:t>
            </w:r>
            <w:r>
              <w:rPr>
                <w:rFonts w:hint="eastAsia"/>
                <w:szCs w:val="21"/>
              </w:rPr>
              <w:t>/次</w:t>
            </w:r>
          </w:p>
        </w:tc>
        <w:tc>
          <w:tcPr>
            <w:tcW w:w="404"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szCs w:val="21"/>
              </w:rPr>
              <w:t>0</w:t>
            </w:r>
          </w:p>
        </w:tc>
        <w:tc>
          <w:tcPr>
            <w:tcW w:w="486" w:type="pct"/>
            <w:tcBorders>
              <w:top w:val="single" w:color="auto" w:sz="4" w:space="0"/>
              <w:left w:val="single" w:color="auto" w:sz="4" w:space="0"/>
              <w:right w:val="single" w:color="auto" w:sz="4" w:space="0"/>
            </w:tcBorders>
            <w:vAlign w:val="center"/>
          </w:tcPr>
          <w:p>
            <w:pPr>
              <w:shd w:val="clear" w:color="auto" w:fill="FFFFFF"/>
              <w:jc w:val="center"/>
              <w:rPr>
                <w:szCs w:val="21"/>
              </w:rPr>
            </w:pPr>
            <w:r>
              <w:rPr>
                <w:szCs w:val="21"/>
              </w:rPr>
              <w:t>2</w:t>
            </w:r>
            <w:r>
              <w:rPr>
                <w:rFonts w:hint="eastAsia"/>
                <w:szCs w:val="21"/>
              </w:rPr>
              <w:t>8.9m</w:t>
            </w:r>
            <w:r>
              <w:rPr>
                <w:rFonts w:hint="eastAsia"/>
                <w:szCs w:val="21"/>
                <w:vertAlign w:val="superscript"/>
              </w:rPr>
              <w:t>3</w:t>
            </w:r>
            <w:r>
              <w:rPr>
                <w:rFonts w:hint="eastAsia"/>
                <w:szCs w:val="21"/>
              </w:rPr>
              <w:t>/次</w:t>
            </w:r>
          </w:p>
        </w:tc>
        <w:tc>
          <w:tcPr>
            <w:tcW w:w="1189"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szCs w:val="21"/>
              </w:rPr>
              <w:t>污水处理站处理回用于农田灌溉，夏灌冬储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vMerge w:val="continue"/>
            <w:tcBorders>
              <w:left w:val="single" w:color="auto" w:sz="4" w:space="0"/>
              <w:right w:val="single" w:color="auto" w:sz="4" w:space="0"/>
            </w:tcBorders>
            <w:vAlign w:val="center"/>
          </w:tcPr>
          <w:p>
            <w:pPr>
              <w:shd w:val="clear" w:color="auto" w:fill="FFFFFF"/>
              <w:jc w:val="center"/>
              <w:rPr>
                <w:szCs w:val="21"/>
              </w:rPr>
            </w:pPr>
          </w:p>
        </w:tc>
        <w:tc>
          <w:tcPr>
            <w:tcW w:w="647" w:type="pct"/>
            <w:vMerge w:val="continue"/>
            <w:tcBorders>
              <w:left w:val="single" w:color="auto" w:sz="4" w:space="0"/>
              <w:right w:val="single" w:color="auto" w:sz="4" w:space="0"/>
            </w:tcBorders>
            <w:vAlign w:val="center"/>
          </w:tcPr>
          <w:p>
            <w:pPr>
              <w:shd w:val="clear" w:color="auto" w:fill="FFFFFF"/>
              <w:jc w:val="center"/>
              <w:rPr>
                <w:bCs/>
                <w:szCs w:val="21"/>
              </w:rPr>
            </w:pPr>
          </w:p>
        </w:tc>
        <w:tc>
          <w:tcPr>
            <w:tcW w:w="727" w:type="pct"/>
            <w:vMerge w:val="continue"/>
            <w:tcBorders>
              <w:left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p>
        </w:tc>
        <w:tc>
          <w:tcPr>
            <w:tcW w:w="808" w:type="pct"/>
            <w:vMerge w:val="continue"/>
            <w:tcBorders>
              <w:left w:val="single" w:color="auto" w:sz="4" w:space="0"/>
              <w:right w:val="single" w:color="auto" w:sz="4" w:space="0"/>
            </w:tcBorders>
            <w:vAlign w:val="center"/>
          </w:tcPr>
          <w:p>
            <w:pPr>
              <w:shd w:val="clear" w:color="auto" w:fill="FFFFFF"/>
              <w:jc w:val="center"/>
              <w:rPr>
                <w:bCs/>
                <w:szCs w:val="21"/>
              </w:rPr>
            </w:pPr>
          </w:p>
        </w:tc>
        <w:tc>
          <w:tcPr>
            <w:tcW w:w="485" w:type="pct"/>
            <w:tcBorders>
              <w:top w:val="single" w:color="auto" w:sz="4" w:space="0"/>
              <w:left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0.71</w:t>
            </w:r>
          </w:p>
        </w:tc>
        <w:tc>
          <w:tcPr>
            <w:tcW w:w="404" w:type="pct"/>
            <w:vMerge w:val="continue"/>
            <w:tcBorders>
              <w:left w:val="single" w:color="auto" w:sz="4" w:space="0"/>
              <w:right w:val="single" w:color="auto" w:sz="4" w:space="0"/>
            </w:tcBorders>
            <w:vAlign w:val="center"/>
          </w:tcPr>
          <w:p>
            <w:pPr>
              <w:shd w:val="clear" w:color="auto" w:fill="FFFFFF"/>
              <w:jc w:val="center"/>
              <w:rPr>
                <w:szCs w:val="21"/>
              </w:rPr>
            </w:pPr>
          </w:p>
        </w:tc>
        <w:tc>
          <w:tcPr>
            <w:tcW w:w="486" w:type="pc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szCs w:val="21"/>
              </w:rPr>
              <w:t>0.64</w:t>
            </w:r>
          </w:p>
        </w:tc>
        <w:tc>
          <w:tcPr>
            <w:tcW w:w="1189" w:type="pct"/>
            <w:vMerge w:val="continue"/>
            <w:tcBorders>
              <w:left w:val="single" w:color="auto" w:sz="4" w:space="0"/>
              <w:right w:val="single" w:color="auto" w:sz="4" w:space="0"/>
            </w:tcBorders>
            <w:vAlign w:val="center"/>
          </w:tcPr>
          <w:p>
            <w:pPr>
              <w:shd w:val="clear" w:color="auto" w:fill="FFFFFF"/>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3</w:t>
            </w:r>
          </w:p>
        </w:tc>
        <w:tc>
          <w:tcPr>
            <w:tcW w:w="647"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bCs/>
                <w:szCs w:val="21"/>
              </w:rPr>
            </w:pPr>
            <w:r>
              <w:rPr>
                <w:rFonts w:hint="eastAsia"/>
                <w:bCs/>
                <w:szCs w:val="21"/>
              </w:rPr>
              <w:t>降温用水</w:t>
            </w:r>
          </w:p>
        </w:tc>
        <w:tc>
          <w:tcPr>
            <w:tcW w:w="727"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鸡舍</w:t>
            </w:r>
            <w:r>
              <w:rPr>
                <w:szCs w:val="21"/>
              </w:rPr>
              <w:t>7</w:t>
            </w:r>
            <w:r>
              <w:rPr>
                <w:rFonts w:hint="eastAsia"/>
                <w:szCs w:val="21"/>
              </w:rPr>
              <w:t>栋</w:t>
            </w:r>
          </w:p>
        </w:tc>
        <w:tc>
          <w:tcPr>
            <w:tcW w:w="808"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bCs/>
                <w:szCs w:val="21"/>
                <w:vertAlign w:val="superscript"/>
              </w:rPr>
            </w:pPr>
            <w:r>
              <w:rPr>
                <w:bCs/>
                <w:szCs w:val="21"/>
              </w:rPr>
              <w:t>2m</w:t>
            </w:r>
            <w:r>
              <w:rPr>
                <w:bCs/>
                <w:szCs w:val="21"/>
                <w:vertAlign w:val="superscript"/>
              </w:rPr>
              <w:t>3</w:t>
            </w:r>
            <w:r>
              <w:rPr>
                <w:bCs/>
                <w:szCs w:val="21"/>
              </w:rPr>
              <w:t>/d</w:t>
            </w:r>
            <w:r>
              <w:rPr>
                <w:rFonts w:hint="eastAsia"/>
                <w:bCs/>
                <w:szCs w:val="21"/>
              </w:rPr>
              <w:t>·栋</w:t>
            </w:r>
          </w:p>
        </w:tc>
        <w:tc>
          <w:tcPr>
            <w:tcW w:w="485"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14</w:t>
            </w:r>
          </w:p>
        </w:tc>
        <w:tc>
          <w:tcPr>
            <w:tcW w:w="40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0</w:t>
            </w:r>
          </w:p>
        </w:tc>
        <w:tc>
          <w:tcPr>
            <w:tcW w:w="486"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0</w:t>
            </w:r>
          </w:p>
        </w:tc>
        <w:tc>
          <w:tcPr>
            <w:tcW w:w="1189"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循环利用，定期补水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szCs w:val="21"/>
              </w:rPr>
              <w:t>4</w:t>
            </w:r>
          </w:p>
        </w:tc>
        <w:tc>
          <w:tcPr>
            <w:tcW w:w="647" w:type="pct"/>
            <w:vMerge w:val="restart"/>
            <w:tcBorders>
              <w:top w:val="single" w:color="auto" w:sz="4" w:space="0"/>
              <w:left w:val="single" w:color="auto" w:sz="4" w:space="0"/>
              <w:right w:val="single" w:color="auto" w:sz="4" w:space="0"/>
            </w:tcBorders>
            <w:vAlign w:val="center"/>
          </w:tcPr>
          <w:p>
            <w:pPr>
              <w:shd w:val="clear" w:color="auto" w:fill="FFFFFF"/>
              <w:jc w:val="center"/>
              <w:rPr>
                <w:bCs/>
                <w:szCs w:val="21"/>
              </w:rPr>
            </w:pPr>
            <w:r>
              <w:rPr>
                <w:rFonts w:hint="eastAsia"/>
                <w:bCs/>
                <w:szCs w:val="21"/>
              </w:rPr>
              <w:t>消毒用水</w:t>
            </w:r>
          </w:p>
        </w:tc>
        <w:tc>
          <w:tcPr>
            <w:tcW w:w="727" w:type="pct"/>
            <w:vMerge w:val="restart"/>
            <w:tcBorders>
              <w:top w:val="single" w:color="auto" w:sz="4" w:space="0"/>
              <w:left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鸡舍7栋</w:t>
            </w:r>
          </w:p>
        </w:tc>
        <w:tc>
          <w:tcPr>
            <w:tcW w:w="808" w:type="pct"/>
            <w:vMerge w:val="restart"/>
            <w:tcBorders>
              <w:top w:val="single" w:color="auto" w:sz="4" w:space="0"/>
              <w:left w:val="single" w:color="auto" w:sz="4" w:space="0"/>
              <w:right w:val="single" w:color="auto" w:sz="4" w:space="0"/>
            </w:tcBorders>
            <w:vAlign w:val="center"/>
          </w:tcPr>
          <w:p>
            <w:pPr>
              <w:shd w:val="clear" w:color="auto" w:fill="FFFFFF"/>
              <w:jc w:val="center"/>
              <w:rPr>
                <w:bCs/>
                <w:szCs w:val="21"/>
              </w:rPr>
            </w:pPr>
            <w:r>
              <w:rPr>
                <w:rFonts w:hint="eastAsia"/>
                <w:bCs/>
                <w:szCs w:val="21"/>
              </w:rPr>
              <w:t>2.4</w:t>
            </w:r>
            <w:r>
              <w:rPr>
                <w:bCs/>
                <w:szCs w:val="21"/>
              </w:rPr>
              <w:t>m</w:t>
            </w:r>
            <w:r>
              <w:rPr>
                <w:bCs/>
                <w:szCs w:val="21"/>
                <w:vertAlign w:val="superscript"/>
              </w:rPr>
              <w:t>3</w:t>
            </w:r>
            <w:r>
              <w:rPr>
                <w:bCs/>
                <w:szCs w:val="21"/>
              </w:rPr>
              <w:t>/</w:t>
            </w:r>
            <w:r>
              <w:rPr>
                <w:rFonts w:hint="eastAsia"/>
                <w:bCs/>
                <w:szCs w:val="21"/>
              </w:rPr>
              <w:t>批次</w:t>
            </w:r>
          </w:p>
        </w:tc>
        <w:tc>
          <w:tcPr>
            <w:tcW w:w="485"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2.4m</w:t>
            </w:r>
            <w:r>
              <w:rPr>
                <w:rFonts w:hint="eastAsia"/>
                <w:szCs w:val="21"/>
                <w:vertAlign w:val="superscript"/>
              </w:rPr>
              <w:t>3</w:t>
            </w:r>
            <w:r>
              <w:rPr>
                <w:rFonts w:hint="eastAsia"/>
                <w:szCs w:val="21"/>
              </w:rPr>
              <w:t>/次</w:t>
            </w:r>
          </w:p>
        </w:tc>
        <w:tc>
          <w:tcPr>
            <w:tcW w:w="404"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szCs w:val="21"/>
              </w:rPr>
              <w:t>0</w:t>
            </w:r>
          </w:p>
        </w:tc>
        <w:tc>
          <w:tcPr>
            <w:tcW w:w="486"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szCs w:val="21"/>
              </w:rPr>
              <w:t>0</w:t>
            </w:r>
          </w:p>
        </w:tc>
        <w:tc>
          <w:tcPr>
            <w:tcW w:w="1189"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szCs w:val="21"/>
              </w:rPr>
              <w:t>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vMerge w:val="continue"/>
            <w:tcBorders>
              <w:left w:val="single" w:color="auto" w:sz="4" w:space="0"/>
              <w:bottom w:val="single" w:color="auto" w:sz="4" w:space="0"/>
              <w:right w:val="single" w:color="auto" w:sz="4" w:space="0"/>
            </w:tcBorders>
            <w:vAlign w:val="center"/>
          </w:tcPr>
          <w:p>
            <w:pPr>
              <w:shd w:val="clear" w:color="auto" w:fill="FFFFFF"/>
              <w:jc w:val="center"/>
              <w:rPr>
                <w:szCs w:val="21"/>
              </w:rPr>
            </w:pPr>
          </w:p>
        </w:tc>
        <w:tc>
          <w:tcPr>
            <w:tcW w:w="647" w:type="pct"/>
            <w:vMerge w:val="continue"/>
            <w:tcBorders>
              <w:left w:val="single" w:color="auto" w:sz="4" w:space="0"/>
              <w:bottom w:val="single" w:color="auto" w:sz="4" w:space="0"/>
              <w:right w:val="single" w:color="auto" w:sz="4" w:space="0"/>
            </w:tcBorders>
            <w:vAlign w:val="center"/>
          </w:tcPr>
          <w:p>
            <w:pPr>
              <w:shd w:val="clear" w:color="auto" w:fill="FFFFFF"/>
              <w:jc w:val="center"/>
              <w:rPr>
                <w:bCs/>
                <w:szCs w:val="21"/>
              </w:rPr>
            </w:pPr>
          </w:p>
        </w:tc>
        <w:tc>
          <w:tcPr>
            <w:tcW w:w="727" w:type="pct"/>
            <w:vMerge w:val="continue"/>
            <w:tcBorders>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p>
        </w:tc>
        <w:tc>
          <w:tcPr>
            <w:tcW w:w="808" w:type="pct"/>
            <w:vMerge w:val="continue"/>
            <w:tcBorders>
              <w:left w:val="single" w:color="auto" w:sz="4" w:space="0"/>
              <w:bottom w:val="single" w:color="auto" w:sz="4" w:space="0"/>
              <w:right w:val="single" w:color="auto" w:sz="4" w:space="0"/>
            </w:tcBorders>
            <w:vAlign w:val="center"/>
          </w:tcPr>
          <w:p>
            <w:pPr>
              <w:shd w:val="clear" w:color="auto" w:fill="FFFFFF"/>
              <w:jc w:val="center"/>
              <w:rPr>
                <w:bCs/>
                <w:szCs w:val="21"/>
              </w:rPr>
            </w:pPr>
          </w:p>
        </w:tc>
        <w:tc>
          <w:tcPr>
            <w:tcW w:w="485"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0.053</w:t>
            </w:r>
          </w:p>
        </w:tc>
        <w:tc>
          <w:tcPr>
            <w:tcW w:w="404" w:type="pct"/>
            <w:vMerge w:val="continue"/>
            <w:tcBorders>
              <w:left w:val="single" w:color="auto" w:sz="4" w:space="0"/>
              <w:bottom w:val="single" w:color="auto" w:sz="4" w:space="0"/>
              <w:right w:val="single" w:color="auto" w:sz="4" w:space="0"/>
            </w:tcBorders>
            <w:vAlign w:val="center"/>
          </w:tcPr>
          <w:p>
            <w:pPr>
              <w:shd w:val="clear" w:color="auto" w:fill="FFFFFF"/>
              <w:jc w:val="center"/>
              <w:rPr>
                <w:szCs w:val="21"/>
              </w:rPr>
            </w:pPr>
          </w:p>
        </w:tc>
        <w:tc>
          <w:tcPr>
            <w:tcW w:w="486" w:type="pct"/>
            <w:vMerge w:val="continue"/>
            <w:tcBorders>
              <w:left w:val="single" w:color="auto" w:sz="4" w:space="0"/>
              <w:bottom w:val="single" w:color="auto" w:sz="4" w:space="0"/>
              <w:right w:val="single" w:color="auto" w:sz="4" w:space="0"/>
            </w:tcBorders>
            <w:vAlign w:val="center"/>
          </w:tcPr>
          <w:p>
            <w:pPr>
              <w:shd w:val="clear" w:color="auto" w:fill="FFFFFF"/>
              <w:jc w:val="center"/>
              <w:rPr>
                <w:szCs w:val="21"/>
              </w:rPr>
            </w:pPr>
          </w:p>
        </w:tc>
        <w:tc>
          <w:tcPr>
            <w:tcW w:w="1189" w:type="pct"/>
            <w:vMerge w:val="continue"/>
            <w:tcBorders>
              <w:left w:val="single" w:color="auto" w:sz="4" w:space="0"/>
              <w:bottom w:val="single" w:color="auto" w:sz="4" w:space="0"/>
              <w:right w:val="single" w:color="auto" w:sz="4" w:space="0"/>
            </w:tcBorders>
            <w:vAlign w:val="center"/>
          </w:tcPr>
          <w:p>
            <w:pPr>
              <w:shd w:val="clear" w:color="auto" w:fill="FFFFFF"/>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szCs w:val="21"/>
              </w:rPr>
              <w:t>5</w:t>
            </w:r>
          </w:p>
        </w:tc>
        <w:tc>
          <w:tcPr>
            <w:tcW w:w="647"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bCs/>
                <w:szCs w:val="21"/>
              </w:rPr>
            </w:pPr>
            <w:r>
              <w:rPr>
                <w:rFonts w:hint="eastAsia"/>
                <w:bCs/>
                <w:szCs w:val="21"/>
              </w:rPr>
              <w:t>锅炉用水</w:t>
            </w:r>
          </w:p>
        </w:tc>
        <w:tc>
          <w:tcPr>
            <w:tcW w:w="727"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szCs w:val="21"/>
              </w:rPr>
              <w:t>1</w:t>
            </w:r>
            <w:r>
              <w:rPr>
                <w:rFonts w:hint="eastAsia"/>
                <w:szCs w:val="21"/>
              </w:rPr>
              <w:t>台</w:t>
            </w:r>
            <w:r>
              <w:rPr>
                <w:szCs w:val="21"/>
              </w:rPr>
              <w:t>2.1</w:t>
            </w:r>
            <w:r>
              <w:rPr>
                <w:rFonts w:hint="eastAsia"/>
                <w:szCs w:val="21"/>
              </w:rPr>
              <w:t>MW锅炉</w:t>
            </w:r>
          </w:p>
        </w:tc>
        <w:tc>
          <w:tcPr>
            <w:tcW w:w="808"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bCs/>
                <w:szCs w:val="21"/>
              </w:rPr>
            </w:pPr>
            <w:r>
              <w:rPr>
                <w:rFonts w:hint="eastAsia"/>
                <w:bCs/>
                <w:szCs w:val="21"/>
              </w:rPr>
              <w:t>循环水量的</w:t>
            </w:r>
            <w:r>
              <w:rPr>
                <w:bCs/>
                <w:szCs w:val="21"/>
              </w:rPr>
              <w:t>1%</w:t>
            </w:r>
          </w:p>
        </w:tc>
        <w:tc>
          <w:tcPr>
            <w:tcW w:w="485"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szCs w:val="21"/>
              </w:rPr>
              <w:t>0.72</w:t>
            </w:r>
            <w:r>
              <w:rPr>
                <w:rFonts w:hint="eastAsia"/>
                <w:szCs w:val="21"/>
              </w:rPr>
              <w:t>/</w:t>
            </w:r>
            <w:r>
              <w:rPr>
                <w:szCs w:val="21"/>
              </w:rPr>
              <w:t>0.24</w:t>
            </w:r>
          </w:p>
          <w:p>
            <w:pPr>
              <w:shd w:val="clear" w:color="auto" w:fill="FFFFFF"/>
              <w:jc w:val="center"/>
              <w:rPr>
                <w:szCs w:val="21"/>
              </w:rPr>
            </w:pPr>
            <w:r>
              <w:rPr>
                <w:rFonts w:hint="eastAsia"/>
                <w:szCs w:val="21"/>
              </w:rPr>
              <w:t>软水</w:t>
            </w:r>
          </w:p>
        </w:tc>
        <w:tc>
          <w:tcPr>
            <w:tcW w:w="40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0</w:t>
            </w:r>
          </w:p>
        </w:tc>
        <w:tc>
          <w:tcPr>
            <w:tcW w:w="486"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0.</w:t>
            </w:r>
            <w:r>
              <w:rPr>
                <w:szCs w:val="21"/>
              </w:rPr>
              <w:t>36</w:t>
            </w:r>
            <w:r>
              <w:rPr>
                <w:rFonts w:hint="eastAsia"/>
                <w:szCs w:val="21"/>
              </w:rPr>
              <w:t>/0.</w:t>
            </w:r>
            <w:r>
              <w:rPr>
                <w:szCs w:val="21"/>
              </w:rPr>
              <w:t>12</w:t>
            </w:r>
          </w:p>
        </w:tc>
        <w:tc>
          <w:tcPr>
            <w:tcW w:w="1189" w:type="pct"/>
            <w:vMerge w:val="restart"/>
            <w:tcBorders>
              <w:top w:val="single" w:color="auto" w:sz="4" w:space="0"/>
              <w:left w:val="single" w:color="auto" w:sz="4" w:space="0"/>
              <w:right w:val="single" w:color="auto" w:sz="4" w:space="0"/>
            </w:tcBorders>
            <w:vAlign w:val="center"/>
          </w:tcPr>
          <w:p>
            <w:pPr>
              <w:shd w:val="clear" w:color="auto" w:fill="FFFFFF"/>
              <w:jc w:val="center"/>
              <w:rPr>
                <w:szCs w:val="21"/>
              </w:rPr>
            </w:pPr>
            <w:r>
              <w:rPr>
                <w:rFonts w:hint="eastAsia"/>
                <w:szCs w:val="21"/>
              </w:rPr>
              <w:t>污水处理站处理回用于农田灌溉，夏灌冬储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vMerge w:val="continue"/>
            <w:tcBorders>
              <w:left w:val="single" w:color="auto" w:sz="4" w:space="0"/>
              <w:bottom w:val="single" w:color="auto" w:sz="4" w:space="0"/>
              <w:right w:val="single" w:color="auto" w:sz="4" w:space="0"/>
            </w:tcBorders>
            <w:vAlign w:val="center"/>
          </w:tcPr>
          <w:p>
            <w:pPr>
              <w:shd w:val="clear" w:color="auto" w:fill="FFFFFF"/>
              <w:jc w:val="center"/>
              <w:rPr>
                <w:szCs w:val="21"/>
              </w:rPr>
            </w:pPr>
          </w:p>
        </w:tc>
        <w:tc>
          <w:tcPr>
            <w:tcW w:w="647"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bCs/>
                <w:szCs w:val="21"/>
              </w:rPr>
            </w:pPr>
            <w:r>
              <w:rPr>
                <w:rFonts w:hint="eastAsia"/>
                <w:bCs/>
                <w:szCs w:val="21"/>
              </w:rPr>
              <w:t>软水制备</w:t>
            </w:r>
          </w:p>
        </w:tc>
        <w:tc>
          <w:tcPr>
            <w:tcW w:w="727"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rFonts w:hint="eastAsia"/>
                <w:szCs w:val="21"/>
              </w:rPr>
              <w:t>/</w:t>
            </w:r>
          </w:p>
        </w:tc>
        <w:tc>
          <w:tcPr>
            <w:tcW w:w="808"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bCs/>
                <w:szCs w:val="21"/>
              </w:rPr>
            </w:pPr>
            <w:r>
              <w:rPr>
                <w:rFonts w:hint="eastAsia"/>
                <w:bCs/>
                <w:szCs w:val="21"/>
              </w:rPr>
              <w:t>80%</w:t>
            </w:r>
          </w:p>
        </w:tc>
        <w:tc>
          <w:tcPr>
            <w:tcW w:w="485"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hd w:val="clear" w:color="auto" w:fill="FFFFFF"/>
              <w:jc w:val="center"/>
              <w:rPr>
                <w:szCs w:val="21"/>
              </w:rPr>
            </w:pPr>
            <w:r>
              <w:rPr>
                <w:szCs w:val="21"/>
              </w:rPr>
              <w:t>0.9</w:t>
            </w:r>
            <w:r>
              <w:rPr>
                <w:rFonts w:hint="eastAsia"/>
                <w:szCs w:val="21"/>
              </w:rPr>
              <w:t>/</w:t>
            </w:r>
            <w:r>
              <w:rPr>
                <w:szCs w:val="21"/>
              </w:rPr>
              <w:t>0.3</w:t>
            </w:r>
          </w:p>
        </w:tc>
        <w:tc>
          <w:tcPr>
            <w:tcW w:w="40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0</w:t>
            </w:r>
          </w:p>
        </w:tc>
        <w:tc>
          <w:tcPr>
            <w:tcW w:w="486"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0.</w:t>
            </w:r>
            <w:r>
              <w:rPr>
                <w:szCs w:val="21"/>
              </w:rPr>
              <w:t>18</w:t>
            </w:r>
            <w:r>
              <w:rPr>
                <w:rFonts w:hint="eastAsia"/>
                <w:szCs w:val="21"/>
              </w:rPr>
              <w:t>/0.</w:t>
            </w:r>
            <w:r>
              <w:rPr>
                <w:szCs w:val="21"/>
              </w:rPr>
              <w:t>06</w:t>
            </w:r>
          </w:p>
        </w:tc>
        <w:tc>
          <w:tcPr>
            <w:tcW w:w="1189" w:type="pct"/>
            <w:vMerge w:val="continue"/>
            <w:tcBorders>
              <w:left w:val="single" w:color="auto" w:sz="4" w:space="0"/>
              <w:right w:val="single" w:color="auto" w:sz="4" w:space="0"/>
            </w:tcBorders>
            <w:vAlign w:val="center"/>
          </w:tcPr>
          <w:p>
            <w:pPr>
              <w:shd w:val="clear" w:color="auto" w:fill="FFFFFF"/>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szCs w:val="21"/>
              </w:rPr>
              <w:t>6</w:t>
            </w:r>
          </w:p>
        </w:tc>
        <w:tc>
          <w:tcPr>
            <w:tcW w:w="647"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生活用水</w:t>
            </w:r>
          </w:p>
        </w:tc>
        <w:tc>
          <w:tcPr>
            <w:tcW w:w="727"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szCs w:val="21"/>
              </w:rPr>
              <w:t>15</w:t>
            </w:r>
            <w:r>
              <w:rPr>
                <w:rFonts w:hint="eastAsia"/>
                <w:szCs w:val="21"/>
              </w:rPr>
              <w:t>人</w:t>
            </w:r>
          </w:p>
        </w:tc>
        <w:tc>
          <w:tcPr>
            <w:tcW w:w="808"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szCs w:val="21"/>
              </w:rPr>
              <w:t>30L/</w:t>
            </w:r>
            <w:r>
              <w:rPr>
                <w:rFonts w:hint="eastAsia"/>
                <w:szCs w:val="21"/>
              </w:rPr>
              <w:t>人</w:t>
            </w:r>
            <w:r>
              <w:rPr>
                <w:szCs w:val="21"/>
              </w:rPr>
              <w:t>·d</w:t>
            </w:r>
          </w:p>
        </w:tc>
        <w:tc>
          <w:tcPr>
            <w:tcW w:w="485"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szCs w:val="21"/>
              </w:rPr>
              <w:t>0.45</w:t>
            </w:r>
          </w:p>
        </w:tc>
        <w:tc>
          <w:tcPr>
            <w:tcW w:w="40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w:t>
            </w:r>
          </w:p>
        </w:tc>
        <w:tc>
          <w:tcPr>
            <w:tcW w:w="486"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0.36</w:t>
            </w:r>
          </w:p>
        </w:tc>
        <w:tc>
          <w:tcPr>
            <w:tcW w:w="1189" w:type="pct"/>
            <w:vMerge w:val="continue"/>
            <w:tcBorders>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4"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szCs w:val="21"/>
              </w:rPr>
              <w:t>7</w:t>
            </w:r>
          </w:p>
        </w:tc>
        <w:tc>
          <w:tcPr>
            <w:tcW w:w="647"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绿化用水</w:t>
            </w:r>
          </w:p>
        </w:tc>
        <w:tc>
          <w:tcPr>
            <w:tcW w:w="727"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szCs w:val="21"/>
              </w:rPr>
            </w:pPr>
            <w:r>
              <w:rPr>
                <w:rFonts w:hint="eastAsia"/>
                <w:szCs w:val="21"/>
              </w:rPr>
              <w:t>420</w:t>
            </w:r>
            <w:r>
              <w:rPr>
                <w:szCs w:val="21"/>
              </w:rPr>
              <w:t>0m</w:t>
            </w:r>
            <w:r>
              <w:rPr>
                <w:szCs w:val="21"/>
                <w:vertAlign w:val="superscript"/>
              </w:rPr>
              <w:t>2</w:t>
            </w:r>
          </w:p>
        </w:tc>
        <w:tc>
          <w:tcPr>
            <w:tcW w:w="808"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szCs w:val="21"/>
              </w:rPr>
              <w:t>0.5m</w:t>
            </w:r>
            <w:r>
              <w:rPr>
                <w:szCs w:val="21"/>
                <w:vertAlign w:val="superscript"/>
              </w:rPr>
              <w:t>3</w:t>
            </w:r>
            <w:r>
              <w:rPr>
                <w:szCs w:val="21"/>
              </w:rPr>
              <w:t>/m</w:t>
            </w:r>
            <w:r>
              <w:rPr>
                <w:szCs w:val="21"/>
                <w:vertAlign w:val="superscript"/>
              </w:rPr>
              <w:t>2</w:t>
            </w:r>
            <w:r>
              <w:rPr>
                <w:rFonts w:hint="eastAsia"/>
                <w:szCs w:val="21"/>
              </w:rPr>
              <w:t>·</w:t>
            </w:r>
            <w:r>
              <w:rPr>
                <w:szCs w:val="21"/>
              </w:rPr>
              <w:t xml:space="preserve">a </w:t>
            </w:r>
          </w:p>
        </w:tc>
        <w:tc>
          <w:tcPr>
            <w:tcW w:w="485"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14</w:t>
            </w:r>
          </w:p>
        </w:tc>
        <w:tc>
          <w:tcPr>
            <w:tcW w:w="40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0</w:t>
            </w:r>
          </w:p>
        </w:tc>
        <w:tc>
          <w:tcPr>
            <w:tcW w:w="486"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0</w:t>
            </w:r>
          </w:p>
        </w:tc>
        <w:tc>
          <w:tcPr>
            <w:tcW w:w="118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植物吸收，蒸发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1" w:type="pct"/>
            <w:gridSpan w:val="2"/>
            <w:vMerge w:val="restar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szCs w:val="21"/>
              </w:rPr>
            </w:pPr>
            <w:r>
              <w:rPr>
                <w:rFonts w:hint="eastAsia"/>
                <w:szCs w:val="21"/>
              </w:rPr>
              <w:t>合</w:t>
            </w:r>
            <w:r>
              <w:rPr>
                <w:szCs w:val="21"/>
              </w:rPr>
              <w:t xml:space="preserve">  </w:t>
            </w:r>
            <w:r>
              <w:rPr>
                <w:rFonts w:hint="eastAsia"/>
                <w:szCs w:val="21"/>
              </w:rPr>
              <w:t>计</w:t>
            </w:r>
          </w:p>
        </w:tc>
        <w:tc>
          <w:tcPr>
            <w:tcW w:w="727"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szCs w:val="21"/>
              </w:rPr>
            </w:pPr>
            <w:r>
              <w:rPr>
                <w:rFonts w:hint="eastAsia"/>
                <w:szCs w:val="21"/>
              </w:rPr>
              <w:t>非采暖期</w:t>
            </w:r>
          </w:p>
        </w:tc>
        <w:tc>
          <w:tcPr>
            <w:tcW w:w="808"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szCs w:val="21"/>
              </w:rPr>
              <w:t>/</w:t>
            </w:r>
          </w:p>
        </w:tc>
        <w:tc>
          <w:tcPr>
            <w:tcW w:w="485"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szCs w:val="21"/>
              </w:rPr>
            </w:pPr>
            <w:r>
              <w:rPr>
                <w:rFonts w:hint="eastAsia"/>
                <w:szCs w:val="21"/>
              </w:rPr>
              <w:t>171.6</w:t>
            </w:r>
          </w:p>
        </w:tc>
        <w:tc>
          <w:tcPr>
            <w:tcW w:w="40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w:t>
            </w:r>
          </w:p>
        </w:tc>
        <w:tc>
          <w:tcPr>
            <w:tcW w:w="486"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1.18</w:t>
            </w:r>
          </w:p>
        </w:tc>
        <w:tc>
          <w:tcPr>
            <w:tcW w:w="118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综合利用，无废水外排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1"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727" w:type="pct"/>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szCs w:val="21"/>
              </w:rPr>
            </w:pPr>
            <w:r>
              <w:rPr>
                <w:rFonts w:hint="eastAsia"/>
                <w:szCs w:val="21"/>
              </w:rPr>
              <w:t>采暖期</w:t>
            </w:r>
          </w:p>
        </w:tc>
        <w:tc>
          <w:tcPr>
            <w:tcW w:w="808"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szCs w:val="21"/>
              </w:rPr>
              <w:t>/</w:t>
            </w:r>
          </w:p>
        </w:tc>
        <w:tc>
          <w:tcPr>
            <w:tcW w:w="485"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szCs w:val="21"/>
              </w:rPr>
            </w:pPr>
            <w:r>
              <w:rPr>
                <w:rFonts w:hint="eastAsia"/>
                <w:szCs w:val="21"/>
              </w:rPr>
              <w:t>144.2</w:t>
            </w:r>
          </w:p>
        </w:tc>
        <w:tc>
          <w:tcPr>
            <w:tcW w:w="404"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w:t>
            </w:r>
          </w:p>
        </w:tc>
        <w:tc>
          <w:tcPr>
            <w:tcW w:w="486" w:type="pct"/>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rFonts w:hint="eastAsia"/>
                <w:szCs w:val="21"/>
              </w:rPr>
              <w:t>1.54</w:t>
            </w:r>
          </w:p>
        </w:tc>
        <w:tc>
          <w:tcPr>
            <w:tcW w:w="118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shd w:val="clear" w:color="auto" w:fill="FFFFFF"/>
              <w:jc w:val="center"/>
              <w:rPr>
                <w:szCs w:val="21"/>
              </w:rPr>
            </w:pPr>
            <w:r>
              <w:rPr>
                <w:rFonts w:hint="eastAsia"/>
                <w:szCs w:val="21"/>
              </w:rPr>
              <w:t>综合利用，无废水外排</w:t>
            </w:r>
          </w:p>
        </w:tc>
      </w:tr>
    </w:tbl>
    <w:p>
      <w:pPr>
        <w:autoSpaceDE w:val="0"/>
        <w:autoSpaceDN w:val="0"/>
        <w:spacing w:line="480" w:lineRule="exact"/>
        <w:ind w:firstLine="480" w:firstLineChars="200"/>
        <w:rPr>
          <w:bCs/>
          <w:kern w:val="0"/>
          <w:sz w:val="24"/>
        </w:rPr>
      </w:pPr>
      <w:r>
        <w:rPr>
          <w:rFonts w:hint="eastAsia"/>
          <w:bCs/>
          <w:kern w:val="0"/>
          <w:sz w:val="24"/>
        </w:rPr>
        <w:t>本项目非采暖期、采暖期水平衡图见图</w:t>
      </w:r>
      <w:r>
        <w:rPr>
          <w:bCs/>
          <w:kern w:val="0"/>
          <w:sz w:val="24"/>
        </w:rPr>
        <w:t>3.</w:t>
      </w:r>
      <w:r>
        <w:rPr>
          <w:rFonts w:hint="eastAsia"/>
          <w:bCs/>
          <w:kern w:val="0"/>
          <w:sz w:val="24"/>
        </w:rPr>
        <w:t>3</w:t>
      </w:r>
      <w:r>
        <w:rPr>
          <w:bCs/>
          <w:kern w:val="0"/>
          <w:sz w:val="24"/>
        </w:rPr>
        <w:t>-1</w:t>
      </w:r>
      <w:r>
        <w:rPr>
          <w:rFonts w:hint="eastAsia"/>
          <w:bCs/>
          <w:kern w:val="0"/>
          <w:sz w:val="24"/>
        </w:rPr>
        <w:t>、</w:t>
      </w:r>
      <w:r>
        <w:rPr>
          <w:bCs/>
          <w:kern w:val="0"/>
          <w:sz w:val="24"/>
        </w:rPr>
        <w:t>3.</w:t>
      </w:r>
      <w:r>
        <w:rPr>
          <w:rFonts w:hint="eastAsia"/>
          <w:bCs/>
          <w:kern w:val="0"/>
          <w:sz w:val="24"/>
        </w:rPr>
        <w:t>3</w:t>
      </w:r>
      <w:r>
        <w:rPr>
          <w:bCs/>
          <w:kern w:val="0"/>
          <w:sz w:val="24"/>
        </w:rPr>
        <w:t>-2</w:t>
      </w:r>
      <w:r>
        <w:rPr>
          <w:rFonts w:hint="eastAsia"/>
          <w:bCs/>
          <w:kern w:val="0"/>
          <w:sz w:val="24"/>
        </w:rPr>
        <w:t>。</w:t>
      </w:r>
    </w:p>
    <w:p>
      <w:pPr>
        <w:autoSpaceDE w:val="0"/>
        <w:autoSpaceDN w:val="0"/>
        <w:jc w:val="center"/>
        <w:rPr>
          <w:bCs/>
          <w:kern w:val="0"/>
          <w:sz w:val="24"/>
        </w:rPr>
      </w:pPr>
      <w:r>
        <w:object>
          <v:shape id="_x0000_i1026" o:spt="75" type="#_x0000_t75" style="height:463.5pt;width:425.25pt;" o:ole="t" filled="f" coordsize="21600,21600">
            <v:path/>
            <v:fill on="f" focussize="0,0"/>
            <v:stroke/>
            <v:imagedata r:id="rId22" o:title=""/>
            <o:lock v:ext="edit" aspectratio="t"/>
            <w10:wrap type="none"/>
            <w10:anchorlock/>
          </v:shape>
          <o:OLEObject Type="Embed" ProgID="Visio.Drawing.11" ShapeID="_x0000_i1026" DrawAspect="Content" ObjectID="_1468075726" r:id="rId21">
            <o:LockedField>false</o:LockedField>
          </o:OLEObject>
        </w:object>
      </w:r>
    </w:p>
    <w:p>
      <w:pPr>
        <w:autoSpaceDE w:val="0"/>
        <w:autoSpaceDN w:val="0"/>
        <w:spacing w:line="480" w:lineRule="exact"/>
        <w:jc w:val="center"/>
        <w:rPr>
          <w:rFonts w:ascii="黑体" w:hAnsi="黑体" w:eastAsia="黑体"/>
          <w:bCs/>
          <w:kern w:val="0"/>
          <w:sz w:val="24"/>
        </w:rPr>
      </w:pPr>
      <w:r>
        <w:rPr>
          <w:rFonts w:hint="eastAsia" w:ascii="黑体" w:hAnsi="黑体" w:eastAsia="黑体"/>
          <w:bCs/>
          <w:kern w:val="0"/>
          <w:sz w:val="24"/>
        </w:rPr>
        <w:t>图</w:t>
      </w:r>
      <w:r>
        <w:rPr>
          <w:rFonts w:ascii="黑体" w:hAnsi="黑体" w:eastAsia="黑体"/>
          <w:bCs/>
          <w:kern w:val="0"/>
          <w:sz w:val="24"/>
        </w:rPr>
        <w:t>3.</w:t>
      </w:r>
      <w:r>
        <w:rPr>
          <w:rFonts w:hint="eastAsia" w:ascii="黑体" w:hAnsi="黑体" w:eastAsia="黑体"/>
          <w:bCs/>
          <w:kern w:val="0"/>
          <w:sz w:val="24"/>
        </w:rPr>
        <w:t>3</w:t>
      </w:r>
      <w:r>
        <w:rPr>
          <w:rFonts w:ascii="黑体" w:hAnsi="黑体" w:eastAsia="黑体"/>
          <w:bCs/>
          <w:kern w:val="0"/>
          <w:sz w:val="24"/>
        </w:rPr>
        <w:t>-1</w:t>
      </w:r>
      <w:r>
        <w:rPr>
          <w:rFonts w:hint="eastAsia" w:ascii="黑体" w:hAnsi="黑体" w:eastAsia="黑体"/>
          <w:bCs/>
          <w:kern w:val="0"/>
          <w:sz w:val="24"/>
        </w:rPr>
        <w:t xml:space="preserve">  非采暖期水平衡图</w:t>
      </w:r>
    </w:p>
    <w:p>
      <w:pPr>
        <w:autoSpaceDE w:val="0"/>
        <w:autoSpaceDN w:val="0"/>
        <w:jc w:val="center"/>
        <w:rPr>
          <w:bCs/>
          <w:kern w:val="0"/>
          <w:sz w:val="24"/>
        </w:rPr>
      </w:pPr>
      <w:r>
        <w:object>
          <v:shape id="_x0000_i1027" o:spt="75" type="#_x0000_t75" style="height:354pt;width:425.25pt;" o:ole="t" filled="f" coordsize="21600,21600">
            <v:path/>
            <v:fill on="f" focussize="0,0"/>
            <v:stroke/>
            <v:imagedata r:id="rId24" o:title=""/>
            <o:lock v:ext="edit" aspectratio="t"/>
            <w10:wrap type="none"/>
            <w10:anchorlock/>
          </v:shape>
          <o:OLEObject Type="Embed" ProgID="Visio.Drawing.11" ShapeID="_x0000_i1027" DrawAspect="Content" ObjectID="_1468075727" r:id="rId23">
            <o:LockedField>false</o:LockedField>
          </o:OLEObject>
        </w:object>
      </w:r>
    </w:p>
    <w:p>
      <w:pPr>
        <w:autoSpaceDE w:val="0"/>
        <w:autoSpaceDN w:val="0"/>
        <w:spacing w:line="480" w:lineRule="exact"/>
        <w:jc w:val="center"/>
        <w:rPr>
          <w:rFonts w:ascii="黑体" w:hAnsi="黑体" w:eastAsia="黑体"/>
          <w:bCs/>
          <w:kern w:val="0"/>
          <w:sz w:val="24"/>
        </w:rPr>
      </w:pPr>
      <w:r>
        <w:rPr>
          <w:rFonts w:hint="eastAsia" w:ascii="黑体" w:hAnsi="黑体" w:eastAsia="黑体"/>
          <w:bCs/>
          <w:kern w:val="0"/>
          <w:sz w:val="24"/>
        </w:rPr>
        <w:t>图</w:t>
      </w:r>
      <w:r>
        <w:rPr>
          <w:rFonts w:ascii="黑体" w:hAnsi="黑体" w:eastAsia="黑体"/>
          <w:bCs/>
          <w:kern w:val="0"/>
          <w:sz w:val="24"/>
        </w:rPr>
        <w:t>3.</w:t>
      </w:r>
      <w:r>
        <w:rPr>
          <w:rFonts w:hint="eastAsia" w:ascii="黑体" w:hAnsi="黑体" w:eastAsia="黑体"/>
          <w:bCs/>
          <w:kern w:val="0"/>
          <w:sz w:val="24"/>
        </w:rPr>
        <w:t>3</w:t>
      </w:r>
      <w:r>
        <w:rPr>
          <w:rFonts w:ascii="黑体" w:hAnsi="黑体" w:eastAsia="黑体"/>
          <w:bCs/>
          <w:kern w:val="0"/>
          <w:sz w:val="24"/>
        </w:rPr>
        <w:t>-</w:t>
      </w:r>
      <w:r>
        <w:rPr>
          <w:rFonts w:hint="eastAsia" w:ascii="黑体" w:hAnsi="黑体" w:eastAsia="黑体"/>
          <w:bCs/>
          <w:kern w:val="0"/>
          <w:sz w:val="24"/>
        </w:rPr>
        <w:t>2  采暖期水平衡图</w:t>
      </w:r>
    </w:p>
    <w:p>
      <w:pPr>
        <w:pStyle w:val="65"/>
        <w:keepNext/>
        <w:keepLines/>
        <w:spacing w:before="156" w:beforeLines="50" w:after="0" w:line="480" w:lineRule="exact"/>
        <w:ind w:firstLine="0" w:firstLineChars="0"/>
        <w:rPr>
          <w:rFonts w:ascii="宋体" w:hAnsi="宋体" w:eastAsia="宋体"/>
          <w:b/>
          <w:szCs w:val="28"/>
        </w:rPr>
      </w:pPr>
      <w:bookmarkStart w:id="55" w:name="_Toc19105458"/>
      <w:r>
        <w:rPr>
          <w:rFonts w:ascii="Times New Roman" w:hAnsi="Times New Roman"/>
          <w:b/>
          <w:szCs w:val="28"/>
          <w:lang w:val="en-GB"/>
        </w:rPr>
        <w:t>3.</w:t>
      </w:r>
      <w:r>
        <w:rPr>
          <w:rFonts w:hint="eastAsia" w:ascii="Times New Roman" w:hAnsi="Times New Roman"/>
          <w:b/>
          <w:szCs w:val="28"/>
          <w:lang w:val="en-GB"/>
        </w:rPr>
        <w:t>4</w:t>
      </w:r>
      <w:r>
        <w:rPr>
          <w:rFonts w:hint="eastAsia" w:ascii="宋体" w:hAnsi="宋体" w:eastAsia="宋体"/>
          <w:b/>
          <w:szCs w:val="28"/>
        </w:rPr>
        <w:t>施工期污染影响分析</w:t>
      </w:r>
      <w:bookmarkEnd w:id="55"/>
    </w:p>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4</w:t>
      </w:r>
      <w:r>
        <w:rPr>
          <w:rFonts w:ascii="Times New Roman" w:hAnsi="Times New Roman" w:eastAsia="宋体"/>
          <w:b/>
        </w:rPr>
        <w:t>.1</w:t>
      </w:r>
      <w:r>
        <w:rPr>
          <w:rFonts w:ascii="宋体" w:hAnsi="宋体" w:eastAsia="宋体"/>
          <w:b/>
        </w:rPr>
        <w:t>施工期污染</w:t>
      </w:r>
      <w:r>
        <w:rPr>
          <w:rFonts w:hint="eastAsia" w:ascii="宋体" w:hAnsi="宋体" w:eastAsia="宋体"/>
          <w:b/>
        </w:rPr>
        <w:t>环节</w:t>
      </w:r>
      <w:r>
        <w:rPr>
          <w:rFonts w:ascii="宋体" w:hAnsi="宋体" w:eastAsia="宋体"/>
          <w:b/>
        </w:rPr>
        <w:t>分析</w:t>
      </w:r>
    </w:p>
    <w:p>
      <w:pPr>
        <w:spacing w:line="480" w:lineRule="exact"/>
        <w:ind w:firstLine="496" w:firstLineChars="200"/>
        <w:rPr>
          <w:rFonts w:ascii="黑体" w:hAnsi="黑体" w:eastAsia="黑体"/>
          <w:bCs/>
          <w:spacing w:val="6"/>
          <w:sz w:val="24"/>
        </w:rPr>
      </w:pPr>
      <w:r>
        <w:rPr>
          <w:rFonts w:hint="eastAsia"/>
          <w:spacing w:val="4"/>
          <w:sz w:val="24"/>
          <w:szCs w:val="24"/>
        </w:rPr>
        <w:t>项目施工</w:t>
      </w:r>
      <w:r>
        <w:rPr>
          <w:spacing w:val="4"/>
          <w:sz w:val="24"/>
          <w:szCs w:val="24"/>
        </w:rPr>
        <w:t>期间的主要污染环节见表</w:t>
      </w:r>
      <w:r>
        <w:rPr>
          <w:rFonts w:hint="eastAsia"/>
          <w:spacing w:val="4"/>
          <w:sz w:val="24"/>
          <w:szCs w:val="24"/>
        </w:rPr>
        <w:t>3.4-1。</w:t>
      </w:r>
    </w:p>
    <w:p>
      <w:pPr>
        <w:spacing w:line="480" w:lineRule="exact"/>
        <w:jc w:val="center"/>
        <w:rPr>
          <w:rFonts w:ascii="黑体" w:hAnsi="黑体" w:eastAsia="黑体"/>
          <w:bCs/>
          <w:spacing w:val="6"/>
          <w:sz w:val="24"/>
        </w:rPr>
      </w:pPr>
      <w:r>
        <w:rPr>
          <w:rFonts w:hint="eastAsia" w:ascii="黑体" w:hAnsi="黑体" w:eastAsia="黑体"/>
          <w:bCs/>
          <w:spacing w:val="6"/>
          <w:sz w:val="24"/>
        </w:rPr>
        <w:t>表3.4-1  项目施工期</w:t>
      </w:r>
      <w:r>
        <w:rPr>
          <w:rFonts w:ascii="黑体" w:hAnsi="黑体" w:eastAsia="黑体"/>
          <w:bCs/>
          <w:spacing w:val="6"/>
          <w:sz w:val="24"/>
        </w:rPr>
        <w:t>产污环节分析</w:t>
      </w:r>
      <w:r>
        <w:rPr>
          <w:rFonts w:hint="eastAsia" w:ascii="黑体" w:hAnsi="黑体" w:eastAsia="黑体"/>
          <w:bCs/>
          <w:spacing w:val="6"/>
          <w:sz w:val="24"/>
        </w:rPr>
        <w:t>表</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18"/>
        <w:gridCol w:w="1470"/>
        <w:gridCol w:w="4247"/>
        <w:gridCol w:w="28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7" w:type="pct"/>
            <w:gridSpan w:val="2"/>
            <w:vAlign w:val="center"/>
          </w:tcPr>
          <w:p>
            <w:pPr>
              <w:pStyle w:val="88"/>
              <w:spacing w:line="240" w:lineRule="auto"/>
              <w:rPr>
                <w:rFonts w:cs="Times New Roman"/>
                <w:color w:val="auto"/>
              </w:rPr>
            </w:pPr>
            <w:r>
              <w:rPr>
                <w:rFonts w:cs="Times New Roman"/>
                <w:color w:val="auto"/>
              </w:rPr>
              <w:t>污染源分类</w:t>
            </w:r>
          </w:p>
        </w:tc>
        <w:tc>
          <w:tcPr>
            <w:tcW w:w="2344" w:type="pct"/>
            <w:vAlign w:val="center"/>
          </w:tcPr>
          <w:p>
            <w:pPr>
              <w:pStyle w:val="88"/>
              <w:spacing w:line="240" w:lineRule="auto"/>
              <w:rPr>
                <w:rFonts w:cs="Times New Roman"/>
                <w:color w:val="auto"/>
              </w:rPr>
            </w:pPr>
            <w:r>
              <w:rPr>
                <w:rFonts w:cs="Times New Roman"/>
                <w:color w:val="auto"/>
              </w:rPr>
              <w:t>污染源</w:t>
            </w:r>
          </w:p>
        </w:tc>
        <w:tc>
          <w:tcPr>
            <w:tcW w:w="1559" w:type="pct"/>
            <w:vAlign w:val="center"/>
          </w:tcPr>
          <w:p>
            <w:pPr>
              <w:pStyle w:val="88"/>
              <w:spacing w:line="240" w:lineRule="auto"/>
              <w:rPr>
                <w:rFonts w:cs="Times New Roman"/>
                <w:color w:val="auto"/>
              </w:rPr>
            </w:pPr>
            <w:r>
              <w:rPr>
                <w:rFonts w:cs="Times New Roman"/>
                <w:color w:val="auto"/>
              </w:rPr>
              <w:t>污染因子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restart"/>
            <w:vAlign w:val="center"/>
          </w:tcPr>
          <w:p>
            <w:pPr>
              <w:pStyle w:val="88"/>
              <w:spacing w:line="240" w:lineRule="auto"/>
              <w:rPr>
                <w:rFonts w:cs="Times New Roman"/>
                <w:color w:val="auto"/>
              </w:rPr>
            </w:pPr>
            <w:r>
              <w:rPr>
                <w:rFonts w:cs="Times New Roman"/>
                <w:color w:val="auto"/>
              </w:rPr>
              <w:t>施工期污染源</w:t>
            </w:r>
          </w:p>
        </w:tc>
        <w:tc>
          <w:tcPr>
            <w:tcW w:w="811" w:type="pct"/>
            <w:vMerge w:val="restart"/>
            <w:vAlign w:val="center"/>
          </w:tcPr>
          <w:p>
            <w:pPr>
              <w:pStyle w:val="88"/>
              <w:spacing w:line="240" w:lineRule="auto"/>
              <w:rPr>
                <w:rFonts w:cs="Times New Roman"/>
                <w:color w:val="auto"/>
              </w:rPr>
            </w:pPr>
            <w:r>
              <w:rPr>
                <w:rFonts w:cs="Times New Roman"/>
                <w:color w:val="auto"/>
              </w:rPr>
              <w:t>大气污染源</w:t>
            </w:r>
          </w:p>
        </w:tc>
        <w:tc>
          <w:tcPr>
            <w:tcW w:w="2344" w:type="pct"/>
            <w:vAlign w:val="center"/>
          </w:tcPr>
          <w:p>
            <w:pPr>
              <w:adjustRightInd w:val="0"/>
              <w:snapToGrid w:val="0"/>
              <w:jc w:val="center"/>
              <w:rPr>
                <w:szCs w:val="21"/>
              </w:rPr>
            </w:pPr>
            <w:r>
              <w:rPr>
                <w:szCs w:val="21"/>
              </w:rPr>
              <w:t>建筑材料堆场造成的无组织排放粉尘</w:t>
            </w:r>
          </w:p>
        </w:tc>
        <w:tc>
          <w:tcPr>
            <w:tcW w:w="1559" w:type="pct"/>
            <w:vAlign w:val="center"/>
          </w:tcPr>
          <w:p>
            <w:pPr>
              <w:adjustRightInd w:val="0"/>
              <w:snapToGrid w:val="0"/>
              <w:jc w:val="center"/>
              <w:rPr>
                <w:szCs w:val="21"/>
              </w:rPr>
            </w:pPr>
            <w:r>
              <w:rPr>
                <w:szCs w:val="21"/>
              </w:rPr>
              <w:t>粉尘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continue"/>
            <w:vAlign w:val="center"/>
          </w:tcPr>
          <w:p>
            <w:pPr>
              <w:pStyle w:val="88"/>
              <w:spacing w:line="240" w:lineRule="auto"/>
              <w:rPr>
                <w:rFonts w:cs="Times New Roman"/>
                <w:color w:val="auto"/>
              </w:rPr>
            </w:pPr>
          </w:p>
        </w:tc>
        <w:tc>
          <w:tcPr>
            <w:tcW w:w="2344" w:type="pct"/>
            <w:vAlign w:val="center"/>
          </w:tcPr>
          <w:p>
            <w:pPr>
              <w:jc w:val="center"/>
              <w:rPr>
                <w:szCs w:val="21"/>
              </w:rPr>
            </w:pPr>
            <w:r>
              <w:rPr>
                <w:szCs w:val="21"/>
              </w:rPr>
              <w:t>施工机械产生的机械</w:t>
            </w:r>
            <w:r>
              <w:rPr>
                <w:rFonts w:hint="eastAsia"/>
                <w:szCs w:val="21"/>
              </w:rPr>
              <w:t>燃油</w:t>
            </w:r>
            <w:r>
              <w:rPr>
                <w:szCs w:val="21"/>
              </w:rPr>
              <w:t>废气</w:t>
            </w:r>
          </w:p>
        </w:tc>
        <w:tc>
          <w:tcPr>
            <w:tcW w:w="1559" w:type="pct"/>
            <w:vAlign w:val="center"/>
          </w:tcPr>
          <w:p>
            <w:pPr>
              <w:jc w:val="center"/>
              <w:rPr>
                <w:szCs w:val="21"/>
              </w:rPr>
            </w:pPr>
            <w:r>
              <w:rPr>
                <w:szCs w:val="21"/>
              </w:rPr>
              <w:t>CO、NO</w:t>
            </w:r>
            <w:r>
              <w:rPr>
                <w:szCs w:val="21"/>
                <w:vertAlign w:val="subscript"/>
              </w:rPr>
              <w:t>X</w:t>
            </w:r>
            <w:r>
              <w:rPr>
                <w:rFonts w:hint="eastAsia"/>
                <w:szCs w:val="21"/>
              </w:rPr>
              <w:t>、SO</w:t>
            </w:r>
            <w:r>
              <w:rPr>
                <w:rFonts w:hint="eastAsia"/>
                <w:szCs w:val="21"/>
                <w:vertAlign w:val="sub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continue"/>
            <w:vAlign w:val="center"/>
          </w:tcPr>
          <w:p>
            <w:pPr>
              <w:pStyle w:val="88"/>
              <w:spacing w:line="240" w:lineRule="auto"/>
              <w:rPr>
                <w:rFonts w:cs="Times New Roman"/>
                <w:color w:val="auto"/>
              </w:rPr>
            </w:pPr>
          </w:p>
        </w:tc>
        <w:tc>
          <w:tcPr>
            <w:tcW w:w="2344" w:type="pct"/>
            <w:vAlign w:val="center"/>
          </w:tcPr>
          <w:p>
            <w:pPr>
              <w:adjustRightInd w:val="0"/>
              <w:snapToGrid w:val="0"/>
              <w:jc w:val="center"/>
              <w:rPr>
                <w:bCs/>
                <w:szCs w:val="21"/>
              </w:rPr>
            </w:pPr>
            <w:r>
              <w:rPr>
                <w:szCs w:val="21"/>
              </w:rPr>
              <w:t>运输车辆产生的汽车尾气</w:t>
            </w:r>
          </w:p>
        </w:tc>
        <w:tc>
          <w:tcPr>
            <w:tcW w:w="1559" w:type="pct"/>
            <w:vAlign w:val="center"/>
          </w:tcPr>
          <w:p>
            <w:pPr>
              <w:adjustRightInd w:val="0"/>
              <w:snapToGrid w:val="0"/>
              <w:jc w:val="center"/>
              <w:rPr>
                <w:bCs/>
                <w:szCs w:val="21"/>
              </w:rPr>
            </w:pPr>
            <w:r>
              <w:rPr>
                <w:rFonts w:hint="eastAsia"/>
                <w:szCs w:val="21"/>
              </w:rPr>
              <w:t>NO</w:t>
            </w:r>
            <w:r>
              <w:rPr>
                <w:rFonts w:hint="eastAsia"/>
                <w:szCs w:val="21"/>
                <w:vertAlign w:val="subscript"/>
              </w:rPr>
              <w:t>X</w:t>
            </w:r>
            <w:r>
              <w:rPr>
                <w:rFonts w:hint="eastAsia"/>
                <w:kern w:val="0"/>
                <w:szCs w:val="21"/>
                <w:lang w:val="zh-CN"/>
              </w:rPr>
              <w:t>、</w:t>
            </w:r>
            <w:r>
              <w:rPr>
                <w:rFonts w:hint="eastAsia"/>
                <w:kern w:val="0"/>
                <w:szCs w:val="21"/>
              </w:rPr>
              <w:t>CO、THC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continue"/>
            <w:vAlign w:val="center"/>
          </w:tcPr>
          <w:p>
            <w:pPr>
              <w:pStyle w:val="88"/>
              <w:spacing w:line="240" w:lineRule="auto"/>
              <w:rPr>
                <w:rFonts w:cs="Times New Roman"/>
                <w:color w:val="auto"/>
              </w:rPr>
            </w:pPr>
          </w:p>
        </w:tc>
        <w:tc>
          <w:tcPr>
            <w:tcW w:w="2344" w:type="pct"/>
            <w:vAlign w:val="center"/>
          </w:tcPr>
          <w:p>
            <w:pPr>
              <w:adjustRightInd w:val="0"/>
              <w:snapToGrid w:val="0"/>
              <w:jc w:val="center"/>
              <w:rPr>
                <w:bCs/>
                <w:szCs w:val="21"/>
              </w:rPr>
            </w:pPr>
            <w:r>
              <w:rPr>
                <w:szCs w:val="21"/>
              </w:rPr>
              <w:t>运输扬尘</w:t>
            </w:r>
          </w:p>
        </w:tc>
        <w:tc>
          <w:tcPr>
            <w:tcW w:w="1559" w:type="pct"/>
            <w:vAlign w:val="center"/>
          </w:tcPr>
          <w:p>
            <w:pPr>
              <w:adjustRightInd w:val="0"/>
              <w:snapToGrid w:val="0"/>
              <w:jc w:val="center"/>
              <w:rPr>
                <w:bCs/>
                <w:szCs w:val="21"/>
              </w:rPr>
            </w:pPr>
            <w:r>
              <w:rPr>
                <w:szCs w:val="21"/>
              </w:rPr>
              <w:t>扬尘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restart"/>
            <w:vAlign w:val="center"/>
          </w:tcPr>
          <w:p>
            <w:pPr>
              <w:pStyle w:val="88"/>
              <w:spacing w:line="240" w:lineRule="auto"/>
              <w:rPr>
                <w:rFonts w:cs="Times New Roman"/>
                <w:color w:val="auto"/>
              </w:rPr>
            </w:pPr>
            <w:r>
              <w:rPr>
                <w:rFonts w:cs="Times New Roman"/>
                <w:color w:val="auto"/>
              </w:rPr>
              <w:t>水污染源</w:t>
            </w:r>
          </w:p>
        </w:tc>
        <w:tc>
          <w:tcPr>
            <w:tcW w:w="2344" w:type="pct"/>
            <w:vAlign w:val="center"/>
          </w:tcPr>
          <w:p>
            <w:pPr>
              <w:pStyle w:val="88"/>
              <w:spacing w:line="240" w:lineRule="auto"/>
              <w:rPr>
                <w:rFonts w:cs="Times New Roman"/>
                <w:color w:val="auto"/>
              </w:rPr>
            </w:pPr>
            <w:r>
              <w:rPr>
                <w:rFonts w:cs="Times New Roman"/>
                <w:color w:val="auto"/>
              </w:rPr>
              <w:t>生活污水</w:t>
            </w:r>
          </w:p>
        </w:tc>
        <w:tc>
          <w:tcPr>
            <w:tcW w:w="1559" w:type="pct"/>
            <w:vAlign w:val="center"/>
          </w:tcPr>
          <w:p>
            <w:pPr>
              <w:pStyle w:val="88"/>
              <w:spacing w:line="240" w:lineRule="auto"/>
              <w:rPr>
                <w:rFonts w:cs="Times New Roman"/>
                <w:color w:val="auto"/>
              </w:rPr>
            </w:pPr>
            <w:r>
              <w:rPr>
                <w:rFonts w:cs="Times New Roman"/>
                <w:color w:val="auto"/>
              </w:rPr>
              <w:t>SS、COD、BOD</w:t>
            </w:r>
            <w:r>
              <w:rPr>
                <w:rFonts w:cs="Times New Roman"/>
                <w:color w:val="auto"/>
                <w:vertAlign w:val="subscript"/>
              </w:rPr>
              <w:t>5</w:t>
            </w:r>
            <w:r>
              <w:rPr>
                <w:rFonts w:cs="Times New Roman"/>
                <w:color w:val="auto"/>
              </w:rPr>
              <w:t>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continue"/>
            <w:vAlign w:val="center"/>
          </w:tcPr>
          <w:p>
            <w:pPr>
              <w:pStyle w:val="88"/>
              <w:spacing w:line="240" w:lineRule="auto"/>
              <w:rPr>
                <w:rFonts w:cs="Times New Roman"/>
                <w:color w:val="auto"/>
              </w:rPr>
            </w:pPr>
          </w:p>
        </w:tc>
        <w:tc>
          <w:tcPr>
            <w:tcW w:w="2344" w:type="pct"/>
            <w:vAlign w:val="center"/>
          </w:tcPr>
          <w:p>
            <w:pPr>
              <w:pStyle w:val="88"/>
              <w:spacing w:line="240" w:lineRule="auto"/>
              <w:rPr>
                <w:rFonts w:cs="Times New Roman"/>
                <w:color w:val="auto"/>
              </w:rPr>
            </w:pPr>
            <w:r>
              <w:rPr>
                <w:rFonts w:hint="eastAsia" w:cs="Times New Roman"/>
                <w:color w:val="auto"/>
              </w:rPr>
              <w:t>施工废水</w:t>
            </w:r>
          </w:p>
        </w:tc>
        <w:tc>
          <w:tcPr>
            <w:tcW w:w="1559" w:type="pct"/>
            <w:vAlign w:val="center"/>
          </w:tcPr>
          <w:p>
            <w:pPr>
              <w:pStyle w:val="88"/>
              <w:spacing w:line="240" w:lineRule="auto"/>
              <w:rPr>
                <w:rFonts w:cs="Times New Roman"/>
                <w:color w:val="auto"/>
              </w:rPr>
            </w:pPr>
            <w:r>
              <w:rPr>
                <w:rFonts w:hint="eastAsia" w:cs="Times New Roman"/>
                <w:color w:val="auto"/>
              </w:rPr>
              <w:t>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restart"/>
            <w:vAlign w:val="center"/>
          </w:tcPr>
          <w:p>
            <w:pPr>
              <w:pStyle w:val="88"/>
              <w:spacing w:line="240" w:lineRule="auto"/>
              <w:rPr>
                <w:rFonts w:cs="Times New Roman"/>
                <w:color w:val="auto"/>
              </w:rPr>
            </w:pPr>
            <w:r>
              <w:rPr>
                <w:rFonts w:cs="Times New Roman"/>
                <w:color w:val="auto"/>
              </w:rPr>
              <w:t>固体废物</w:t>
            </w:r>
          </w:p>
        </w:tc>
        <w:tc>
          <w:tcPr>
            <w:tcW w:w="2344" w:type="pct"/>
            <w:vAlign w:val="center"/>
          </w:tcPr>
          <w:p>
            <w:pPr>
              <w:pStyle w:val="88"/>
              <w:spacing w:line="240" w:lineRule="auto"/>
              <w:rPr>
                <w:rFonts w:cs="Times New Roman"/>
                <w:color w:val="auto"/>
              </w:rPr>
            </w:pPr>
            <w:r>
              <w:rPr>
                <w:rFonts w:cs="Times New Roman"/>
                <w:color w:val="auto"/>
              </w:rPr>
              <w:t>建筑施工</w:t>
            </w:r>
          </w:p>
        </w:tc>
        <w:tc>
          <w:tcPr>
            <w:tcW w:w="1559" w:type="pct"/>
            <w:vAlign w:val="center"/>
          </w:tcPr>
          <w:p>
            <w:pPr>
              <w:pStyle w:val="88"/>
              <w:spacing w:line="240" w:lineRule="auto"/>
              <w:rPr>
                <w:rFonts w:cs="Times New Roman"/>
                <w:color w:val="auto"/>
              </w:rPr>
            </w:pPr>
            <w:r>
              <w:rPr>
                <w:rFonts w:cs="Times New Roman"/>
                <w:color w:val="auto"/>
              </w:rPr>
              <w:t>建筑垃圾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continue"/>
            <w:vAlign w:val="center"/>
          </w:tcPr>
          <w:p>
            <w:pPr>
              <w:pStyle w:val="88"/>
              <w:spacing w:line="240" w:lineRule="auto"/>
              <w:rPr>
                <w:rFonts w:cs="Times New Roman"/>
                <w:color w:val="auto"/>
              </w:rPr>
            </w:pPr>
          </w:p>
        </w:tc>
        <w:tc>
          <w:tcPr>
            <w:tcW w:w="2344" w:type="pct"/>
            <w:vAlign w:val="center"/>
          </w:tcPr>
          <w:p>
            <w:pPr>
              <w:pStyle w:val="88"/>
              <w:spacing w:line="240" w:lineRule="auto"/>
              <w:rPr>
                <w:rFonts w:cs="Times New Roman"/>
                <w:color w:val="auto"/>
              </w:rPr>
            </w:pPr>
            <w:r>
              <w:rPr>
                <w:rFonts w:hint="eastAsia" w:cs="Times New Roman"/>
                <w:color w:val="auto"/>
              </w:rPr>
              <w:t>设备拆除</w:t>
            </w:r>
          </w:p>
        </w:tc>
        <w:tc>
          <w:tcPr>
            <w:tcW w:w="1559" w:type="pct"/>
            <w:vAlign w:val="center"/>
          </w:tcPr>
          <w:p>
            <w:pPr>
              <w:pStyle w:val="88"/>
              <w:spacing w:line="240" w:lineRule="auto"/>
              <w:rPr>
                <w:rFonts w:cs="Times New Roman"/>
                <w:color w:val="auto"/>
              </w:rPr>
            </w:pPr>
            <w:r>
              <w:rPr>
                <w:rFonts w:hint="eastAsia" w:cs="Times New Roman"/>
                <w:color w:val="auto"/>
              </w:rPr>
              <w:t>废旧设备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continue"/>
            <w:vAlign w:val="center"/>
          </w:tcPr>
          <w:p>
            <w:pPr>
              <w:pStyle w:val="88"/>
              <w:spacing w:line="240" w:lineRule="auto"/>
              <w:rPr>
                <w:rFonts w:cs="Times New Roman"/>
                <w:color w:val="auto"/>
              </w:rPr>
            </w:pPr>
          </w:p>
        </w:tc>
        <w:tc>
          <w:tcPr>
            <w:tcW w:w="2344" w:type="pct"/>
            <w:vAlign w:val="center"/>
          </w:tcPr>
          <w:p>
            <w:pPr>
              <w:pStyle w:val="88"/>
              <w:spacing w:line="240" w:lineRule="auto"/>
              <w:rPr>
                <w:rFonts w:cs="Times New Roman"/>
                <w:color w:val="auto"/>
              </w:rPr>
            </w:pPr>
            <w:r>
              <w:rPr>
                <w:rFonts w:cs="Times New Roman"/>
                <w:color w:val="auto"/>
              </w:rPr>
              <w:t>生活</w:t>
            </w:r>
          </w:p>
        </w:tc>
        <w:tc>
          <w:tcPr>
            <w:tcW w:w="1559" w:type="pct"/>
            <w:vAlign w:val="center"/>
          </w:tcPr>
          <w:p>
            <w:pPr>
              <w:pStyle w:val="88"/>
              <w:spacing w:line="240" w:lineRule="auto"/>
              <w:rPr>
                <w:rFonts w:cs="Times New Roman"/>
                <w:color w:val="auto"/>
              </w:rPr>
            </w:pPr>
            <w:r>
              <w:rPr>
                <w:rFonts w:cs="Times New Roman"/>
                <w:color w:val="auto"/>
              </w:rPr>
              <w:t>生活垃圾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restart"/>
            <w:vAlign w:val="center"/>
          </w:tcPr>
          <w:p>
            <w:pPr>
              <w:pStyle w:val="88"/>
              <w:spacing w:line="240" w:lineRule="auto"/>
              <w:rPr>
                <w:rFonts w:cs="Times New Roman"/>
                <w:color w:val="auto"/>
              </w:rPr>
            </w:pPr>
            <w:r>
              <w:rPr>
                <w:rFonts w:cs="Times New Roman"/>
                <w:color w:val="auto"/>
              </w:rPr>
              <w:t>噪声污染源</w:t>
            </w:r>
          </w:p>
        </w:tc>
        <w:tc>
          <w:tcPr>
            <w:tcW w:w="2344" w:type="pct"/>
            <w:vAlign w:val="center"/>
          </w:tcPr>
          <w:p>
            <w:pPr>
              <w:pStyle w:val="88"/>
              <w:spacing w:line="240" w:lineRule="auto"/>
              <w:rPr>
                <w:rFonts w:cs="Times New Roman"/>
                <w:color w:val="auto"/>
              </w:rPr>
            </w:pPr>
            <w:r>
              <w:rPr>
                <w:rFonts w:cs="Times New Roman"/>
                <w:color w:val="auto"/>
              </w:rPr>
              <w:t>施工机械设备</w:t>
            </w:r>
          </w:p>
        </w:tc>
        <w:tc>
          <w:tcPr>
            <w:tcW w:w="1559" w:type="pct"/>
            <w:vMerge w:val="restart"/>
            <w:vAlign w:val="center"/>
          </w:tcPr>
          <w:p>
            <w:pPr>
              <w:pStyle w:val="88"/>
              <w:spacing w:line="240" w:lineRule="auto"/>
              <w:rPr>
                <w:rFonts w:cs="Times New Roman"/>
                <w:color w:val="auto"/>
              </w:rPr>
            </w:pPr>
            <w:r>
              <w:rPr>
                <w:rFonts w:cs="Times New Roman"/>
                <w:color w:val="auto"/>
              </w:rPr>
              <w:t>噪声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88"/>
              <w:spacing w:line="240" w:lineRule="auto"/>
              <w:rPr>
                <w:rFonts w:cs="Times New Roman"/>
                <w:color w:val="auto"/>
              </w:rPr>
            </w:pPr>
          </w:p>
        </w:tc>
        <w:tc>
          <w:tcPr>
            <w:tcW w:w="811" w:type="pct"/>
            <w:vMerge w:val="continue"/>
            <w:vAlign w:val="center"/>
          </w:tcPr>
          <w:p>
            <w:pPr>
              <w:pStyle w:val="88"/>
              <w:spacing w:line="240" w:lineRule="auto"/>
              <w:rPr>
                <w:rFonts w:cs="Times New Roman"/>
                <w:color w:val="auto"/>
              </w:rPr>
            </w:pPr>
          </w:p>
        </w:tc>
        <w:tc>
          <w:tcPr>
            <w:tcW w:w="2344" w:type="pct"/>
            <w:vAlign w:val="center"/>
          </w:tcPr>
          <w:p>
            <w:pPr>
              <w:pStyle w:val="88"/>
              <w:spacing w:line="240" w:lineRule="auto"/>
              <w:rPr>
                <w:rFonts w:cs="Times New Roman"/>
                <w:color w:val="auto"/>
              </w:rPr>
            </w:pPr>
            <w:r>
              <w:rPr>
                <w:rFonts w:cs="Times New Roman"/>
                <w:color w:val="auto"/>
              </w:rPr>
              <w:t>运输车辆</w:t>
            </w:r>
          </w:p>
        </w:tc>
        <w:tc>
          <w:tcPr>
            <w:tcW w:w="1559" w:type="pct"/>
            <w:vMerge w:val="continue"/>
            <w:vAlign w:val="center"/>
          </w:tcPr>
          <w:p>
            <w:pPr>
              <w:pStyle w:val="88"/>
              <w:spacing w:line="240" w:lineRule="auto"/>
              <w:rPr>
                <w:rFonts w:cs="Times New Roman"/>
                <w:color w:val="auto"/>
              </w:rPr>
            </w:pPr>
          </w:p>
        </w:tc>
      </w:tr>
    </w:tbl>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4</w:t>
      </w:r>
      <w:r>
        <w:rPr>
          <w:rFonts w:ascii="Times New Roman" w:hAnsi="Times New Roman" w:eastAsia="宋体"/>
          <w:b/>
        </w:rPr>
        <w:t>.2</w:t>
      </w:r>
      <w:r>
        <w:rPr>
          <w:rFonts w:hint="eastAsia" w:ascii="宋体" w:hAnsi="宋体" w:eastAsia="宋体"/>
          <w:b/>
        </w:rPr>
        <w:t>施工期环境空气污染影响分析</w:t>
      </w:r>
    </w:p>
    <w:p>
      <w:pPr>
        <w:spacing w:line="480" w:lineRule="exact"/>
        <w:ind w:firstLine="480" w:firstLineChars="200"/>
        <w:rPr>
          <w:rFonts w:ascii="黑体" w:hAnsi="黑体" w:eastAsia="黑体"/>
          <w:bCs/>
          <w:sz w:val="24"/>
        </w:rPr>
      </w:pPr>
      <w:r>
        <w:rPr>
          <w:rFonts w:hint="eastAsia"/>
          <w:sz w:val="24"/>
          <w:szCs w:val="24"/>
        </w:rPr>
        <w:t>施工期间对环境空气影响最大的是施工扬尘，来源于各种无组织排放源。其中场地清理、土方挖掘填埋、混凝土配制、建筑材料运输等工序的产生量较大，原材料堆存、建筑结构施工、设备安装等产生量较小或不产生扬尘。由于施工污染源为间歇性源并且扬尘点低，只会在近距离内形成局部污染。施工现场的污染物未经扩散稀释就进入地面呼吸地带，会给现场施工人员的生活和健康带来一定影响。</w:t>
      </w:r>
    </w:p>
    <w:p>
      <w:pPr>
        <w:spacing w:line="480" w:lineRule="exact"/>
        <w:ind w:firstLine="480" w:firstLineChars="200"/>
        <w:rPr>
          <w:rFonts w:ascii="黑体" w:hAnsi="黑体" w:eastAsia="黑体"/>
          <w:bCs/>
          <w:sz w:val="24"/>
        </w:rPr>
      </w:pPr>
      <w:r>
        <w:rPr>
          <w:rFonts w:hint="eastAsia"/>
          <w:sz w:val="24"/>
          <w:szCs w:val="24"/>
        </w:rPr>
        <w:t>施工场地每天定时洒水，以防止浮尘颗粒，在大风日应增加洒水量及洒水次数；施工场地内运输通道应及时清扫、冲洗，以减少汽车运输扬尘；运输车辆进入施工场地应低速、限速行驶，以减少产尘量；避免起尘材料的露天堆放，多尘物料应使用帆布覆盖；并采用商品混凝土施工。通过采取以上措施，施工扬尘排放量较少，对周围环境的影响也较小。</w:t>
      </w:r>
    </w:p>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4</w:t>
      </w:r>
      <w:r>
        <w:rPr>
          <w:rFonts w:ascii="Times New Roman" w:hAnsi="Times New Roman" w:eastAsia="宋体"/>
          <w:b/>
        </w:rPr>
        <w:t>.3</w:t>
      </w:r>
      <w:r>
        <w:rPr>
          <w:rFonts w:hint="eastAsia" w:ascii="宋体" w:hAnsi="宋体" w:eastAsia="宋体"/>
          <w:b/>
        </w:rPr>
        <w:t>施工期水环境污染影响分析</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施工期间的生产用水主要为路面、土方喷淋水、设备冲洗水等，施工废水的排放主要由设备冲洗及生产中的跑、冒、滴、漏、溢流产生，仅含有少量混砂，不含其它杂质。这类废水一般在施工现场以地面渗流为主，排放量较小，不致于排入河道等地表水体，因此所造成不利影响也较小。</w:t>
      </w:r>
    </w:p>
    <w:p>
      <w:pPr>
        <w:spacing w:line="480" w:lineRule="exact"/>
        <w:ind w:firstLine="480" w:firstLineChars="200"/>
        <w:rPr>
          <w:rFonts w:ascii="黑体" w:hAnsi="黑体" w:eastAsia="黑体"/>
          <w:bCs/>
          <w:sz w:val="24"/>
        </w:rPr>
      </w:pPr>
      <w:r>
        <w:rPr>
          <w:rFonts w:hint="eastAsia"/>
          <w:sz w:val="24"/>
          <w:szCs w:val="24"/>
        </w:rPr>
        <w:t>施工期产生的少量生活污水为施工人员的盥洗废水，水质简单，且产生量较小；生活污水用于泼洒抑尘或绿化用水；对周围水环境影响较小。</w:t>
      </w:r>
    </w:p>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4</w:t>
      </w:r>
      <w:r>
        <w:rPr>
          <w:rFonts w:ascii="Times New Roman" w:hAnsi="Times New Roman" w:eastAsia="宋体"/>
          <w:b/>
        </w:rPr>
        <w:t>.4</w:t>
      </w:r>
      <w:r>
        <w:rPr>
          <w:rFonts w:hint="eastAsia" w:ascii="宋体" w:hAnsi="宋体" w:eastAsia="宋体"/>
          <w:b/>
        </w:rPr>
        <w:t>施工期固废环境污染影响分析</w:t>
      </w:r>
    </w:p>
    <w:p>
      <w:pPr>
        <w:spacing w:line="480" w:lineRule="exact"/>
        <w:ind w:firstLine="480" w:firstLineChars="200"/>
        <w:rPr>
          <w:rFonts w:ascii="黑体" w:hAnsi="黑体" w:eastAsia="黑体"/>
          <w:bCs/>
          <w:sz w:val="24"/>
        </w:rPr>
      </w:pPr>
      <w:r>
        <w:rPr>
          <w:rFonts w:hint="eastAsia"/>
          <w:sz w:val="24"/>
          <w:szCs w:val="24"/>
        </w:rPr>
        <w:t>施工期产生的固体废物主要为拟拆除的设备、建筑垃圾、施工人员的生活垃圾。拟拆除的设备外售于相应公司进行处理；建筑垃圾主要为碎砖块、灰浆、废材料等，由各施工队妥善处理，及时清运；生活垃圾应定点堆放，由专人运至市政指定的地点。施工期产生的固体废物均得到了合理处置，对周围环境影响较小。</w:t>
      </w:r>
    </w:p>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4</w:t>
      </w:r>
      <w:r>
        <w:rPr>
          <w:rFonts w:ascii="Times New Roman" w:hAnsi="Times New Roman" w:eastAsia="宋体"/>
          <w:b/>
        </w:rPr>
        <w:t>.5</w:t>
      </w:r>
      <w:r>
        <w:rPr>
          <w:rFonts w:hint="eastAsia" w:ascii="宋体" w:hAnsi="宋体" w:eastAsia="宋体"/>
          <w:b/>
        </w:rPr>
        <w:t>施工期声环境污染影响分析</w:t>
      </w:r>
    </w:p>
    <w:p>
      <w:pPr>
        <w:spacing w:line="480" w:lineRule="exact"/>
        <w:ind w:firstLine="480" w:firstLineChars="200"/>
        <w:rPr>
          <w:rFonts w:ascii="黑体" w:hAnsi="黑体" w:eastAsia="黑体"/>
          <w:bCs/>
          <w:sz w:val="24"/>
        </w:rPr>
      </w:pPr>
      <w:r>
        <w:rPr>
          <w:rFonts w:hint="eastAsia"/>
          <w:sz w:val="24"/>
          <w:szCs w:val="24"/>
        </w:rPr>
        <w:t>从噪声角度出发可以把工程施工期分为土方阶段、基础施工阶段、结构制作阶段及设备安装阶段，各阶段具有其独自的噪声特性。第一阶段的噪声源主要有推土机、挖掘机、装载机及各种车辆等，这些声源大部分属于移动声源，没有明显的指向性；第二阶段的噪声源主要有各种打桩机等，属于脉冲噪声，基本上是固定声源；第三阶段的主要产噪设备有混凝土搅拌机、振捣器、起重机等，其中包括一些撞击噪声；第四阶段的主要产噪设备有起重机、升降机等。在各施工阶段中，第一阶段即土方阶段的挖掘机对声环境的影响最大。这些噪声源均为间歇性源，由于施工现场距村庄比较远，因此施工噪声不会对厂外环境造成大的影响，但对现场施工人员危害较大。施工过程各声源设备源强类比调查结果见表3.4</w:t>
      </w:r>
      <w:r>
        <w:rPr>
          <w:sz w:val="24"/>
          <w:szCs w:val="24"/>
        </w:rPr>
        <w:t>-2</w:t>
      </w:r>
      <w:r>
        <w:rPr>
          <w:rFonts w:hint="eastAsia"/>
          <w:sz w:val="24"/>
          <w:szCs w:val="24"/>
        </w:rPr>
        <w:t>。</w:t>
      </w:r>
    </w:p>
    <w:p>
      <w:pPr>
        <w:spacing w:line="480" w:lineRule="atLeast"/>
        <w:jc w:val="center"/>
        <w:rPr>
          <w:rFonts w:ascii="黑体" w:hAnsi="黑体" w:eastAsia="黑体"/>
          <w:spacing w:val="4"/>
          <w:sz w:val="24"/>
          <w:szCs w:val="24"/>
        </w:rPr>
      </w:pPr>
      <w:r>
        <w:rPr>
          <w:rFonts w:hint="eastAsia" w:ascii="黑体" w:hAnsi="黑体" w:eastAsia="黑体"/>
          <w:spacing w:val="4"/>
          <w:sz w:val="24"/>
          <w:szCs w:val="24"/>
        </w:rPr>
        <w:t>表3.4</w:t>
      </w:r>
      <w:r>
        <w:rPr>
          <w:rFonts w:ascii="黑体" w:hAnsi="黑体" w:eastAsia="黑体"/>
          <w:spacing w:val="4"/>
          <w:sz w:val="24"/>
          <w:szCs w:val="24"/>
        </w:rPr>
        <w:t>-2</w:t>
      </w:r>
      <w:r>
        <w:rPr>
          <w:rFonts w:hint="eastAsia" w:ascii="黑体" w:hAnsi="黑体" w:eastAsia="黑体"/>
          <w:spacing w:val="4"/>
          <w:sz w:val="24"/>
          <w:szCs w:val="24"/>
        </w:rPr>
        <w:t xml:space="preserve">  施工期主要噪声源一览表（单位：</w:t>
      </w:r>
      <w:r>
        <w:rPr>
          <w:rFonts w:ascii="黑体" w:hAnsi="黑体" w:eastAsia="黑体"/>
          <w:spacing w:val="4"/>
          <w:sz w:val="24"/>
          <w:szCs w:val="24"/>
        </w:rPr>
        <w:t>dB</w:t>
      </w:r>
      <w:r>
        <w:rPr>
          <w:rFonts w:hint="eastAsia" w:ascii="黑体" w:hAnsi="黑体" w:eastAsia="黑体"/>
          <w:spacing w:val="4"/>
          <w:sz w:val="24"/>
          <w:szCs w:val="24"/>
        </w:rPr>
        <w:t>（</w:t>
      </w:r>
      <w:r>
        <w:rPr>
          <w:rFonts w:ascii="黑体" w:hAnsi="黑体" w:eastAsia="黑体"/>
          <w:spacing w:val="4"/>
          <w:sz w:val="24"/>
          <w:szCs w:val="24"/>
        </w:rPr>
        <w:t>A</w:t>
      </w:r>
      <w:r>
        <w:rPr>
          <w:rFonts w:hint="eastAsia" w:ascii="黑体" w:hAnsi="黑体" w:eastAsia="黑体"/>
          <w:spacing w:val="4"/>
          <w:sz w:val="24"/>
          <w:szCs w:val="24"/>
        </w:rPr>
        <w:t>））</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07"/>
        <w:gridCol w:w="2343"/>
        <w:gridCol w:w="2341"/>
        <w:gridCol w:w="22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Align w:val="center"/>
          </w:tcPr>
          <w:p>
            <w:pPr>
              <w:pStyle w:val="80"/>
              <w:spacing w:line="240" w:lineRule="auto"/>
              <w:rPr>
                <w:color w:val="000000"/>
              </w:rPr>
            </w:pPr>
            <w:r>
              <w:rPr>
                <w:rFonts w:hint="eastAsia"/>
                <w:color w:val="000000"/>
              </w:rPr>
              <w:t>施工阶段</w:t>
            </w:r>
          </w:p>
        </w:tc>
        <w:tc>
          <w:tcPr>
            <w:tcW w:w="1293" w:type="pct"/>
            <w:vAlign w:val="center"/>
          </w:tcPr>
          <w:p>
            <w:pPr>
              <w:pStyle w:val="80"/>
              <w:spacing w:line="240" w:lineRule="auto"/>
              <w:rPr>
                <w:color w:val="000000"/>
              </w:rPr>
            </w:pPr>
            <w:r>
              <w:rPr>
                <w:rFonts w:hint="eastAsia"/>
                <w:color w:val="000000"/>
              </w:rPr>
              <w:t>施工机械</w:t>
            </w:r>
          </w:p>
        </w:tc>
        <w:tc>
          <w:tcPr>
            <w:tcW w:w="1292" w:type="pct"/>
            <w:vAlign w:val="center"/>
          </w:tcPr>
          <w:p>
            <w:pPr>
              <w:pStyle w:val="80"/>
              <w:spacing w:line="240" w:lineRule="auto"/>
              <w:rPr>
                <w:color w:val="000000"/>
              </w:rPr>
            </w:pPr>
            <w:r>
              <w:rPr>
                <w:rFonts w:hint="eastAsia"/>
                <w:color w:val="000000"/>
              </w:rPr>
              <w:t>设备的声压级</w:t>
            </w:r>
          </w:p>
        </w:tc>
        <w:tc>
          <w:tcPr>
            <w:tcW w:w="1252" w:type="pct"/>
            <w:vAlign w:val="center"/>
          </w:tcPr>
          <w:p>
            <w:pPr>
              <w:pStyle w:val="80"/>
              <w:spacing w:line="240" w:lineRule="auto"/>
              <w:rPr>
                <w:color w:val="000000"/>
              </w:rPr>
            </w:pPr>
            <w:r>
              <w:rPr>
                <w:rFonts w:hint="eastAsia"/>
                <w:color w:val="000000"/>
              </w:rPr>
              <w:t>声源性质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Merge w:val="restart"/>
            <w:vAlign w:val="center"/>
          </w:tcPr>
          <w:p>
            <w:pPr>
              <w:pStyle w:val="80"/>
              <w:spacing w:line="240" w:lineRule="auto"/>
              <w:rPr>
                <w:color w:val="000000"/>
              </w:rPr>
            </w:pPr>
            <w:r>
              <w:rPr>
                <w:rFonts w:hint="eastAsia"/>
                <w:color w:val="000000"/>
              </w:rPr>
              <w:t>土方阶段</w:t>
            </w:r>
          </w:p>
        </w:tc>
        <w:tc>
          <w:tcPr>
            <w:tcW w:w="1293" w:type="pct"/>
            <w:vAlign w:val="center"/>
          </w:tcPr>
          <w:p>
            <w:pPr>
              <w:pStyle w:val="80"/>
              <w:spacing w:line="240" w:lineRule="auto"/>
              <w:rPr>
                <w:color w:val="000000"/>
              </w:rPr>
            </w:pPr>
            <w:r>
              <w:rPr>
                <w:rFonts w:hint="eastAsia"/>
                <w:color w:val="000000"/>
              </w:rPr>
              <w:t>推土机</w:t>
            </w:r>
          </w:p>
        </w:tc>
        <w:tc>
          <w:tcPr>
            <w:tcW w:w="1292" w:type="pct"/>
            <w:vAlign w:val="center"/>
          </w:tcPr>
          <w:p>
            <w:pPr>
              <w:pStyle w:val="80"/>
              <w:spacing w:line="240" w:lineRule="auto"/>
              <w:rPr>
                <w:color w:val="000000"/>
              </w:rPr>
            </w:pPr>
            <w:r>
              <w:rPr>
                <w:color w:val="000000"/>
              </w:rPr>
              <w:t>90—100</w:t>
            </w:r>
          </w:p>
        </w:tc>
        <w:tc>
          <w:tcPr>
            <w:tcW w:w="1252" w:type="pct"/>
            <w:vAlign w:val="center"/>
          </w:tcPr>
          <w:p>
            <w:pPr>
              <w:pStyle w:val="80"/>
              <w:spacing w:line="240" w:lineRule="auto"/>
              <w:rPr>
                <w:color w:val="000000"/>
              </w:rPr>
            </w:pPr>
            <w:r>
              <w:rPr>
                <w:rFonts w:hint="eastAsia"/>
                <w:color w:val="000000"/>
              </w:rPr>
              <w:t>间歇性源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Merge w:val="continue"/>
            <w:vAlign w:val="center"/>
          </w:tcPr>
          <w:p>
            <w:pPr>
              <w:pStyle w:val="80"/>
              <w:spacing w:line="240" w:lineRule="auto"/>
              <w:rPr>
                <w:color w:val="000000"/>
              </w:rPr>
            </w:pPr>
          </w:p>
        </w:tc>
        <w:tc>
          <w:tcPr>
            <w:tcW w:w="1293" w:type="pct"/>
            <w:vAlign w:val="center"/>
          </w:tcPr>
          <w:p>
            <w:pPr>
              <w:pStyle w:val="80"/>
              <w:spacing w:line="240" w:lineRule="auto"/>
              <w:rPr>
                <w:color w:val="000000"/>
              </w:rPr>
            </w:pPr>
            <w:r>
              <w:rPr>
                <w:rFonts w:hint="eastAsia"/>
                <w:color w:val="000000"/>
              </w:rPr>
              <w:t>挖掘机</w:t>
            </w:r>
          </w:p>
        </w:tc>
        <w:tc>
          <w:tcPr>
            <w:tcW w:w="1292" w:type="pct"/>
            <w:vAlign w:val="center"/>
          </w:tcPr>
          <w:p>
            <w:pPr>
              <w:pStyle w:val="80"/>
              <w:spacing w:line="240" w:lineRule="auto"/>
              <w:rPr>
                <w:color w:val="000000"/>
              </w:rPr>
            </w:pPr>
            <w:r>
              <w:rPr>
                <w:color w:val="000000"/>
              </w:rPr>
              <w:t>100—120</w:t>
            </w:r>
          </w:p>
        </w:tc>
        <w:tc>
          <w:tcPr>
            <w:tcW w:w="1252" w:type="pct"/>
            <w:vAlign w:val="center"/>
          </w:tcPr>
          <w:p>
            <w:pPr>
              <w:pStyle w:val="80"/>
              <w:spacing w:line="240" w:lineRule="auto"/>
              <w:rPr>
                <w:color w:val="000000"/>
              </w:rPr>
            </w:pPr>
            <w:r>
              <w:rPr>
                <w:rFonts w:hint="eastAsia"/>
                <w:color w:val="000000"/>
              </w:rPr>
              <w:t>间歇性源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Merge w:val="continue"/>
            <w:vAlign w:val="center"/>
          </w:tcPr>
          <w:p>
            <w:pPr>
              <w:pStyle w:val="80"/>
              <w:spacing w:line="240" w:lineRule="auto"/>
              <w:rPr>
                <w:color w:val="000000"/>
              </w:rPr>
            </w:pPr>
          </w:p>
        </w:tc>
        <w:tc>
          <w:tcPr>
            <w:tcW w:w="1293" w:type="pct"/>
            <w:vAlign w:val="center"/>
          </w:tcPr>
          <w:p>
            <w:pPr>
              <w:pStyle w:val="80"/>
              <w:spacing w:line="240" w:lineRule="auto"/>
              <w:rPr>
                <w:color w:val="000000"/>
              </w:rPr>
            </w:pPr>
            <w:r>
              <w:rPr>
                <w:rFonts w:hint="eastAsia"/>
                <w:color w:val="000000"/>
              </w:rPr>
              <w:t>装载机</w:t>
            </w:r>
          </w:p>
        </w:tc>
        <w:tc>
          <w:tcPr>
            <w:tcW w:w="1292" w:type="pct"/>
            <w:vAlign w:val="center"/>
          </w:tcPr>
          <w:p>
            <w:pPr>
              <w:pStyle w:val="80"/>
              <w:spacing w:line="240" w:lineRule="auto"/>
              <w:rPr>
                <w:color w:val="000000"/>
              </w:rPr>
            </w:pPr>
            <w:r>
              <w:rPr>
                <w:color w:val="000000"/>
              </w:rPr>
              <w:t>90—110</w:t>
            </w:r>
          </w:p>
        </w:tc>
        <w:tc>
          <w:tcPr>
            <w:tcW w:w="1252" w:type="pct"/>
            <w:vAlign w:val="center"/>
          </w:tcPr>
          <w:p>
            <w:pPr>
              <w:pStyle w:val="80"/>
              <w:spacing w:line="240" w:lineRule="auto"/>
              <w:rPr>
                <w:color w:val="000000"/>
              </w:rPr>
            </w:pPr>
            <w:r>
              <w:rPr>
                <w:rFonts w:hint="eastAsia"/>
                <w:color w:val="000000"/>
              </w:rPr>
              <w:t>间歇性源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Merge w:val="continue"/>
            <w:vAlign w:val="center"/>
          </w:tcPr>
          <w:p>
            <w:pPr>
              <w:pStyle w:val="80"/>
              <w:spacing w:line="240" w:lineRule="auto"/>
              <w:rPr>
                <w:color w:val="000000"/>
              </w:rPr>
            </w:pPr>
          </w:p>
        </w:tc>
        <w:tc>
          <w:tcPr>
            <w:tcW w:w="1293" w:type="pct"/>
            <w:vAlign w:val="center"/>
          </w:tcPr>
          <w:p>
            <w:pPr>
              <w:pStyle w:val="80"/>
              <w:spacing w:line="240" w:lineRule="auto"/>
              <w:rPr>
                <w:color w:val="000000"/>
              </w:rPr>
            </w:pPr>
            <w:r>
              <w:rPr>
                <w:rFonts w:hint="eastAsia"/>
                <w:color w:val="000000"/>
              </w:rPr>
              <w:t>各种车辆</w:t>
            </w:r>
          </w:p>
        </w:tc>
        <w:tc>
          <w:tcPr>
            <w:tcW w:w="1292" w:type="pct"/>
            <w:vAlign w:val="center"/>
          </w:tcPr>
          <w:p>
            <w:pPr>
              <w:pStyle w:val="80"/>
              <w:spacing w:line="240" w:lineRule="auto"/>
              <w:rPr>
                <w:color w:val="000000"/>
              </w:rPr>
            </w:pPr>
            <w:r>
              <w:rPr>
                <w:color w:val="000000"/>
              </w:rPr>
              <w:t>80—95</w:t>
            </w:r>
          </w:p>
        </w:tc>
        <w:tc>
          <w:tcPr>
            <w:tcW w:w="1252" w:type="pct"/>
            <w:vAlign w:val="center"/>
          </w:tcPr>
          <w:p>
            <w:pPr>
              <w:pStyle w:val="80"/>
              <w:spacing w:line="240" w:lineRule="auto"/>
              <w:rPr>
                <w:color w:val="000000"/>
              </w:rPr>
            </w:pPr>
            <w:r>
              <w:rPr>
                <w:rFonts w:hint="eastAsia"/>
                <w:color w:val="000000"/>
              </w:rPr>
              <w:t>间歇性源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Align w:val="center"/>
          </w:tcPr>
          <w:p>
            <w:pPr>
              <w:pStyle w:val="80"/>
              <w:spacing w:line="240" w:lineRule="auto"/>
              <w:rPr>
                <w:color w:val="000000"/>
              </w:rPr>
            </w:pPr>
            <w:r>
              <w:rPr>
                <w:rFonts w:hint="eastAsia"/>
                <w:color w:val="000000"/>
              </w:rPr>
              <w:t>基础施工阶段</w:t>
            </w:r>
          </w:p>
        </w:tc>
        <w:tc>
          <w:tcPr>
            <w:tcW w:w="1293" w:type="pct"/>
            <w:vAlign w:val="center"/>
          </w:tcPr>
          <w:p>
            <w:pPr>
              <w:pStyle w:val="80"/>
              <w:spacing w:line="240" w:lineRule="auto"/>
              <w:rPr>
                <w:color w:val="000000"/>
              </w:rPr>
            </w:pPr>
            <w:r>
              <w:rPr>
                <w:rFonts w:hint="eastAsia"/>
                <w:color w:val="000000"/>
              </w:rPr>
              <w:t>冲击打夯机</w:t>
            </w:r>
          </w:p>
        </w:tc>
        <w:tc>
          <w:tcPr>
            <w:tcW w:w="1292" w:type="pct"/>
            <w:vAlign w:val="center"/>
          </w:tcPr>
          <w:p>
            <w:pPr>
              <w:pStyle w:val="80"/>
              <w:spacing w:line="240" w:lineRule="auto"/>
              <w:rPr>
                <w:color w:val="000000"/>
              </w:rPr>
            </w:pPr>
            <w:r>
              <w:rPr>
                <w:color w:val="000000"/>
              </w:rPr>
              <w:t>105</w:t>
            </w:r>
          </w:p>
        </w:tc>
        <w:tc>
          <w:tcPr>
            <w:tcW w:w="1252" w:type="pct"/>
            <w:vAlign w:val="center"/>
          </w:tcPr>
          <w:p>
            <w:pPr>
              <w:pStyle w:val="80"/>
              <w:spacing w:line="240" w:lineRule="auto"/>
              <w:rPr>
                <w:color w:val="000000"/>
              </w:rPr>
            </w:pPr>
            <w:r>
              <w:rPr>
                <w:rFonts w:hint="eastAsia"/>
                <w:color w:val="000000"/>
              </w:rPr>
              <w:t>间歇性源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Merge w:val="restart"/>
            <w:vAlign w:val="center"/>
          </w:tcPr>
          <w:p>
            <w:pPr>
              <w:pStyle w:val="80"/>
              <w:spacing w:line="240" w:lineRule="auto"/>
              <w:rPr>
                <w:color w:val="000000"/>
              </w:rPr>
            </w:pPr>
            <w:r>
              <w:rPr>
                <w:rFonts w:hint="eastAsia"/>
                <w:color w:val="000000"/>
              </w:rPr>
              <w:t>结构制作阶段</w:t>
            </w:r>
          </w:p>
        </w:tc>
        <w:tc>
          <w:tcPr>
            <w:tcW w:w="1293" w:type="pct"/>
            <w:vAlign w:val="center"/>
          </w:tcPr>
          <w:p>
            <w:pPr>
              <w:pStyle w:val="80"/>
              <w:spacing w:line="240" w:lineRule="auto"/>
              <w:rPr>
                <w:color w:val="000000"/>
              </w:rPr>
            </w:pPr>
            <w:r>
              <w:rPr>
                <w:rFonts w:hint="eastAsia"/>
                <w:color w:val="000000"/>
              </w:rPr>
              <w:t>混凝土搅拌机</w:t>
            </w:r>
          </w:p>
        </w:tc>
        <w:tc>
          <w:tcPr>
            <w:tcW w:w="1292" w:type="pct"/>
            <w:vAlign w:val="center"/>
          </w:tcPr>
          <w:p>
            <w:pPr>
              <w:pStyle w:val="80"/>
              <w:spacing w:line="240" w:lineRule="auto"/>
              <w:rPr>
                <w:color w:val="000000"/>
              </w:rPr>
            </w:pPr>
            <w:r>
              <w:rPr>
                <w:color w:val="000000"/>
              </w:rPr>
              <w:t>80—90</w:t>
            </w:r>
          </w:p>
        </w:tc>
        <w:tc>
          <w:tcPr>
            <w:tcW w:w="1252" w:type="pct"/>
            <w:vAlign w:val="center"/>
          </w:tcPr>
          <w:p>
            <w:pPr>
              <w:pStyle w:val="80"/>
              <w:spacing w:line="240" w:lineRule="auto"/>
              <w:rPr>
                <w:color w:val="000000"/>
              </w:rPr>
            </w:pPr>
            <w:r>
              <w:rPr>
                <w:rFonts w:hint="eastAsia"/>
                <w:color w:val="000000"/>
              </w:rPr>
              <w:t>间歇性源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Merge w:val="continue"/>
            <w:vAlign w:val="center"/>
          </w:tcPr>
          <w:p>
            <w:pPr>
              <w:pStyle w:val="80"/>
              <w:spacing w:line="240" w:lineRule="auto"/>
              <w:rPr>
                <w:color w:val="000000"/>
              </w:rPr>
            </w:pPr>
          </w:p>
        </w:tc>
        <w:tc>
          <w:tcPr>
            <w:tcW w:w="1293" w:type="pct"/>
            <w:vAlign w:val="center"/>
          </w:tcPr>
          <w:p>
            <w:pPr>
              <w:pStyle w:val="80"/>
              <w:spacing w:line="240" w:lineRule="auto"/>
              <w:rPr>
                <w:color w:val="000000"/>
              </w:rPr>
            </w:pPr>
            <w:r>
              <w:rPr>
                <w:rFonts w:hint="eastAsia"/>
                <w:color w:val="000000"/>
              </w:rPr>
              <w:t>振捣棒</w:t>
            </w:r>
          </w:p>
        </w:tc>
        <w:tc>
          <w:tcPr>
            <w:tcW w:w="1292" w:type="pct"/>
            <w:vAlign w:val="center"/>
          </w:tcPr>
          <w:p>
            <w:pPr>
              <w:pStyle w:val="80"/>
              <w:spacing w:line="240" w:lineRule="auto"/>
              <w:rPr>
                <w:color w:val="000000"/>
              </w:rPr>
            </w:pPr>
            <w:r>
              <w:rPr>
                <w:color w:val="000000"/>
              </w:rPr>
              <w:t>85—100</w:t>
            </w:r>
          </w:p>
        </w:tc>
        <w:tc>
          <w:tcPr>
            <w:tcW w:w="1252" w:type="pct"/>
            <w:vAlign w:val="center"/>
          </w:tcPr>
          <w:p>
            <w:pPr>
              <w:pStyle w:val="80"/>
              <w:spacing w:line="240" w:lineRule="auto"/>
              <w:rPr>
                <w:color w:val="000000"/>
              </w:rPr>
            </w:pPr>
            <w:r>
              <w:rPr>
                <w:rFonts w:hint="eastAsia"/>
                <w:color w:val="000000"/>
              </w:rPr>
              <w:t>间歇性源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Merge w:val="continue"/>
            <w:vAlign w:val="center"/>
          </w:tcPr>
          <w:p>
            <w:pPr>
              <w:pStyle w:val="80"/>
              <w:spacing w:line="240" w:lineRule="auto"/>
              <w:rPr>
                <w:color w:val="000000"/>
              </w:rPr>
            </w:pPr>
          </w:p>
        </w:tc>
        <w:tc>
          <w:tcPr>
            <w:tcW w:w="1293" w:type="pct"/>
            <w:vAlign w:val="center"/>
          </w:tcPr>
          <w:p>
            <w:pPr>
              <w:pStyle w:val="80"/>
              <w:spacing w:line="240" w:lineRule="auto"/>
              <w:rPr>
                <w:color w:val="000000"/>
              </w:rPr>
            </w:pPr>
            <w:r>
              <w:rPr>
                <w:rFonts w:hint="eastAsia"/>
                <w:color w:val="000000"/>
              </w:rPr>
              <w:t>电锯</w:t>
            </w:r>
          </w:p>
        </w:tc>
        <w:tc>
          <w:tcPr>
            <w:tcW w:w="1292" w:type="pct"/>
            <w:vAlign w:val="center"/>
          </w:tcPr>
          <w:p>
            <w:pPr>
              <w:pStyle w:val="80"/>
              <w:spacing w:line="240" w:lineRule="auto"/>
              <w:rPr>
                <w:color w:val="000000"/>
              </w:rPr>
            </w:pPr>
            <w:r>
              <w:rPr>
                <w:color w:val="000000"/>
              </w:rPr>
              <w:t>90—100</w:t>
            </w:r>
          </w:p>
        </w:tc>
        <w:tc>
          <w:tcPr>
            <w:tcW w:w="1252" w:type="pct"/>
            <w:vAlign w:val="center"/>
          </w:tcPr>
          <w:p>
            <w:pPr>
              <w:pStyle w:val="80"/>
              <w:spacing w:line="240" w:lineRule="auto"/>
              <w:rPr>
                <w:color w:val="000000"/>
              </w:rPr>
            </w:pPr>
            <w:r>
              <w:rPr>
                <w:rFonts w:hint="eastAsia"/>
                <w:color w:val="000000"/>
              </w:rPr>
              <w:t>间歇性源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Merge w:val="restart"/>
            <w:vAlign w:val="center"/>
          </w:tcPr>
          <w:p>
            <w:pPr>
              <w:pStyle w:val="80"/>
              <w:spacing w:line="240" w:lineRule="auto"/>
              <w:rPr>
                <w:color w:val="000000"/>
              </w:rPr>
            </w:pPr>
            <w:r>
              <w:rPr>
                <w:rFonts w:hint="eastAsia"/>
                <w:color w:val="000000"/>
              </w:rPr>
              <w:t>设备安装阶段</w:t>
            </w:r>
          </w:p>
        </w:tc>
        <w:tc>
          <w:tcPr>
            <w:tcW w:w="1293" w:type="pct"/>
            <w:vAlign w:val="center"/>
          </w:tcPr>
          <w:p>
            <w:pPr>
              <w:pStyle w:val="80"/>
              <w:spacing w:line="240" w:lineRule="auto"/>
              <w:rPr>
                <w:color w:val="000000"/>
              </w:rPr>
            </w:pPr>
            <w:r>
              <w:rPr>
                <w:rFonts w:hint="eastAsia"/>
                <w:color w:val="000000"/>
              </w:rPr>
              <w:t>吊车</w:t>
            </w:r>
          </w:p>
        </w:tc>
        <w:tc>
          <w:tcPr>
            <w:tcW w:w="1292" w:type="pct"/>
            <w:vAlign w:val="center"/>
          </w:tcPr>
          <w:p>
            <w:pPr>
              <w:pStyle w:val="80"/>
              <w:spacing w:line="240" w:lineRule="auto"/>
              <w:rPr>
                <w:color w:val="000000"/>
              </w:rPr>
            </w:pPr>
            <w:r>
              <w:rPr>
                <w:color w:val="000000"/>
              </w:rPr>
              <w:t>90—100</w:t>
            </w:r>
          </w:p>
        </w:tc>
        <w:tc>
          <w:tcPr>
            <w:tcW w:w="1252" w:type="pct"/>
            <w:vAlign w:val="center"/>
          </w:tcPr>
          <w:p>
            <w:pPr>
              <w:pStyle w:val="80"/>
              <w:spacing w:line="240" w:lineRule="auto"/>
              <w:rPr>
                <w:color w:val="000000"/>
              </w:rPr>
            </w:pPr>
            <w:r>
              <w:rPr>
                <w:rFonts w:hint="eastAsia"/>
                <w:color w:val="000000"/>
              </w:rPr>
              <w:t>间歇性源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3" w:type="pct"/>
            <w:vMerge w:val="continue"/>
            <w:vAlign w:val="center"/>
          </w:tcPr>
          <w:p>
            <w:pPr>
              <w:pStyle w:val="80"/>
              <w:spacing w:line="240" w:lineRule="auto"/>
              <w:rPr>
                <w:color w:val="000000"/>
              </w:rPr>
            </w:pPr>
          </w:p>
        </w:tc>
        <w:tc>
          <w:tcPr>
            <w:tcW w:w="1293" w:type="pct"/>
            <w:vAlign w:val="center"/>
          </w:tcPr>
          <w:p>
            <w:pPr>
              <w:pStyle w:val="80"/>
              <w:spacing w:line="240" w:lineRule="auto"/>
              <w:rPr>
                <w:color w:val="000000"/>
              </w:rPr>
            </w:pPr>
            <w:r>
              <w:rPr>
                <w:rFonts w:hint="eastAsia"/>
                <w:color w:val="000000"/>
              </w:rPr>
              <w:t>升降机</w:t>
            </w:r>
          </w:p>
        </w:tc>
        <w:tc>
          <w:tcPr>
            <w:tcW w:w="1292" w:type="pct"/>
            <w:vAlign w:val="center"/>
          </w:tcPr>
          <w:p>
            <w:pPr>
              <w:pStyle w:val="80"/>
              <w:spacing w:line="240" w:lineRule="auto"/>
              <w:rPr>
                <w:color w:val="000000"/>
              </w:rPr>
            </w:pPr>
            <w:r>
              <w:rPr>
                <w:color w:val="000000"/>
              </w:rPr>
              <w:t>90—100</w:t>
            </w:r>
          </w:p>
        </w:tc>
        <w:tc>
          <w:tcPr>
            <w:tcW w:w="1252" w:type="pct"/>
            <w:vAlign w:val="center"/>
          </w:tcPr>
          <w:p>
            <w:pPr>
              <w:pStyle w:val="80"/>
              <w:spacing w:line="240" w:lineRule="auto"/>
              <w:rPr>
                <w:color w:val="000000"/>
              </w:rPr>
            </w:pPr>
            <w:r>
              <w:rPr>
                <w:rFonts w:hint="eastAsia"/>
                <w:color w:val="000000"/>
              </w:rPr>
              <w:t>间歇性源</w:t>
            </w:r>
          </w:p>
        </w:tc>
      </w:tr>
    </w:tbl>
    <w:p>
      <w:pPr>
        <w:spacing w:line="480" w:lineRule="exact"/>
        <w:ind w:firstLine="480" w:firstLineChars="200"/>
        <w:rPr>
          <w:rFonts w:ascii="黑体" w:hAnsi="黑体" w:eastAsia="黑体"/>
          <w:bCs/>
          <w:sz w:val="24"/>
        </w:rPr>
      </w:pPr>
      <w:r>
        <w:rPr>
          <w:rFonts w:hint="eastAsia"/>
          <w:sz w:val="24"/>
          <w:szCs w:val="24"/>
        </w:rPr>
        <w:t>所有产噪设备的施工时间应尽量安排在日间，须严格控制夜间的施工；应尽量避免在同一地点安排大量的动力机械设备，以避免局部声级过高；施工设备在选型上尽量采用低噪声设备，如振捣器采用变频振捣器等；对动力机械设备应进行定期维修、养护，避免因设备松动部件的震动或消声器破坏而加大其工作时的声级；在模板、支架的拆卸过程中应遵守作业规定，减少碰撞噪声。尽量少用哨子、喇叭等指挥作业，减少人为噪声；对位置相对固定的机械设备，能设在棚内操作的尽量进入操作间，不能入棚的应适当建立单面声障。通过采取以上措施，施工期噪声对周围环境的影响较小。</w:t>
      </w:r>
    </w:p>
    <w:p>
      <w:pPr>
        <w:pStyle w:val="65"/>
        <w:keepNext/>
        <w:keepLines/>
        <w:spacing w:before="156" w:beforeLines="50" w:after="0" w:line="480" w:lineRule="exact"/>
        <w:ind w:firstLine="0" w:firstLineChars="0"/>
        <w:rPr>
          <w:rFonts w:ascii="宋体" w:hAnsi="宋体" w:eastAsia="宋体"/>
          <w:b/>
          <w:szCs w:val="28"/>
          <w:lang w:val="en-GB"/>
        </w:rPr>
      </w:pPr>
      <w:bookmarkStart w:id="56" w:name="_Toc19105459"/>
      <w:r>
        <w:rPr>
          <w:rFonts w:ascii="Times New Roman" w:hAnsi="Times New Roman"/>
          <w:b/>
          <w:szCs w:val="28"/>
          <w:lang w:val="en-GB"/>
        </w:rPr>
        <w:t>3.</w:t>
      </w:r>
      <w:r>
        <w:rPr>
          <w:rFonts w:hint="eastAsia" w:ascii="Times New Roman" w:hAnsi="Times New Roman"/>
          <w:b/>
          <w:szCs w:val="28"/>
          <w:lang w:val="en-GB"/>
        </w:rPr>
        <w:t>5</w:t>
      </w:r>
      <w:r>
        <w:rPr>
          <w:rFonts w:hint="eastAsia" w:ascii="宋体" w:hAnsi="宋体" w:eastAsia="宋体"/>
          <w:b/>
          <w:szCs w:val="28"/>
        </w:rPr>
        <w:t>运营期污染影响分析</w:t>
      </w:r>
      <w:bookmarkEnd w:id="56"/>
    </w:p>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5</w:t>
      </w:r>
      <w:r>
        <w:rPr>
          <w:rFonts w:ascii="Times New Roman" w:hAnsi="Times New Roman" w:eastAsia="宋体"/>
          <w:b/>
        </w:rPr>
        <w:t>.</w:t>
      </w:r>
      <w:r>
        <w:rPr>
          <w:rFonts w:hint="eastAsia" w:ascii="Times New Roman" w:hAnsi="Times New Roman" w:eastAsia="宋体"/>
          <w:b/>
        </w:rPr>
        <w:t>1</w:t>
      </w:r>
      <w:r>
        <w:rPr>
          <w:rFonts w:hint="eastAsia" w:ascii="宋体" w:hAnsi="宋体" w:eastAsia="宋体"/>
          <w:b/>
        </w:rPr>
        <w:t>运营期大气污染影响分析</w:t>
      </w:r>
    </w:p>
    <w:p>
      <w:pPr>
        <w:spacing w:line="480" w:lineRule="exact"/>
        <w:rPr>
          <w:b/>
          <w:bCs/>
          <w:spacing w:val="6"/>
          <w:sz w:val="24"/>
        </w:rPr>
      </w:pPr>
      <w:r>
        <w:rPr>
          <w:rFonts w:hint="eastAsia"/>
          <w:b/>
          <w:bCs/>
          <w:sz w:val="24"/>
        </w:rPr>
        <w:t>1、</w:t>
      </w:r>
      <w:r>
        <w:rPr>
          <w:rFonts w:hint="eastAsia"/>
          <w:b/>
          <w:bCs/>
          <w:spacing w:val="6"/>
          <w:sz w:val="24"/>
        </w:rPr>
        <w:t>恶臭气体</w:t>
      </w:r>
    </w:p>
    <w:p>
      <w:pPr>
        <w:spacing w:line="480" w:lineRule="exact"/>
        <w:ind w:firstLine="480" w:firstLineChars="200"/>
        <w:rPr>
          <w:bCs/>
          <w:sz w:val="24"/>
          <w:szCs w:val="24"/>
        </w:rPr>
      </w:pPr>
      <w:r>
        <w:rPr>
          <w:rFonts w:hint="eastAsia"/>
          <w:bCs/>
          <w:sz w:val="24"/>
          <w:szCs w:val="24"/>
        </w:rPr>
        <w:t>本项目恶臭源主要源于鸡舍、鸡粪发酵罐、污水处理站，产生的主要恶臭气体是氨、硫化氢及臭气浓度。</w:t>
      </w:r>
    </w:p>
    <w:p>
      <w:pPr>
        <w:spacing w:line="480" w:lineRule="exact"/>
        <w:ind w:firstLine="480" w:firstLineChars="200"/>
        <w:rPr>
          <w:b/>
          <w:bCs/>
          <w:sz w:val="24"/>
          <w:szCs w:val="24"/>
        </w:rPr>
      </w:pPr>
      <w:r>
        <w:rPr>
          <w:rFonts w:hint="eastAsia"/>
          <w:b/>
          <w:bCs/>
          <w:sz w:val="24"/>
          <w:szCs w:val="24"/>
        </w:rPr>
        <w:t>（1）鸡舍恶臭源强</w:t>
      </w:r>
    </w:p>
    <w:p>
      <w:pPr>
        <w:spacing w:line="480" w:lineRule="exact"/>
        <w:ind w:firstLine="480" w:firstLineChars="200"/>
        <w:rPr>
          <w:bCs/>
          <w:sz w:val="24"/>
          <w:szCs w:val="24"/>
        </w:rPr>
      </w:pPr>
      <w:r>
        <w:rPr>
          <w:rFonts w:hint="eastAsia"/>
          <w:bCs/>
          <w:sz w:val="24"/>
          <w:szCs w:val="24"/>
        </w:rPr>
        <w:t>养殖场恶臭产生情况主要与清粪方式、管理水平、粪便利污水处理程度有关，同时也与场址选择、场地规划和</w:t>
      </w:r>
      <w:r>
        <w:rPr>
          <w:bCs/>
          <w:sz w:val="24"/>
          <w:szCs w:val="24"/>
        </w:rPr>
        <w:t>|</w:t>
      </w:r>
      <w:r>
        <w:rPr>
          <w:rFonts w:hint="eastAsia"/>
          <w:bCs/>
          <w:sz w:val="24"/>
          <w:szCs w:val="24"/>
        </w:rPr>
        <w:t>布局、畜舍设计、畜舍通风等有关。恶臭的成分十分复杂，因家畜的种类、饲料组成、粪便和污水处理等不同而异，主要成分为</w:t>
      </w:r>
      <w:r>
        <w:rPr>
          <w:bCs/>
          <w:sz w:val="24"/>
          <w:szCs w:val="24"/>
        </w:rPr>
        <w:t>NH</w:t>
      </w:r>
      <w:r>
        <w:rPr>
          <w:bCs/>
          <w:sz w:val="24"/>
          <w:szCs w:val="24"/>
          <w:vertAlign w:val="subscript"/>
        </w:rPr>
        <w:t>3</w:t>
      </w:r>
      <w:r>
        <w:rPr>
          <w:rFonts w:hint="eastAsia"/>
          <w:bCs/>
          <w:sz w:val="24"/>
          <w:szCs w:val="24"/>
        </w:rPr>
        <w:t>和</w:t>
      </w:r>
      <w:r>
        <w:rPr>
          <w:bCs/>
          <w:sz w:val="24"/>
          <w:szCs w:val="24"/>
        </w:rPr>
        <w:t>H</w:t>
      </w:r>
      <w:r>
        <w:rPr>
          <w:bCs/>
          <w:sz w:val="24"/>
          <w:szCs w:val="24"/>
          <w:vertAlign w:val="subscript"/>
        </w:rPr>
        <w:t>2</w:t>
      </w:r>
      <w:r>
        <w:rPr>
          <w:bCs/>
          <w:sz w:val="24"/>
          <w:szCs w:val="24"/>
        </w:rPr>
        <w:t>S</w:t>
      </w:r>
      <w:r>
        <w:rPr>
          <w:rFonts w:hint="eastAsia"/>
          <w:bCs/>
          <w:sz w:val="24"/>
          <w:szCs w:val="24"/>
        </w:rPr>
        <w:t>。</w:t>
      </w:r>
    </w:p>
    <w:p>
      <w:pPr>
        <w:spacing w:line="480" w:lineRule="exact"/>
        <w:ind w:firstLine="480" w:firstLineChars="200"/>
        <w:rPr>
          <w:bCs/>
          <w:sz w:val="24"/>
          <w:szCs w:val="24"/>
        </w:rPr>
      </w:pPr>
      <w:r>
        <w:rPr>
          <w:rFonts w:hint="eastAsia"/>
          <w:bCs/>
          <w:sz w:val="24"/>
          <w:szCs w:val="24"/>
        </w:rPr>
        <w:t>项目采用干清粪养殖技术，采用输送带及时将产生的鸡粪清出，清粪带清理粪便率为</w:t>
      </w:r>
      <w:r>
        <w:rPr>
          <w:bCs/>
          <w:sz w:val="24"/>
          <w:szCs w:val="24"/>
        </w:rPr>
        <w:t>100%</w:t>
      </w:r>
      <w:r>
        <w:rPr>
          <w:rFonts w:hint="eastAsia"/>
          <w:bCs/>
          <w:sz w:val="24"/>
          <w:szCs w:val="24"/>
        </w:rPr>
        <w:t>，为鸡群的生长创造良好条件。并采取综合除臭措施和管理措施予以控制臭气影响，主要包括在日粮中添加</w:t>
      </w:r>
      <w:r>
        <w:rPr>
          <w:bCs/>
          <w:sz w:val="24"/>
          <w:szCs w:val="24"/>
        </w:rPr>
        <w:t>EM</w:t>
      </w:r>
      <w:r>
        <w:rPr>
          <w:rFonts w:hint="eastAsia"/>
          <w:bCs/>
          <w:sz w:val="24"/>
          <w:szCs w:val="24"/>
        </w:rPr>
        <w:t>菌，加强通风，另外在鸡粪清粪带撒上沸石粉、海泡石、过磷酸钙等措施，通过以上措施，可有效降低鸡舍恶臭排放源强。</w:t>
      </w:r>
    </w:p>
    <w:p>
      <w:pPr>
        <w:spacing w:line="480" w:lineRule="exact"/>
        <w:ind w:firstLine="480" w:firstLineChars="200"/>
        <w:rPr>
          <w:bCs/>
          <w:sz w:val="24"/>
          <w:szCs w:val="24"/>
        </w:rPr>
      </w:pPr>
      <w:r>
        <w:rPr>
          <w:rFonts w:hint="eastAsia"/>
          <w:bCs/>
          <w:sz w:val="24"/>
          <w:szCs w:val="24"/>
        </w:rPr>
        <w:t>本项目鸡舍内</w:t>
      </w:r>
      <w:r>
        <w:rPr>
          <w:bCs/>
          <w:sz w:val="24"/>
          <w:szCs w:val="24"/>
        </w:rPr>
        <w:t>H</w:t>
      </w:r>
      <w:r>
        <w:rPr>
          <w:bCs/>
          <w:sz w:val="24"/>
          <w:szCs w:val="24"/>
          <w:vertAlign w:val="subscript"/>
        </w:rPr>
        <w:t>2</w:t>
      </w:r>
      <w:r>
        <w:rPr>
          <w:bCs/>
          <w:sz w:val="24"/>
          <w:szCs w:val="24"/>
        </w:rPr>
        <w:t>S</w:t>
      </w:r>
      <w:r>
        <w:rPr>
          <w:rFonts w:hint="eastAsia"/>
          <w:bCs/>
          <w:sz w:val="24"/>
          <w:szCs w:val="24"/>
        </w:rPr>
        <w:t>、</w:t>
      </w:r>
      <w:r>
        <w:rPr>
          <w:bCs/>
          <w:sz w:val="24"/>
          <w:szCs w:val="24"/>
        </w:rPr>
        <w:t>NH</w:t>
      </w:r>
      <w:r>
        <w:rPr>
          <w:bCs/>
          <w:sz w:val="24"/>
          <w:szCs w:val="24"/>
          <w:vertAlign w:val="subscript"/>
        </w:rPr>
        <w:t>3</w:t>
      </w:r>
      <w:r>
        <w:rPr>
          <w:rFonts w:hint="eastAsia"/>
          <w:bCs/>
          <w:sz w:val="24"/>
          <w:szCs w:val="24"/>
        </w:rPr>
        <w:t>排放源强</w:t>
      </w:r>
      <w:bookmarkStart w:id="57" w:name="_Hlk481917731"/>
      <w:r>
        <w:rPr>
          <w:rFonts w:hint="eastAsia"/>
          <w:bCs/>
          <w:sz w:val="24"/>
          <w:szCs w:val="24"/>
        </w:rPr>
        <w:t>根据《不同季节鸡舍内空气环境的检测与评价》（刘凤芝，孙合美，辛国琴，廉新慧，谷巍，</w:t>
      </w:r>
      <w:r>
        <w:rPr>
          <w:bCs/>
          <w:sz w:val="24"/>
          <w:szCs w:val="24"/>
        </w:rPr>
        <w:t>2013</w:t>
      </w:r>
      <w:r>
        <w:rPr>
          <w:rFonts w:hint="eastAsia"/>
          <w:bCs/>
          <w:sz w:val="24"/>
          <w:szCs w:val="24"/>
        </w:rPr>
        <w:t>年）中数据</w:t>
      </w:r>
      <w:bookmarkEnd w:id="57"/>
      <w:r>
        <w:rPr>
          <w:rFonts w:hint="eastAsia"/>
          <w:bCs/>
          <w:sz w:val="24"/>
          <w:szCs w:val="24"/>
        </w:rPr>
        <w:t>，鸡舍长</w:t>
      </w:r>
      <w:r>
        <w:rPr>
          <w:bCs/>
          <w:sz w:val="24"/>
          <w:szCs w:val="24"/>
        </w:rPr>
        <w:t>11</w:t>
      </w:r>
      <w:r>
        <w:rPr>
          <w:rFonts w:hint="eastAsia"/>
          <w:bCs/>
          <w:sz w:val="24"/>
          <w:szCs w:val="24"/>
        </w:rPr>
        <w:t>0</w:t>
      </w:r>
      <w:r>
        <w:rPr>
          <w:bCs/>
          <w:sz w:val="24"/>
          <w:szCs w:val="24"/>
        </w:rPr>
        <w:t>m</w:t>
      </w:r>
      <w:r>
        <w:rPr>
          <w:rFonts w:hint="eastAsia"/>
          <w:bCs/>
          <w:sz w:val="24"/>
          <w:szCs w:val="24"/>
        </w:rPr>
        <w:t>，宽12</w:t>
      </w:r>
      <w:r>
        <w:rPr>
          <w:bCs/>
          <w:sz w:val="24"/>
          <w:szCs w:val="24"/>
        </w:rPr>
        <w:t>m</w:t>
      </w:r>
      <w:r>
        <w:rPr>
          <w:rFonts w:hint="eastAsia"/>
          <w:bCs/>
          <w:sz w:val="24"/>
          <w:szCs w:val="24"/>
        </w:rPr>
        <w:t>，高4</w:t>
      </w:r>
      <w:r>
        <w:rPr>
          <w:bCs/>
          <w:sz w:val="24"/>
          <w:szCs w:val="24"/>
        </w:rPr>
        <w:t>m</w:t>
      </w:r>
      <w:r>
        <w:rPr>
          <w:rFonts w:hint="eastAsia"/>
          <w:bCs/>
          <w:sz w:val="24"/>
          <w:szCs w:val="24"/>
        </w:rPr>
        <w:t>，养殖1</w:t>
      </w:r>
      <w:r>
        <w:rPr>
          <w:bCs/>
          <w:sz w:val="24"/>
          <w:szCs w:val="24"/>
        </w:rPr>
        <w:t>6</w:t>
      </w:r>
      <w:r>
        <w:rPr>
          <w:rFonts w:hint="eastAsia"/>
          <w:bCs/>
          <w:sz w:val="24"/>
          <w:szCs w:val="24"/>
        </w:rPr>
        <w:t>万只鸡，监测得到最不利季节夏季鸡舍中央：</w:t>
      </w:r>
      <w:r>
        <w:rPr>
          <w:bCs/>
          <w:sz w:val="24"/>
          <w:szCs w:val="24"/>
        </w:rPr>
        <w:t>NH</w:t>
      </w:r>
      <w:r>
        <w:rPr>
          <w:bCs/>
          <w:sz w:val="24"/>
          <w:szCs w:val="24"/>
          <w:vertAlign w:val="subscript"/>
        </w:rPr>
        <w:t>3</w:t>
      </w:r>
      <w:r>
        <w:rPr>
          <w:rFonts w:hint="eastAsia"/>
          <w:bCs/>
          <w:sz w:val="24"/>
          <w:szCs w:val="24"/>
        </w:rPr>
        <w:t>检测浓度为</w:t>
      </w:r>
      <w:r>
        <w:rPr>
          <w:bCs/>
          <w:sz w:val="24"/>
          <w:szCs w:val="24"/>
        </w:rPr>
        <w:t>12.15mg/m</w:t>
      </w:r>
      <w:r>
        <w:rPr>
          <w:bCs/>
          <w:sz w:val="24"/>
          <w:szCs w:val="24"/>
          <w:vertAlign w:val="superscript"/>
        </w:rPr>
        <w:t>3</w:t>
      </w:r>
      <w:r>
        <w:rPr>
          <w:rFonts w:hint="eastAsia"/>
          <w:bCs/>
          <w:sz w:val="24"/>
          <w:szCs w:val="24"/>
        </w:rPr>
        <w:t>。换气装置一般以温度调节，按每天可更换</w:t>
      </w:r>
      <w:r>
        <w:rPr>
          <w:bCs/>
          <w:sz w:val="24"/>
          <w:szCs w:val="24"/>
        </w:rPr>
        <w:t>8</w:t>
      </w:r>
      <w:r>
        <w:rPr>
          <w:rFonts w:hint="eastAsia"/>
          <w:bCs/>
          <w:sz w:val="24"/>
          <w:szCs w:val="24"/>
        </w:rPr>
        <w:t>次舍内全部空气气量计。则</w:t>
      </w:r>
      <w:r>
        <w:rPr>
          <w:bCs/>
          <w:sz w:val="24"/>
          <w:szCs w:val="24"/>
        </w:rPr>
        <w:t>NH</w:t>
      </w:r>
      <w:r>
        <w:rPr>
          <w:bCs/>
          <w:sz w:val="24"/>
          <w:szCs w:val="24"/>
          <w:vertAlign w:val="subscript"/>
        </w:rPr>
        <w:t>3</w:t>
      </w:r>
      <w:r>
        <w:rPr>
          <w:rFonts w:hint="eastAsia"/>
          <w:bCs/>
          <w:sz w:val="24"/>
          <w:szCs w:val="24"/>
        </w:rPr>
        <w:t>排放强度为</w:t>
      </w:r>
      <w:r>
        <w:rPr>
          <w:bCs/>
          <w:sz w:val="24"/>
          <w:szCs w:val="24"/>
        </w:rPr>
        <w:t>0.00</w:t>
      </w:r>
      <w:r>
        <w:rPr>
          <w:rFonts w:hint="eastAsia"/>
          <w:bCs/>
          <w:sz w:val="24"/>
          <w:szCs w:val="24"/>
        </w:rPr>
        <w:t>32</w:t>
      </w:r>
      <w:r>
        <w:rPr>
          <w:bCs/>
          <w:sz w:val="24"/>
          <w:szCs w:val="24"/>
        </w:rPr>
        <w:t>g/</w:t>
      </w:r>
      <w:r>
        <w:rPr>
          <w:rFonts w:hint="eastAsia"/>
          <w:bCs/>
          <w:sz w:val="24"/>
          <w:szCs w:val="24"/>
        </w:rPr>
        <w:t>（只</w:t>
      </w:r>
      <w:r>
        <w:rPr>
          <w:bCs/>
          <w:sz w:val="24"/>
          <w:szCs w:val="24"/>
        </w:rPr>
        <w:t>•d</w:t>
      </w:r>
      <w:r>
        <w:rPr>
          <w:rFonts w:hint="eastAsia"/>
          <w:bCs/>
          <w:sz w:val="24"/>
          <w:szCs w:val="24"/>
        </w:rPr>
        <w:t>）。上述文献未对</w:t>
      </w:r>
      <w:r>
        <w:rPr>
          <w:bCs/>
          <w:sz w:val="24"/>
          <w:szCs w:val="24"/>
        </w:rPr>
        <w:t>H</w:t>
      </w:r>
      <w:r>
        <w:rPr>
          <w:bCs/>
          <w:sz w:val="24"/>
          <w:szCs w:val="24"/>
          <w:vertAlign w:val="subscript"/>
        </w:rPr>
        <w:t>2</w:t>
      </w:r>
      <w:r>
        <w:rPr>
          <w:bCs/>
          <w:sz w:val="24"/>
          <w:szCs w:val="24"/>
        </w:rPr>
        <w:t>S</w:t>
      </w:r>
      <w:r>
        <w:rPr>
          <w:rFonts w:hint="eastAsia"/>
          <w:bCs/>
          <w:sz w:val="24"/>
          <w:szCs w:val="24"/>
        </w:rPr>
        <w:t>进行监测，本次环评取H</w:t>
      </w:r>
      <w:r>
        <w:rPr>
          <w:rFonts w:hint="eastAsia"/>
          <w:bCs/>
          <w:sz w:val="24"/>
          <w:szCs w:val="24"/>
          <w:vertAlign w:val="subscript"/>
        </w:rPr>
        <w:t>2</w:t>
      </w:r>
      <w:r>
        <w:rPr>
          <w:rFonts w:hint="eastAsia"/>
          <w:bCs/>
          <w:sz w:val="24"/>
          <w:szCs w:val="24"/>
        </w:rPr>
        <w:t>S含量为</w:t>
      </w:r>
      <w:r>
        <w:rPr>
          <w:bCs/>
          <w:sz w:val="24"/>
          <w:szCs w:val="24"/>
        </w:rPr>
        <w:t>NH</w:t>
      </w:r>
      <w:r>
        <w:rPr>
          <w:bCs/>
          <w:sz w:val="24"/>
          <w:szCs w:val="24"/>
          <w:vertAlign w:val="subscript"/>
        </w:rPr>
        <w:t>3</w:t>
      </w:r>
      <w:r>
        <w:rPr>
          <w:rFonts w:hint="eastAsia"/>
          <w:bCs/>
          <w:sz w:val="24"/>
          <w:szCs w:val="24"/>
        </w:rPr>
        <w:t>的10%计算，则</w:t>
      </w:r>
      <w:r>
        <w:rPr>
          <w:bCs/>
          <w:sz w:val="24"/>
          <w:szCs w:val="24"/>
        </w:rPr>
        <w:t>H</w:t>
      </w:r>
      <w:r>
        <w:rPr>
          <w:bCs/>
          <w:sz w:val="24"/>
          <w:szCs w:val="24"/>
          <w:vertAlign w:val="subscript"/>
        </w:rPr>
        <w:t>2</w:t>
      </w:r>
      <w:r>
        <w:rPr>
          <w:bCs/>
          <w:sz w:val="24"/>
          <w:szCs w:val="24"/>
        </w:rPr>
        <w:t>S</w:t>
      </w:r>
      <w:r>
        <w:rPr>
          <w:rFonts w:hint="eastAsia"/>
          <w:bCs/>
          <w:sz w:val="24"/>
          <w:szCs w:val="24"/>
        </w:rPr>
        <w:t>排放强度</w:t>
      </w:r>
      <w:r>
        <w:rPr>
          <w:bCs/>
          <w:sz w:val="24"/>
          <w:szCs w:val="24"/>
        </w:rPr>
        <w:t>0.00</w:t>
      </w:r>
      <w:r>
        <w:rPr>
          <w:rFonts w:hint="eastAsia"/>
          <w:bCs/>
          <w:sz w:val="24"/>
          <w:szCs w:val="24"/>
        </w:rPr>
        <w:t>032</w:t>
      </w:r>
      <w:r>
        <w:rPr>
          <w:bCs/>
          <w:sz w:val="24"/>
          <w:szCs w:val="24"/>
        </w:rPr>
        <w:t>g/</w:t>
      </w:r>
      <w:r>
        <w:rPr>
          <w:rFonts w:hint="eastAsia"/>
          <w:bCs/>
          <w:sz w:val="24"/>
          <w:szCs w:val="24"/>
        </w:rPr>
        <w:t>（只</w:t>
      </w:r>
      <w:r>
        <w:rPr>
          <w:bCs/>
          <w:sz w:val="24"/>
          <w:szCs w:val="24"/>
        </w:rPr>
        <w:t>•d</w:t>
      </w:r>
      <w:r>
        <w:rPr>
          <w:rFonts w:hint="eastAsia"/>
          <w:bCs/>
          <w:sz w:val="24"/>
          <w:szCs w:val="24"/>
        </w:rPr>
        <w:t>）。</w:t>
      </w:r>
    </w:p>
    <w:p>
      <w:pPr>
        <w:spacing w:line="480" w:lineRule="exact"/>
        <w:ind w:firstLine="480" w:firstLineChars="200"/>
        <w:rPr>
          <w:bCs/>
          <w:sz w:val="24"/>
          <w:szCs w:val="24"/>
        </w:rPr>
      </w:pPr>
      <w:r>
        <w:rPr>
          <w:rFonts w:hint="eastAsia"/>
          <w:bCs/>
          <w:sz w:val="24"/>
          <w:szCs w:val="24"/>
        </w:rPr>
        <w:t>本项目鸡舍内</w:t>
      </w:r>
      <w:r>
        <w:rPr>
          <w:bCs/>
          <w:sz w:val="24"/>
          <w:szCs w:val="24"/>
        </w:rPr>
        <w:t>H</w:t>
      </w:r>
      <w:r>
        <w:rPr>
          <w:bCs/>
          <w:sz w:val="24"/>
          <w:szCs w:val="24"/>
          <w:vertAlign w:val="subscript"/>
        </w:rPr>
        <w:t>2</w:t>
      </w:r>
      <w:r>
        <w:rPr>
          <w:bCs/>
          <w:sz w:val="24"/>
          <w:szCs w:val="24"/>
        </w:rPr>
        <w:t>S</w:t>
      </w:r>
      <w:r>
        <w:rPr>
          <w:rFonts w:hint="eastAsia"/>
          <w:bCs/>
          <w:sz w:val="24"/>
          <w:szCs w:val="24"/>
        </w:rPr>
        <w:t>、</w:t>
      </w:r>
      <w:r>
        <w:rPr>
          <w:bCs/>
          <w:sz w:val="24"/>
          <w:szCs w:val="24"/>
        </w:rPr>
        <w:t>NH</w:t>
      </w:r>
      <w:r>
        <w:rPr>
          <w:bCs/>
          <w:sz w:val="24"/>
          <w:szCs w:val="24"/>
          <w:vertAlign w:val="subscript"/>
        </w:rPr>
        <w:t>3</w:t>
      </w:r>
      <w:r>
        <w:rPr>
          <w:rFonts w:hint="eastAsia"/>
          <w:bCs/>
          <w:sz w:val="24"/>
          <w:szCs w:val="24"/>
        </w:rPr>
        <w:t>源强类比其排放量，则</w:t>
      </w:r>
      <w:r>
        <w:rPr>
          <w:bCs/>
          <w:sz w:val="24"/>
          <w:szCs w:val="24"/>
        </w:rPr>
        <w:t>NH</w:t>
      </w:r>
      <w:r>
        <w:rPr>
          <w:bCs/>
          <w:sz w:val="24"/>
          <w:szCs w:val="24"/>
          <w:vertAlign w:val="subscript"/>
        </w:rPr>
        <w:t>3</w:t>
      </w:r>
      <w:r>
        <w:rPr>
          <w:rFonts w:hint="eastAsia"/>
          <w:bCs/>
          <w:sz w:val="24"/>
          <w:szCs w:val="24"/>
        </w:rPr>
        <w:t>排放强度为108.8g/（栋</w:t>
      </w:r>
      <w:r>
        <w:rPr>
          <w:bCs/>
          <w:sz w:val="24"/>
          <w:szCs w:val="24"/>
        </w:rPr>
        <w:t>•</w:t>
      </w:r>
      <w:r>
        <w:rPr>
          <w:rFonts w:hint="eastAsia"/>
          <w:bCs/>
          <w:sz w:val="24"/>
          <w:szCs w:val="24"/>
        </w:rPr>
        <w:t>d），</w:t>
      </w:r>
      <w:r>
        <w:rPr>
          <w:bCs/>
          <w:sz w:val="24"/>
          <w:szCs w:val="24"/>
        </w:rPr>
        <w:t>H</w:t>
      </w:r>
      <w:r>
        <w:rPr>
          <w:bCs/>
          <w:sz w:val="24"/>
          <w:szCs w:val="24"/>
          <w:vertAlign w:val="subscript"/>
        </w:rPr>
        <w:t>2</w:t>
      </w:r>
      <w:r>
        <w:rPr>
          <w:bCs/>
          <w:sz w:val="24"/>
          <w:szCs w:val="24"/>
        </w:rPr>
        <w:t>S</w:t>
      </w:r>
      <w:r>
        <w:rPr>
          <w:rFonts w:hint="eastAsia"/>
          <w:bCs/>
          <w:sz w:val="24"/>
          <w:szCs w:val="24"/>
        </w:rPr>
        <w:t>排放强度为10.9g/（栋</w:t>
      </w:r>
      <w:r>
        <w:rPr>
          <w:bCs/>
          <w:sz w:val="24"/>
          <w:szCs w:val="24"/>
        </w:rPr>
        <w:t>•</w:t>
      </w:r>
      <w:r>
        <w:rPr>
          <w:rFonts w:hint="eastAsia"/>
          <w:bCs/>
          <w:sz w:val="24"/>
          <w:szCs w:val="24"/>
        </w:rPr>
        <w:t>d），每批次饲养45d，年饲养6批次，6480h/a；则</w:t>
      </w:r>
      <w:r>
        <w:rPr>
          <w:bCs/>
          <w:sz w:val="24"/>
          <w:szCs w:val="24"/>
        </w:rPr>
        <w:t>NH</w:t>
      </w:r>
      <w:r>
        <w:rPr>
          <w:bCs/>
          <w:sz w:val="24"/>
          <w:szCs w:val="24"/>
          <w:vertAlign w:val="subscript"/>
        </w:rPr>
        <w:t>3</w:t>
      </w:r>
      <w:r>
        <w:rPr>
          <w:rFonts w:hint="eastAsia"/>
          <w:bCs/>
          <w:sz w:val="24"/>
          <w:szCs w:val="24"/>
        </w:rPr>
        <w:t>排放量为0.206t/a，0.032kg/h，</w:t>
      </w:r>
      <w:r>
        <w:rPr>
          <w:bCs/>
          <w:sz w:val="24"/>
          <w:szCs w:val="24"/>
        </w:rPr>
        <w:t>H</w:t>
      </w:r>
      <w:r>
        <w:rPr>
          <w:bCs/>
          <w:sz w:val="24"/>
          <w:szCs w:val="24"/>
          <w:vertAlign w:val="subscript"/>
        </w:rPr>
        <w:t>2</w:t>
      </w:r>
      <w:r>
        <w:rPr>
          <w:bCs/>
          <w:sz w:val="24"/>
          <w:szCs w:val="24"/>
        </w:rPr>
        <w:t>S</w:t>
      </w:r>
      <w:r>
        <w:rPr>
          <w:rFonts w:hint="eastAsia"/>
          <w:bCs/>
          <w:sz w:val="24"/>
          <w:szCs w:val="24"/>
        </w:rPr>
        <w:t>排放量为0.021t/a，0.0032kg/h。</w:t>
      </w:r>
    </w:p>
    <w:p>
      <w:pPr>
        <w:spacing w:line="480" w:lineRule="exact"/>
        <w:ind w:firstLine="480" w:firstLineChars="200"/>
        <w:rPr>
          <w:b/>
          <w:bCs/>
          <w:sz w:val="24"/>
          <w:szCs w:val="24"/>
        </w:rPr>
      </w:pPr>
      <w:r>
        <w:rPr>
          <w:rFonts w:hint="eastAsia"/>
          <w:b/>
          <w:bCs/>
          <w:sz w:val="24"/>
          <w:szCs w:val="24"/>
        </w:rPr>
        <w:t>（2）鸡粪发酵罐及储粪房恶臭</w:t>
      </w:r>
    </w:p>
    <w:p>
      <w:pPr>
        <w:spacing w:line="480" w:lineRule="exact"/>
        <w:ind w:firstLine="480" w:firstLineChars="200"/>
        <w:rPr>
          <w:bCs/>
          <w:sz w:val="24"/>
          <w:szCs w:val="24"/>
        </w:rPr>
      </w:pPr>
      <w:r>
        <w:rPr>
          <w:rFonts w:hint="eastAsia"/>
          <w:bCs/>
          <w:sz w:val="24"/>
          <w:szCs w:val="24"/>
        </w:rPr>
        <w:t>①发酵罐恶臭</w:t>
      </w:r>
    </w:p>
    <w:p>
      <w:pPr>
        <w:spacing w:line="480" w:lineRule="exact"/>
        <w:ind w:firstLine="480" w:firstLineChars="200"/>
        <w:rPr>
          <w:bCs/>
          <w:sz w:val="24"/>
          <w:szCs w:val="24"/>
        </w:rPr>
      </w:pPr>
      <w:r>
        <w:rPr>
          <w:rFonts w:hint="eastAsia"/>
          <w:bCs/>
          <w:sz w:val="24"/>
          <w:szCs w:val="24"/>
        </w:rPr>
        <w:t>根据《铝盐对鸡粪中氨气释放的影响及其机理研究》（焦洪超，张洪芳，林海，</w:t>
      </w:r>
      <w:r>
        <w:rPr>
          <w:bCs/>
          <w:sz w:val="24"/>
          <w:szCs w:val="24"/>
        </w:rPr>
        <w:t>2009</w:t>
      </w:r>
      <w:r>
        <w:rPr>
          <w:rFonts w:hint="eastAsia"/>
          <w:bCs/>
          <w:sz w:val="24"/>
          <w:szCs w:val="24"/>
        </w:rPr>
        <w:t>年）研究结果表明，</w:t>
      </w:r>
      <w:r>
        <w:rPr>
          <w:bCs/>
          <w:sz w:val="24"/>
          <w:szCs w:val="24"/>
        </w:rPr>
        <w:t>100g</w:t>
      </w:r>
      <w:r>
        <w:rPr>
          <w:rFonts w:hint="eastAsia"/>
          <w:bCs/>
          <w:sz w:val="24"/>
          <w:szCs w:val="24"/>
        </w:rPr>
        <w:t>鸡粪氨气产生量为</w:t>
      </w:r>
      <w:r>
        <w:rPr>
          <w:bCs/>
          <w:sz w:val="24"/>
          <w:szCs w:val="24"/>
        </w:rPr>
        <w:t>18.67mg/d</w:t>
      </w:r>
      <w:r>
        <w:rPr>
          <w:rFonts w:hint="eastAsia"/>
          <w:bCs/>
          <w:sz w:val="24"/>
          <w:szCs w:val="24"/>
        </w:rPr>
        <w:t>。上述文献未对</w:t>
      </w:r>
      <w:r>
        <w:rPr>
          <w:bCs/>
          <w:sz w:val="24"/>
          <w:szCs w:val="24"/>
        </w:rPr>
        <w:t>H</w:t>
      </w:r>
      <w:r>
        <w:rPr>
          <w:bCs/>
          <w:sz w:val="24"/>
          <w:szCs w:val="24"/>
          <w:vertAlign w:val="subscript"/>
        </w:rPr>
        <w:t>2</w:t>
      </w:r>
      <w:r>
        <w:rPr>
          <w:bCs/>
          <w:sz w:val="24"/>
          <w:szCs w:val="24"/>
        </w:rPr>
        <w:t>S</w:t>
      </w:r>
      <w:r>
        <w:rPr>
          <w:rFonts w:hint="eastAsia"/>
          <w:bCs/>
          <w:sz w:val="24"/>
          <w:szCs w:val="24"/>
        </w:rPr>
        <w:t>进行研究，本次环评取H</w:t>
      </w:r>
      <w:r>
        <w:rPr>
          <w:rFonts w:hint="eastAsia"/>
          <w:bCs/>
          <w:sz w:val="24"/>
          <w:szCs w:val="24"/>
          <w:vertAlign w:val="subscript"/>
        </w:rPr>
        <w:t>2</w:t>
      </w:r>
      <w:r>
        <w:rPr>
          <w:rFonts w:hint="eastAsia"/>
          <w:bCs/>
          <w:sz w:val="24"/>
          <w:szCs w:val="24"/>
        </w:rPr>
        <w:t>S产生量为</w:t>
      </w:r>
      <w:r>
        <w:rPr>
          <w:bCs/>
          <w:sz w:val="24"/>
          <w:szCs w:val="24"/>
        </w:rPr>
        <w:t>NH</w:t>
      </w:r>
      <w:r>
        <w:rPr>
          <w:bCs/>
          <w:sz w:val="24"/>
          <w:szCs w:val="24"/>
          <w:vertAlign w:val="subscript"/>
        </w:rPr>
        <w:t>3</w:t>
      </w:r>
      <w:r>
        <w:rPr>
          <w:rFonts w:hint="eastAsia"/>
          <w:bCs/>
          <w:sz w:val="24"/>
          <w:szCs w:val="24"/>
        </w:rPr>
        <w:t>的10%计算，则</w:t>
      </w:r>
      <w:r>
        <w:rPr>
          <w:bCs/>
          <w:sz w:val="24"/>
          <w:szCs w:val="24"/>
        </w:rPr>
        <w:t>100g</w:t>
      </w:r>
      <w:r>
        <w:rPr>
          <w:rFonts w:hint="eastAsia"/>
          <w:bCs/>
          <w:sz w:val="24"/>
          <w:szCs w:val="24"/>
        </w:rPr>
        <w:t>鸡粪氨气产生量为</w:t>
      </w:r>
      <w:r>
        <w:rPr>
          <w:bCs/>
          <w:sz w:val="24"/>
          <w:szCs w:val="24"/>
        </w:rPr>
        <w:t>1</w:t>
      </w:r>
      <w:r>
        <w:rPr>
          <w:rFonts w:hint="eastAsia"/>
          <w:bCs/>
          <w:sz w:val="24"/>
          <w:szCs w:val="24"/>
        </w:rPr>
        <w:t>.</w:t>
      </w:r>
      <w:r>
        <w:rPr>
          <w:bCs/>
          <w:sz w:val="24"/>
          <w:szCs w:val="24"/>
        </w:rPr>
        <w:t>867mg/d</w:t>
      </w:r>
      <w:r>
        <w:rPr>
          <w:rFonts w:hint="eastAsia"/>
          <w:bCs/>
          <w:sz w:val="24"/>
          <w:szCs w:val="24"/>
        </w:rPr>
        <w:t>。</w:t>
      </w:r>
    </w:p>
    <w:p>
      <w:pPr>
        <w:spacing w:line="480" w:lineRule="exact"/>
        <w:ind w:firstLine="480" w:firstLineChars="200"/>
        <w:rPr>
          <w:bCs/>
          <w:sz w:val="24"/>
          <w:szCs w:val="24"/>
        </w:rPr>
      </w:pPr>
      <w:r>
        <w:rPr>
          <w:rFonts w:hint="eastAsia"/>
          <w:bCs/>
          <w:sz w:val="24"/>
          <w:szCs w:val="24"/>
        </w:rPr>
        <w:t>本项目年出栏肉鸡约</w:t>
      </w:r>
      <w:r>
        <w:rPr>
          <w:bCs/>
          <w:sz w:val="24"/>
          <w:szCs w:val="24"/>
        </w:rPr>
        <w:t>140</w:t>
      </w:r>
      <w:r>
        <w:rPr>
          <w:rFonts w:hint="eastAsia"/>
          <w:bCs/>
          <w:sz w:val="24"/>
          <w:szCs w:val="24"/>
        </w:rPr>
        <w:t>万羽，</w:t>
      </w:r>
      <w:r>
        <w:rPr>
          <w:rFonts w:hint="eastAsia" w:hAnsi="宋体"/>
          <w:bCs/>
          <w:kern w:val="0"/>
          <w:sz w:val="24"/>
          <w:szCs w:val="24"/>
        </w:rPr>
        <w:t>粪便产生量为</w:t>
      </w:r>
      <w:r>
        <w:rPr>
          <w:rFonts w:hAnsi="宋体"/>
          <w:bCs/>
          <w:kern w:val="0"/>
          <w:sz w:val="24"/>
          <w:szCs w:val="24"/>
        </w:rPr>
        <w:t>6930t/a</w:t>
      </w:r>
      <w:r>
        <w:rPr>
          <w:rFonts w:hint="eastAsia" w:hAnsi="宋体"/>
          <w:bCs/>
          <w:kern w:val="0"/>
          <w:sz w:val="24"/>
          <w:szCs w:val="24"/>
        </w:rPr>
        <w:t>，日产日清；</w:t>
      </w:r>
      <w:r>
        <w:rPr>
          <w:rFonts w:hAnsi="宋体"/>
          <w:bCs/>
          <w:kern w:val="0"/>
          <w:sz w:val="24"/>
          <w:szCs w:val="24"/>
        </w:rPr>
        <w:t>经计算NH</w:t>
      </w:r>
      <w:r>
        <w:rPr>
          <w:rFonts w:hAnsi="宋体"/>
          <w:bCs/>
          <w:kern w:val="0"/>
          <w:sz w:val="24"/>
          <w:szCs w:val="24"/>
          <w:vertAlign w:val="subscript"/>
        </w:rPr>
        <w:t>3</w:t>
      </w:r>
      <w:r>
        <w:rPr>
          <w:rFonts w:hAnsi="宋体"/>
          <w:bCs/>
          <w:kern w:val="0"/>
          <w:sz w:val="24"/>
          <w:szCs w:val="24"/>
        </w:rPr>
        <w:t>产生量约为0.1</w:t>
      </w:r>
      <w:r>
        <w:rPr>
          <w:rFonts w:hint="eastAsia" w:hAnsi="宋体"/>
          <w:bCs/>
          <w:kern w:val="0"/>
          <w:sz w:val="24"/>
          <w:szCs w:val="24"/>
        </w:rPr>
        <w:t>99</w:t>
      </w:r>
      <w:r>
        <w:rPr>
          <w:rFonts w:hAnsi="宋体"/>
          <w:bCs/>
          <w:kern w:val="0"/>
          <w:sz w:val="24"/>
          <w:szCs w:val="24"/>
        </w:rPr>
        <w:t>kg/h，</w:t>
      </w:r>
      <w:r>
        <w:rPr>
          <w:rFonts w:hint="eastAsia" w:hAnsi="宋体"/>
          <w:bCs/>
          <w:kern w:val="0"/>
          <w:sz w:val="24"/>
          <w:szCs w:val="24"/>
        </w:rPr>
        <w:t>1.29t/a；</w:t>
      </w:r>
      <w:r>
        <w:rPr>
          <w:rFonts w:hAnsi="宋体"/>
          <w:bCs/>
          <w:kern w:val="0"/>
          <w:sz w:val="24"/>
          <w:szCs w:val="24"/>
        </w:rPr>
        <w:t>H</w:t>
      </w:r>
      <w:r>
        <w:rPr>
          <w:rFonts w:hAnsi="宋体"/>
          <w:bCs/>
          <w:kern w:val="0"/>
          <w:sz w:val="24"/>
          <w:szCs w:val="24"/>
          <w:vertAlign w:val="subscript"/>
        </w:rPr>
        <w:t>2</w:t>
      </w:r>
      <w:r>
        <w:rPr>
          <w:rFonts w:hAnsi="宋体"/>
          <w:bCs/>
          <w:kern w:val="0"/>
          <w:sz w:val="24"/>
          <w:szCs w:val="24"/>
        </w:rPr>
        <w:t>S产生量为0.0</w:t>
      </w:r>
      <w:r>
        <w:rPr>
          <w:rFonts w:hint="eastAsia" w:hAnsi="宋体"/>
          <w:bCs/>
          <w:kern w:val="0"/>
          <w:sz w:val="24"/>
          <w:szCs w:val="24"/>
        </w:rPr>
        <w:t>2</w:t>
      </w:r>
      <w:r>
        <w:rPr>
          <w:rFonts w:hAnsi="宋体"/>
          <w:bCs/>
          <w:kern w:val="0"/>
          <w:sz w:val="24"/>
          <w:szCs w:val="24"/>
        </w:rPr>
        <w:t>kg/h</w:t>
      </w:r>
      <w:r>
        <w:rPr>
          <w:rFonts w:hint="eastAsia" w:hAnsi="宋体"/>
          <w:bCs/>
          <w:kern w:val="0"/>
          <w:sz w:val="24"/>
          <w:szCs w:val="24"/>
        </w:rPr>
        <w:t>，0.129t/a</w:t>
      </w:r>
      <w:r>
        <w:rPr>
          <w:rFonts w:hAnsi="宋体"/>
          <w:bCs/>
          <w:kern w:val="0"/>
          <w:sz w:val="24"/>
          <w:szCs w:val="24"/>
        </w:rPr>
        <w:t>。</w:t>
      </w:r>
      <w:r>
        <w:rPr>
          <w:rFonts w:hint="eastAsia" w:hAnsi="宋体"/>
          <w:bCs/>
          <w:kern w:val="0"/>
          <w:sz w:val="24"/>
          <w:szCs w:val="24"/>
        </w:rPr>
        <w:t>本项目2台耗氧发酵罐废气采用</w:t>
      </w:r>
      <w:r>
        <w:rPr>
          <w:rFonts w:hAnsi="宋体"/>
          <w:bCs/>
          <w:kern w:val="0"/>
          <w:sz w:val="24"/>
          <w:szCs w:val="24"/>
        </w:rPr>
        <w:t>1</w:t>
      </w:r>
      <w:r>
        <w:rPr>
          <w:rFonts w:hint="eastAsia" w:hAnsi="宋体"/>
          <w:bCs/>
          <w:kern w:val="0"/>
          <w:sz w:val="24"/>
          <w:szCs w:val="24"/>
        </w:rPr>
        <w:t>套生物除臭塔生化处理后由</w:t>
      </w:r>
      <w:r>
        <w:rPr>
          <w:rFonts w:hAnsi="宋体"/>
          <w:bCs/>
          <w:kern w:val="0"/>
          <w:sz w:val="24"/>
          <w:szCs w:val="24"/>
        </w:rPr>
        <w:t>1</w:t>
      </w:r>
      <w:r>
        <w:rPr>
          <w:rFonts w:hint="eastAsia" w:hAnsi="宋体"/>
          <w:bCs/>
          <w:kern w:val="0"/>
          <w:sz w:val="24"/>
          <w:szCs w:val="24"/>
        </w:rPr>
        <w:t>根</w:t>
      </w:r>
      <w:r>
        <w:rPr>
          <w:rFonts w:hAnsi="宋体"/>
          <w:bCs/>
          <w:kern w:val="0"/>
          <w:sz w:val="24"/>
          <w:szCs w:val="24"/>
        </w:rPr>
        <w:t>15m</w:t>
      </w:r>
      <w:r>
        <w:rPr>
          <w:rFonts w:hint="eastAsia" w:hAnsi="宋体"/>
          <w:bCs/>
          <w:kern w:val="0"/>
          <w:sz w:val="24"/>
          <w:szCs w:val="24"/>
        </w:rPr>
        <w:t>高排气筒外排，外排风量取1</w:t>
      </w:r>
      <w:r>
        <w:rPr>
          <w:rFonts w:hAnsi="宋体"/>
          <w:bCs/>
          <w:kern w:val="0"/>
          <w:sz w:val="24"/>
          <w:szCs w:val="24"/>
        </w:rPr>
        <w:t>000</w:t>
      </w:r>
      <w:r>
        <w:rPr>
          <w:rFonts w:hint="eastAsia" w:hAnsi="宋体"/>
          <w:bCs/>
          <w:kern w:val="0"/>
          <w:sz w:val="24"/>
          <w:szCs w:val="24"/>
        </w:rPr>
        <w:t>m</w:t>
      </w:r>
      <w:r>
        <w:rPr>
          <w:rFonts w:hAnsi="宋体"/>
          <w:bCs/>
          <w:kern w:val="0"/>
          <w:sz w:val="24"/>
          <w:szCs w:val="24"/>
          <w:vertAlign w:val="superscript"/>
        </w:rPr>
        <w:t>3</w:t>
      </w:r>
      <w:r>
        <w:rPr>
          <w:rFonts w:hAnsi="宋体"/>
          <w:bCs/>
          <w:kern w:val="0"/>
          <w:sz w:val="24"/>
          <w:szCs w:val="24"/>
        </w:rPr>
        <w:t>/h</w:t>
      </w:r>
      <w:r>
        <w:rPr>
          <w:rFonts w:hint="eastAsia" w:hAnsi="宋体"/>
          <w:bCs/>
          <w:kern w:val="0"/>
          <w:sz w:val="24"/>
          <w:szCs w:val="24"/>
        </w:rPr>
        <w:t>，脱臭净化效率按</w:t>
      </w:r>
      <w:r>
        <w:rPr>
          <w:rFonts w:hAnsi="宋体"/>
          <w:bCs/>
          <w:kern w:val="0"/>
          <w:sz w:val="24"/>
          <w:szCs w:val="24"/>
        </w:rPr>
        <w:t>7</w:t>
      </w:r>
      <w:r>
        <w:rPr>
          <w:rFonts w:hint="eastAsia" w:hAnsi="宋体"/>
          <w:bCs/>
          <w:kern w:val="0"/>
          <w:sz w:val="24"/>
          <w:szCs w:val="24"/>
        </w:rPr>
        <w:t>0%计，则</w:t>
      </w:r>
      <w:r>
        <w:rPr>
          <w:rFonts w:hAnsi="宋体"/>
          <w:bCs/>
          <w:kern w:val="0"/>
          <w:sz w:val="24"/>
          <w:szCs w:val="24"/>
        </w:rPr>
        <w:t>NH</w:t>
      </w:r>
      <w:r>
        <w:rPr>
          <w:rFonts w:hAnsi="宋体"/>
          <w:bCs/>
          <w:kern w:val="0"/>
          <w:sz w:val="24"/>
          <w:szCs w:val="24"/>
          <w:vertAlign w:val="subscript"/>
        </w:rPr>
        <w:t>3</w:t>
      </w:r>
      <w:r>
        <w:rPr>
          <w:rFonts w:hint="eastAsia" w:hAnsi="宋体"/>
          <w:bCs/>
          <w:kern w:val="0"/>
          <w:sz w:val="24"/>
          <w:szCs w:val="24"/>
        </w:rPr>
        <w:t>排放</w:t>
      </w:r>
      <w:r>
        <w:rPr>
          <w:rFonts w:hAnsi="宋体"/>
          <w:bCs/>
          <w:kern w:val="0"/>
          <w:sz w:val="24"/>
          <w:szCs w:val="24"/>
        </w:rPr>
        <w:t>量约为0.</w:t>
      </w:r>
      <w:r>
        <w:rPr>
          <w:rFonts w:hint="eastAsia" w:hAnsi="宋体"/>
          <w:bCs/>
          <w:kern w:val="0"/>
          <w:sz w:val="24"/>
          <w:szCs w:val="24"/>
        </w:rPr>
        <w:t>0</w:t>
      </w:r>
      <w:r>
        <w:rPr>
          <w:rFonts w:hAnsi="宋体"/>
          <w:bCs/>
          <w:kern w:val="0"/>
          <w:sz w:val="24"/>
          <w:szCs w:val="24"/>
        </w:rPr>
        <w:t>6kg/h，</w:t>
      </w:r>
      <w:r>
        <w:rPr>
          <w:rFonts w:hint="eastAsia" w:hAnsi="宋体"/>
          <w:bCs/>
          <w:kern w:val="0"/>
          <w:sz w:val="24"/>
          <w:szCs w:val="24"/>
        </w:rPr>
        <w:t>0.</w:t>
      </w:r>
      <w:r>
        <w:rPr>
          <w:rFonts w:hAnsi="宋体"/>
          <w:bCs/>
          <w:kern w:val="0"/>
          <w:sz w:val="24"/>
          <w:szCs w:val="24"/>
        </w:rPr>
        <w:t>39</w:t>
      </w:r>
      <w:r>
        <w:rPr>
          <w:rFonts w:hint="eastAsia" w:hAnsi="宋体"/>
          <w:bCs/>
          <w:kern w:val="0"/>
          <w:sz w:val="24"/>
          <w:szCs w:val="24"/>
        </w:rPr>
        <w:t>t/a；</w:t>
      </w:r>
      <w:r>
        <w:rPr>
          <w:rFonts w:hAnsi="宋体"/>
          <w:bCs/>
          <w:kern w:val="0"/>
          <w:sz w:val="24"/>
          <w:szCs w:val="24"/>
        </w:rPr>
        <w:t>H</w:t>
      </w:r>
      <w:r>
        <w:rPr>
          <w:rFonts w:hAnsi="宋体"/>
          <w:bCs/>
          <w:kern w:val="0"/>
          <w:sz w:val="24"/>
          <w:szCs w:val="24"/>
          <w:vertAlign w:val="subscript"/>
        </w:rPr>
        <w:t>2</w:t>
      </w:r>
      <w:r>
        <w:rPr>
          <w:rFonts w:hAnsi="宋体"/>
          <w:bCs/>
          <w:kern w:val="0"/>
          <w:sz w:val="24"/>
          <w:szCs w:val="24"/>
        </w:rPr>
        <w:t>S产生量为0.0</w:t>
      </w:r>
      <w:r>
        <w:rPr>
          <w:rFonts w:hint="eastAsia" w:hAnsi="宋体"/>
          <w:bCs/>
          <w:kern w:val="0"/>
          <w:sz w:val="24"/>
          <w:szCs w:val="24"/>
        </w:rPr>
        <w:t>0</w:t>
      </w:r>
      <w:r>
        <w:rPr>
          <w:rFonts w:hAnsi="宋体"/>
          <w:bCs/>
          <w:kern w:val="0"/>
          <w:sz w:val="24"/>
          <w:szCs w:val="24"/>
        </w:rPr>
        <w:t>6kg/h</w:t>
      </w:r>
      <w:r>
        <w:rPr>
          <w:rFonts w:hint="eastAsia" w:hAnsi="宋体"/>
          <w:bCs/>
          <w:kern w:val="0"/>
          <w:sz w:val="24"/>
          <w:szCs w:val="24"/>
        </w:rPr>
        <w:t>，0.0</w:t>
      </w:r>
      <w:r>
        <w:rPr>
          <w:rFonts w:hAnsi="宋体"/>
          <w:bCs/>
          <w:kern w:val="0"/>
          <w:sz w:val="24"/>
          <w:szCs w:val="24"/>
        </w:rPr>
        <w:t>39</w:t>
      </w:r>
      <w:r>
        <w:rPr>
          <w:rFonts w:hint="eastAsia" w:hAnsi="宋体"/>
          <w:bCs/>
          <w:kern w:val="0"/>
          <w:sz w:val="24"/>
          <w:szCs w:val="24"/>
        </w:rPr>
        <w:t>t/a</w:t>
      </w:r>
      <w:r>
        <w:rPr>
          <w:rFonts w:hAnsi="宋体"/>
          <w:bCs/>
          <w:kern w:val="0"/>
          <w:sz w:val="24"/>
          <w:szCs w:val="24"/>
        </w:rPr>
        <w:t>。</w:t>
      </w:r>
    </w:p>
    <w:p>
      <w:pPr>
        <w:spacing w:line="480" w:lineRule="exact"/>
        <w:ind w:firstLine="480" w:firstLineChars="200"/>
        <w:rPr>
          <w:bCs/>
          <w:sz w:val="24"/>
          <w:szCs w:val="24"/>
        </w:rPr>
      </w:pPr>
      <w:r>
        <w:rPr>
          <w:rFonts w:hint="eastAsia"/>
          <w:bCs/>
          <w:sz w:val="24"/>
          <w:szCs w:val="24"/>
        </w:rPr>
        <w:t>②临时储粪房恶臭</w:t>
      </w:r>
    </w:p>
    <w:p>
      <w:pPr>
        <w:spacing w:line="480" w:lineRule="exact"/>
        <w:ind w:firstLine="480" w:firstLineChars="200"/>
        <w:rPr>
          <w:bCs/>
          <w:sz w:val="24"/>
          <w:szCs w:val="24"/>
        </w:rPr>
      </w:pPr>
      <w:r>
        <w:rPr>
          <w:bCs/>
          <w:sz w:val="24"/>
          <w:szCs w:val="24"/>
        </w:rPr>
        <w:t>本项目储粪房大约储存</w:t>
      </w:r>
      <w:r>
        <w:rPr>
          <w:rFonts w:hint="eastAsia"/>
          <w:bCs/>
          <w:sz w:val="24"/>
          <w:szCs w:val="24"/>
        </w:rPr>
        <w:t>7</w:t>
      </w:r>
      <w:r>
        <w:rPr>
          <w:bCs/>
          <w:sz w:val="24"/>
          <w:szCs w:val="24"/>
        </w:rPr>
        <w:t>d鸡粪，鸡粪产生量约为</w:t>
      </w:r>
      <w:r>
        <w:rPr>
          <w:rFonts w:hint="eastAsia"/>
          <w:bCs/>
          <w:sz w:val="24"/>
          <w:szCs w:val="24"/>
        </w:rPr>
        <w:t>25.7</w:t>
      </w:r>
      <w:r>
        <w:rPr>
          <w:bCs/>
          <w:sz w:val="24"/>
          <w:szCs w:val="24"/>
        </w:rPr>
        <w:t>t/d，则储粪房中储存的鸡粪约为</w:t>
      </w:r>
      <w:r>
        <w:rPr>
          <w:rFonts w:hint="eastAsia"/>
          <w:bCs/>
          <w:sz w:val="24"/>
          <w:szCs w:val="24"/>
        </w:rPr>
        <w:t>179.7</w:t>
      </w:r>
      <w:r>
        <w:rPr>
          <w:bCs/>
          <w:sz w:val="24"/>
          <w:szCs w:val="24"/>
        </w:rPr>
        <w:t>t，储粪房恶臭计算方法同发酵罐计算方法，则储粪房</w:t>
      </w:r>
      <w:r>
        <w:rPr>
          <w:rFonts w:hint="eastAsia"/>
          <w:bCs/>
          <w:sz w:val="24"/>
          <w:szCs w:val="24"/>
        </w:rPr>
        <w:t>储粪期间</w:t>
      </w:r>
      <w:r>
        <w:rPr>
          <w:bCs/>
          <w:sz w:val="24"/>
          <w:szCs w:val="24"/>
        </w:rPr>
        <w:t>氨气</w:t>
      </w:r>
      <w:r>
        <w:rPr>
          <w:rFonts w:hint="eastAsia"/>
          <w:bCs/>
          <w:sz w:val="24"/>
          <w:szCs w:val="24"/>
        </w:rPr>
        <w:t>产生</w:t>
      </w:r>
      <w:r>
        <w:rPr>
          <w:bCs/>
          <w:sz w:val="24"/>
          <w:szCs w:val="24"/>
        </w:rPr>
        <w:t>量为</w:t>
      </w:r>
      <w:r>
        <w:rPr>
          <w:rFonts w:hAnsi="宋体"/>
          <w:bCs/>
          <w:kern w:val="0"/>
          <w:sz w:val="24"/>
          <w:szCs w:val="24"/>
        </w:rPr>
        <w:t>0.1</w:t>
      </w:r>
      <w:r>
        <w:rPr>
          <w:rFonts w:hint="eastAsia" w:hAnsi="宋体"/>
          <w:bCs/>
          <w:kern w:val="0"/>
          <w:sz w:val="24"/>
          <w:szCs w:val="24"/>
        </w:rPr>
        <w:t>99</w:t>
      </w:r>
      <w:r>
        <w:rPr>
          <w:bCs/>
          <w:sz w:val="24"/>
          <w:szCs w:val="24"/>
        </w:rPr>
        <w:t>kg/h</w:t>
      </w:r>
      <w:r>
        <w:rPr>
          <w:rFonts w:hint="eastAsia" w:hAnsi="宋体"/>
          <w:bCs/>
          <w:kern w:val="0"/>
          <w:sz w:val="24"/>
          <w:szCs w:val="24"/>
        </w:rPr>
        <w:t>，</w:t>
      </w:r>
      <w:r>
        <w:rPr>
          <w:bCs/>
          <w:sz w:val="24"/>
          <w:szCs w:val="24"/>
        </w:rPr>
        <w:t>硫化氢</w:t>
      </w:r>
      <w:r>
        <w:rPr>
          <w:rFonts w:hint="eastAsia"/>
          <w:bCs/>
          <w:sz w:val="24"/>
          <w:szCs w:val="24"/>
        </w:rPr>
        <w:t>产生</w:t>
      </w:r>
      <w:r>
        <w:rPr>
          <w:bCs/>
          <w:sz w:val="24"/>
          <w:szCs w:val="24"/>
        </w:rPr>
        <w:t>量为0.0</w:t>
      </w:r>
      <w:r>
        <w:rPr>
          <w:rFonts w:hint="eastAsia"/>
          <w:bCs/>
          <w:sz w:val="24"/>
          <w:szCs w:val="24"/>
        </w:rPr>
        <w:t>2</w:t>
      </w:r>
      <w:r>
        <w:rPr>
          <w:bCs/>
          <w:sz w:val="24"/>
          <w:szCs w:val="24"/>
        </w:rPr>
        <w:t>kg/h。储粪房为密闭式，在储粪房中定期喷洒植物除臭液，除臭效率</w:t>
      </w:r>
      <w:r>
        <w:rPr>
          <w:rFonts w:hint="eastAsia"/>
          <w:bCs/>
          <w:sz w:val="24"/>
          <w:szCs w:val="24"/>
        </w:rPr>
        <w:t>取5</w:t>
      </w:r>
      <w:r>
        <w:rPr>
          <w:bCs/>
          <w:sz w:val="24"/>
          <w:szCs w:val="24"/>
        </w:rPr>
        <w:t>0%，</w:t>
      </w:r>
      <w:r>
        <w:rPr>
          <w:rFonts w:hint="eastAsia"/>
          <w:bCs/>
          <w:sz w:val="24"/>
          <w:szCs w:val="24"/>
        </w:rPr>
        <w:t>临时储粪房储存次数按5次计，</w:t>
      </w:r>
      <w:r>
        <w:rPr>
          <w:bCs/>
          <w:sz w:val="24"/>
          <w:szCs w:val="24"/>
        </w:rPr>
        <w:t>则氨气排放量为0.</w:t>
      </w:r>
      <w:r>
        <w:rPr>
          <w:rFonts w:hint="eastAsia"/>
          <w:bCs/>
          <w:sz w:val="24"/>
          <w:szCs w:val="24"/>
        </w:rPr>
        <w:t>1</w:t>
      </w:r>
      <w:r>
        <w:rPr>
          <w:bCs/>
          <w:sz w:val="24"/>
          <w:szCs w:val="24"/>
        </w:rPr>
        <w:t>kg/h</w:t>
      </w:r>
      <w:r>
        <w:rPr>
          <w:rFonts w:hint="eastAsia" w:hAnsi="宋体"/>
          <w:bCs/>
          <w:kern w:val="0"/>
          <w:sz w:val="24"/>
          <w:szCs w:val="24"/>
        </w:rPr>
        <w:t>，0</w:t>
      </w:r>
      <w:r>
        <w:rPr>
          <w:rFonts w:hAnsi="宋体"/>
          <w:bCs/>
          <w:kern w:val="0"/>
          <w:sz w:val="24"/>
          <w:szCs w:val="24"/>
        </w:rPr>
        <w:t>.084</w:t>
      </w:r>
      <w:r>
        <w:rPr>
          <w:rFonts w:hint="eastAsia" w:hAnsi="宋体"/>
          <w:bCs/>
          <w:kern w:val="0"/>
          <w:sz w:val="24"/>
          <w:szCs w:val="24"/>
        </w:rPr>
        <w:t>t/a；</w:t>
      </w:r>
      <w:r>
        <w:rPr>
          <w:bCs/>
          <w:sz w:val="24"/>
          <w:szCs w:val="24"/>
        </w:rPr>
        <w:t>硫化氢排放量为0.0</w:t>
      </w:r>
      <w:r>
        <w:rPr>
          <w:rFonts w:hint="eastAsia"/>
          <w:bCs/>
          <w:sz w:val="24"/>
          <w:szCs w:val="24"/>
        </w:rPr>
        <w:t>1</w:t>
      </w:r>
      <w:r>
        <w:rPr>
          <w:bCs/>
          <w:sz w:val="24"/>
          <w:szCs w:val="24"/>
        </w:rPr>
        <w:t>kg/h</w:t>
      </w:r>
      <w:r>
        <w:rPr>
          <w:rFonts w:hint="eastAsia"/>
          <w:bCs/>
          <w:sz w:val="24"/>
          <w:szCs w:val="24"/>
        </w:rPr>
        <w:t>，0</w:t>
      </w:r>
      <w:r>
        <w:rPr>
          <w:bCs/>
          <w:sz w:val="24"/>
          <w:szCs w:val="24"/>
        </w:rPr>
        <w:t>.0084</w:t>
      </w:r>
      <w:r>
        <w:rPr>
          <w:rFonts w:hint="eastAsia"/>
          <w:bCs/>
          <w:sz w:val="24"/>
          <w:szCs w:val="24"/>
        </w:rPr>
        <w:t>t/a，为无组织排放。</w:t>
      </w:r>
    </w:p>
    <w:p>
      <w:pPr>
        <w:spacing w:line="480" w:lineRule="exact"/>
        <w:ind w:firstLine="480" w:firstLineChars="200"/>
        <w:rPr>
          <w:b/>
          <w:bCs/>
          <w:sz w:val="24"/>
          <w:szCs w:val="24"/>
        </w:rPr>
      </w:pPr>
      <w:r>
        <w:rPr>
          <w:rFonts w:hint="eastAsia"/>
          <w:b/>
          <w:bCs/>
          <w:sz w:val="24"/>
          <w:szCs w:val="24"/>
        </w:rPr>
        <w:t>（3）污水处理站恶臭</w:t>
      </w:r>
    </w:p>
    <w:p>
      <w:pPr>
        <w:spacing w:line="480" w:lineRule="exact"/>
        <w:ind w:firstLine="480" w:firstLineChars="200"/>
        <w:rPr>
          <w:bCs/>
          <w:sz w:val="24"/>
          <w:szCs w:val="24"/>
        </w:rPr>
      </w:pPr>
      <w:r>
        <w:rPr>
          <w:rFonts w:hint="eastAsia"/>
          <w:bCs/>
          <w:sz w:val="24"/>
          <w:szCs w:val="24"/>
        </w:rPr>
        <w:t>本项目为污水处理站为地埋式污水处理站，主要工艺环节有调节池、接触氧化池、二沉池、储泥池等。恶臭的种类繁多，其中主要恶臭源为</w:t>
      </w:r>
      <w:r>
        <w:rPr>
          <w:bCs/>
          <w:sz w:val="24"/>
          <w:szCs w:val="24"/>
        </w:rPr>
        <w:t>NH</w:t>
      </w:r>
      <w:r>
        <w:rPr>
          <w:bCs/>
          <w:sz w:val="24"/>
          <w:szCs w:val="24"/>
          <w:vertAlign w:val="subscript"/>
        </w:rPr>
        <w:t>3</w:t>
      </w:r>
      <w:r>
        <w:rPr>
          <w:rFonts w:hint="eastAsia"/>
          <w:bCs/>
          <w:sz w:val="24"/>
          <w:szCs w:val="24"/>
        </w:rPr>
        <w:t>、</w:t>
      </w:r>
      <w:r>
        <w:rPr>
          <w:bCs/>
          <w:sz w:val="24"/>
          <w:szCs w:val="24"/>
        </w:rPr>
        <w:t>H</w:t>
      </w:r>
      <w:r>
        <w:rPr>
          <w:bCs/>
          <w:sz w:val="24"/>
          <w:szCs w:val="24"/>
          <w:vertAlign w:val="subscript"/>
        </w:rPr>
        <w:t>2</w:t>
      </w:r>
      <w:r>
        <w:rPr>
          <w:bCs/>
          <w:sz w:val="24"/>
          <w:szCs w:val="24"/>
        </w:rPr>
        <w:t>S</w:t>
      </w:r>
      <w:r>
        <w:rPr>
          <w:rFonts w:hint="eastAsia"/>
          <w:bCs/>
          <w:sz w:val="24"/>
          <w:szCs w:val="24"/>
        </w:rPr>
        <w:t>，主要产生于格栅、沉沙池、初沉池、生化池、污泥处理系统等。根据《城市污水处理厂恶臭影响及对策分析》（黑龙江环境通报第</w:t>
      </w:r>
      <w:r>
        <w:rPr>
          <w:bCs/>
          <w:sz w:val="24"/>
          <w:szCs w:val="24"/>
        </w:rPr>
        <w:t>3</w:t>
      </w:r>
      <w:r>
        <w:rPr>
          <w:rFonts w:hint="eastAsia"/>
          <w:bCs/>
          <w:sz w:val="24"/>
          <w:szCs w:val="24"/>
        </w:rPr>
        <w:t>期、第</w:t>
      </w:r>
      <w:r>
        <w:rPr>
          <w:bCs/>
          <w:sz w:val="24"/>
          <w:szCs w:val="24"/>
        </w:rPr>
        <w:t>35</w:t>
      </w:r>
      <w:r>
        <w:rPr>
          <w:rFonts w:hint="eastAsia"/>
          <w:bCs/>
          <w:sz w:val="24"/>
          <w:szCs w:val="24"/>
        </w:rPr>
        <w:t>卷，</w:t>
      </w:r>
      <w:r>
        <w:rPr>
          <w:bCs/>
          <w:sz w:val="24"/>
          <w:szCs w:val="24"/>
        </w:rPr>
        <w:t>2011</w:t>
      </w:r>
      <w:r>
        <w:rPr>
          <w:rFonts w:hint="eastAsia"/>
          <w:bCs/>
          <w:sz w:val="24"/>
          <w:szCs w:val="24"/>
        </w:rPr>
        <w:t>年</w:t>
      </w:r>
      <w:r>
        <w:rPr>
          <w:bCs/>
          <w:sz w:val="24"/>
          <w:szCs w:val="24"/>
        </w:rPr>
        <w:t>9</w:t>
      </w:r>
      <w:r>
        <w:rPr>
          <w:rFonts w:hint="eastAsia"/>
          <w:bCs/>
          <w:sz w:val="24"/>
          <w:szCs w:val="24"/>
        </w:rPr>
        <w:t>月），污水厂主要处理设施N</w:t>
      </w:r>
      <w:r>
        <w:rPr>
          <w:bCs/>
          <w:sz w:val="24"/>
          <w:szCs w:val="24"/>
        </w:rPr>
        <w:t>H</w:t>
      </w:r>
      <w:r>
        <w:rPr>
          <w:bCs/>
          <w:sz w:val="24"/>
          <w:szCs w:val="24"/>
          <w:vertAlign w:val="subscript"/>
        </w:rPr>
        <w:t>3</w:t>
      </w:r>
      <w:r>
        <w:rPr>
          <w:rFonts w:hint="eastAsia"/>
          <w:bCs/>
          <w:sz w:val="24"/>
          <w:szCs w:val="24"/>
        </w:rPr>
        <w:t>和H</w:t>
      </w:r>
      <w:r>
        <w:rPr>
          <w:bCs/>
          <w:sz w:val="24"/>
          <w:szCs w:val="24"/>
          <w:vertAlign w:val="subscript"/>
        </w:rPr>
        <w:t>2</w:t>
      </w:r>
      <w:r>
        <w:rPr>
          <w:bCs/>
          <w:sz w:val="24"/>
          <w:szCs w:val="24"/>
        </w:rPr>
        <w:t>S</w:t>
      </w:r>
      <w:r>
        <w:rPr>
          <w:rFonts w:hint="eastAsia"/>
          <w:bCs/>
          <w:sz w:val="24"/>
          <w:szCs w:val="24"/>
        </w:rPr>
        <w:t>产生强度见下表。</w:t>
      </w:r>
    </w:p>
    <w:p>
      <w:pPr>
        <w:spacing w:line="480" w:lineRule="exact"/>
        <w:jc w:val="center"/>
        <w:rPr>
          <w:rFonts w:ascii="黑体" w:hAnsi="黑体" w:eastAsia="黑体"/>
          <w:bCs/>
          <w:sz w:val="24"/>
          <w:szCs w:val="24"/>
        </w:rPr>
      </w:pPr>
      <w:r>
        <w:rPr>
          <w:rFonts w:hint="eastAsia" w:ascii="黑体" w:hAnsi="黑体" w:eastAsia="黑体"/>
          <w:bCs/>
          <w:sz w:val="24"/>
          <w:szCs w:val="24"/>
        </w:rPr>
        <w:t>表3.5-1</w:t>
      </w:r>
      <w:r>
        <w:rPr>
          <w:rFonts w:ascii="黑体" w:hAnsi="黑体" w:eastAsia="黑体"/>
          <w:bCs/>
          <w:sz w:val="24"/>
          <w:szCs w:val="24"/>
        </w:rPr>
        <w:t xml:space="preserve"> </w:t>
      </w:r>
      <w:r>
        <w:rPr>
          <w:rFonts w:hint="eastAsia" w:ascii="黑体" w:hAnsi="黑体" w:eastAsia="黑体"/>
          <w:bCs/>
          <w:sz w:val="24"/>
          <w:szCs w:val="24"/>
        </w:rPr>
        <w:t xml:space="preserve"> 污水处理构筑物单位面积恶臭污染物排放源强</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8"/>
        <w:gridCol w:w="3021"/>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jc w:val="center"/>
              <w:rPr>
                <w:bCs/>
                <w:szCs w:val="24"/>
              </w:rPr>
            </w:pPr>
            <w:r>
              <w:rPr>
                <w:rFonts w:hint="eastAsia"/>
                <w:bCs/>
                <w:szCs w:val="24"/>
              </w:rPr>
              <w:t>构筑物名称</w:t>
            </w:r>
          </w:p>
        </w:tc>
        <w:tc>
          <w:tcPr>
            <w:tcW w:w="1667" w:type="pct"/>
            <w:vAlign w:val="center"/>
          </w:tcPr>
          <w:p>
            <w:pPr>
              <w:jc w:val="center"/>
              <w:rPr>
                <w:bCs/>
                <w:szCs w:val="24"/>
              </w:rPr>
            </w:pPr>
            <w:r>
              <w:rPr>
                <w:bCs/>
                <w:szCs w:val="24"/>
              </w:rPr>
              <w:t>NH</w:t>
            </w:r>
            <w:r>
              <w:rPr>
                <w:bCs/>
                <w:szCs w:val="24"/>
                <w:vertAlign w:val="subscript"/>
              </w:rPr>
              <w:t>3</w:t>
            </w:r>
            <w:r>
              <w:rPr>
                <w:rFonts w:hint="eastAsia"/>
                <w:bCs/>
                <w:szCs w:val="24"/>
              </w:rPr>
              <w:t>（</w:t>
            </w:r>
            <w:r>
              <w:rPr>
                <w:bCs/>
                <w:szCs w:val="24"/>
              </w:rPr>
              <w:t>mg/s</w:t>
            </w:r>
            <w:r>
              <w:rPr>
                <w:rFonts w:hint="eastAsia"/>
                <w:bCs/>
                <w:szCs w:val="24"/>
              </w:rPr>
              <w:t>·</w:t>
            </w:r>
            <w:r>
              <w:rPr>
                <w:bCs/>
                <w:szCs w:val="24"/>
              </w:rPr>
              <w:t>m</w:t>
            </w:r>
            <w:r>
              <w:rPr>
                <w:bCs/>
                <w:szCs w:val="24"/>
                <w:vertAlign w:val="superscript"/>
              </w:rPr>
              <w:t>2</w:t>
            </w:r>
            <w:r>
              <w:rPr>
                <w:rFonts w:hint="eastAsia"/>
                <w:bCs/>
                <w:szCs w:val="24"/>
              </w:rPr>
              <w:t>）</w:t>
            </w:r>
          </w:p>
        </w:tc>
        <w:tc>
          <w:tcPr>
            <w:tcW w:w="1667" w:type="pct"/>
            <w:vAlign w:val="center"/>
          </w:tcPr>
          <w:p>
            <w:pPr>
              <w:jc w:val="center"/>
              <w:rPr>
                <w:bCs/>
                <w:szCs w:val="24"/>
              </w:rPr>
            </w:pPr>
            <w:r>
              <w:rPr>
                <w:bCs/>
                <w:szCs w:val="24"/>
              </w:rPr>
              <w:t>H</w:t>
            </w:r>
            <w:r>
              <w:rPr>
                <w:bCs/>
                <w:szCs w:val="24"/>
                <w:vertAlign w:val="subscript"/>
              </w:rPr>
              <w:t>2</w:t>
            </w:r>
            <w:r>
              <w:rPr>
                <w:bCs/>
                <w:szCs w:val="24"/>
              </w:rPr>
              <w:t>S</w:t>
            </w:r>
            <w:r>
              <w:rPr>
                <w:rFonts w:hint="eastAsia"/>
                <w:bCs/>
                <w:szCs w:val="24"/>
              </w:rPr>
              <w:t>（</w:t>
            </w:r>
            <w:r>
              <w:rPr>
                <w:bCs/>
                <w:szCs w:val="24"/>
              </w:rPr>
              <w:t>mg/s</w:t>
            </w:r>
            <w:r>
              <w:rPr>
                <w:rFonts w:hint="eastAsia"/>
                <w:bCs/>
                <w:szCs w:val="24"/>
              </w:rPr>
              <w:t>·</w:t>
            </w:r>
            <w:r>
              <w:rPr>
                <w:bCs/>
                <w:szCs w:val="24"/>
              </w:rPr>
              <w:t>m</w:t>
            </w:r>
            <w:r>
              <w:rPr>
                <w:bCs/>
                <w:szCs w:val="24"/>
                <w:vertAlign w:val="superscript"/>
              </w:rPr>
              <w:t>2</w:t>
            </w:r>
            <w:r>
              <w:rPr>
                <w:rFonts w:hint="eastAsia"/>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jc w:val="center"/>
              <w:rPr>
                <w:bCs/>
                <w:szCs w:val="24"/>
              </w:rPr>
            </w:pPr>
            <w:r>
              <w:rPr>
                <w:rFonts w:hint="eastAsia"/>
                <w:bCs/>
                <w:szCs w:val="24"/>
              </w:rPr>
              <w:t>粗格栅及进水泵房</w:t>
            </w:r>
          </w:p>
        </w:tc>
        <w:tc>
          <w:tcPr>
            <w:tcW w:w="1667" w:type="pct"/>
            <w:vAlign w:val="center"/>
          </w:tcPr>
          <w:p>
            <w:pPr>
              <w:jc w:val="center"/>
              <w:rPr>
                <w:bCs/>
                <w:szCs w:val="24"/>
              </w:rPr>
            </w:pPr>
            <w:r>
              <w:rPr>
                <w:bCs/>
                <w:szCs w:val="24"/>
              </w:rPr>
              <w:t>0.610</w:t>
            </w:r>
          </w:p>
        </w:tc>
        <w:tc>
          <w:tcPr>
            <w:tcW w:w="1667" w:type="pct"/>
            <w:vAlign w:val="center"/>
          </w:tcPr>
          <w:p>
            <w:pPr>
              <w:jc w:val="center"/>
              <w:rPr>
                <w:bCs/>
                <w:szCs w:val="24"/>
              </w:rPr>
            </w:pPr>
            <w:r>
              <w:rPr>
                <w:bCs/>
                <w:szCs w:val="24"/>
              </w:rPr>
              <w:t>1.068</w:t>
            </w:r>
            <w:r>
              <w:rPr>
                <w:rFonts w:hint="eastAsia"/>
                <w:bCs/>
                <w:szCs w:val="24"/>
              </w:rPr>
              <w:t>×</w:t>
            </w:r>
            <w:r>
              <w:rPr>
                <w:bCs/>
                <w:szCs w:val="24"/>
              </w:rPr>
              <w:t>10</w:t>
            </w:r>
            <w:r>
              <w:rPr>
                <w:bCs/>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jc w:val="center"/>
              <w:rPr>
                <w:bCs/>
                <w:szCs w:val="24"/>
              </w:rPr>
            </w:pPr>
            <w:r>
              <w:rPr>
                <w:rFonts w:hint="eastAsia"/>
                <w:bCs/>
                <w:szCs w:val="24"/>
              </w:rPr>
              <w:t>细格栅及沉砂池</w:t>
            </w:r>
          </w:p>
        </w:tc>
        <w:tc>
          <w:tcPr>
            <w:tcW w:w="1667" w:type="pct"/>
            <w:vAlign w:val="center"/>
          </w:tcPr>
          <w:p>
            <w:pPr>
              <w:jc w:val="center"/>
              <w:rPr>
                <w:bCs/>
                <w:szCs w:val="24"/>
              </w:rPr>
            </w:pPr>
            <w:r>
              <w:rPr>
                <w:rFonts w:hint="eastAsia"/>
                <w:bCs/>
                <w:szCs w:val="24"/>
              </w:rPr>
              <w:t>0</w:t>
            </w:r>
            <w:r>
              <w:rPr>
                <w:bCs/>
                <w:szCs w:val="24"/>
              </w:rPr>
              <w:t>.520</w:t>
            </w:r>
          </w:p>
        </w:tc>
        <w:tc>
          <w:tcPr>
            <w:tcW w:w="1667" w:type="pct"/>
            <w:vAlign w:val="center"/>
          </w:tcPr>
          <w:p>
            <w:pPr>
              <w:jc w:val="center"/>
              <w:rPr>
                <w:bCs/>
                <w:szCs w:val="24"/>
              </w:rPr>
            </w:pPr>
            <w:r>
              <w:rPr>
                <w:rFonts w:hint="eastAsia"/>
                <w:bCs/>
                <w:szCs w:val="24"/>
              </w:rPr>
              <w:t>1</w:t>
            </w:r>
            <w:r>
              <w:rPr>
                <w:bCs/>
                <w:szCs w:val="24"/>
              </w:rPr>
              <w:t>.091</w:t>
            </w:r>
            <w:r>
              <w:rPr>
                <w:rFonts w:hint="eastAsia"/>
                <w:bCs/>
                <w:szCs w:val="24"/>
              </w:rPr>
              <w:t>×</w:t>
            </w:r>
            <w:r>
              <w:rPr>
                <w:bCs/>
                <w:szCs w:val="24"/>
              </w:rPr>
              <w:t>10</w:t>
            </w:r>
            <w:r>
              <w:rPr>
                <w:bCs/>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jc w:val="center"/>
              <w:rPr>
                <w:bCs/>
                <w:szCs w:val="24"/>
              </w:rPr>
            </w:pPr>
            <w:r>
              <w:rPr>
                <w:rFonts w:hint="eastAsia"/>
                <w:bCs/>
                <w:szCs w:val="24"/>
              </w:rPr>
              <w:t>生化池</w:t>
            </w:r>
          </w:p>
        </w:tc>
        <w:tc>
          <w:tcPr>
            <w:tcW w:w="1667" w:type="pct"/>
            <w:vAlign w:val="center"/>
          </w:tcPr>
          <w:p>
            <w:pPr>
              <w:jc w:val="center"/>
              <w:rPr>
                <w:bCs/>
                <w:szCs w:val="24"/>
              </w:rPr>
            </w:pPr>
            <w:r>
              <w:rPr>
                <w:rFonts w:hint="eastAsia"/>
                <w:bCs/>
                <w:szCs w:val="24"/>
              </w:rPr>
              <w:t>0</w:t>
            </w:r>
            <w:r>
              <w:rPr>
                <w:bCs/>
                <w:szCs w:val="24"/>
              </w:rPr>
              <w:t>.0049</w:t>
            </w:r>
          </w:p>
        </w:tc>
        <w:tc>
          <w:tcPr>
            <w:tcW w:w="1667" w:type="pct"/>
            <w:vAlign w:val="center"/>
          </w:tcPr>
          <w:p>
            <w:pPr>
              <w:jc w:val="center"/>
              <w:rPr>
                <w:bCs/>
                <w:szCs w:val="24"/>
              </w:rPr>
            </w:pPr>
            <w:r>
              <w:rPr>
                <w:rFonts w:hint="eastAsia"/>
                <w:bCs/>
                <w:szCs w:val="24"/>
              </w:rPr>
              <w:t>0</w:t>
            </w:r>
            <w:r>
              <w:rPr>
                <w:bCs/>
                <w:szCs w:val="24"/>
              </w:rPr>
              <w:t>.26</w:t>
            </w:r>
            <w:r>
              <w:rPr>
                <w:rFonts w:hint="eastAsia"/>
                <w:bCs/>
                <w:szCs w:val="24"/>
              </w:rPr>
              <w:t>×</w:t>
            </w:r>
            <w:r>
              <w:rPr>
                <w:bCs/>
                <w:szCs w:val="24"/>
              </w:rPr>
              <w:t>10</w:t>
            </w:r>
            <w:r>
              <w:rPr>
                <w:bCs/>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jc w:val="center"/>
              <w:rPr>
                <w:bCs/>
                <w:szCs w:val="24"/>
              </w:rPr>
            </w:pPr>
            <w:r>
              <w:rPr>
                <w:rFonts w:hint="eastAsia"/>
                <w:bCs/>
                <w:szCs w:val="24"/>
              </w:rPr>
              <w:t>二沉池</w:t>
            </w:r>
          </w:p>
        </w:tc>
        <w:tc>
          <w:tcPr>
            <w:tcW w:w="1667" w:type="pct"/>
            <w:vAlign w:val="center"/>
          </w:tcPr>
          <w:p>
            <w:pPr>
              <w:jc w:val="center"/>
              <w:rPr>
                <w:bCs/>
                <w:szCs w:val="24"/>
              </w:rPr>
            </w:pPr>
            <w:r>
              <w:rPr>
                <w:rFonts w:hint="eastAsia"/>
                <w:bCs/>
                <w:szCs w:val="24"/>
              </w:rPr>
              <w:t>0</w:t>
            </w:r>
            <w:r>
              <w:rPr>
                <w:bCs/>
                <w:szCs w:val="24"/>
              </w:rPr>
              <w:t>.007</w:t>
            </w:r>
          </w:p>
        </w:tc>
        <w:tc>
          <w:tcPr>
            <w:tcW w:w="1667" w:type="pct"/>
            <w:vAlign w:val="center"/>
          </w:tcPr>
          <w:p>
            <w:pPr>
              <w:jc w:val="center"/>
              <w:rPr>
                <w:bCs/>
                <w:szCs w:val="24"/>
              </w:rPr>
            </w:pPr>
            <w:r>
              <w:rPr>
                <w:rFonts w:hint="eastAsia"/>
                <w:bCs/>
                <w:szCs w:val="24"/>
              </w:rPr>
              <w:t>0</w:t>
            </w:r>
            <w:r>
              <w:rPr>
                <w:bCs/>
                <w:szCs w:val="24"/>
              </w:rPr>
              <w:t>.029</w:t>
            </w:r>
            <w:r>
              <w:rPr>
                <w:rFonts w:hint="eastAsia"/>
                <w:bCs/>
                <w:szCs w:val="24"/>
              </w:rPr>
              <w:t>×</w:t>
            </w:r>
            <w:r>
              <w:rPr>
                <w:bCs/>
                <w:szCs w:val="24"/>
              </w:rPr>
              <w:t>10</w:t>
            </w:r>
            <w:r>
              <w:rPr>
                <w:bCs/>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jc w:val="center"/>
              <w:rPr>
                <w:bCs/>
                <w:szCs w:val="24"/>
              </w:rPr>
            </w:pPr>
            <w:r>
              <w:rPr>
                <w:rFonts w:hint="eastAsia"/>
                <w:bCs/>
                <w:szCs w:val="24"/>
              </w:rPr>
              <w:t>储泥池/脱水机房</w:t>
            </w:r>
          </w:p>
        </w:tc>
        <w:tc>
          <w:tcPr>
            <w:tcW w:w="1667" w:type="pct"/>
            <w:vAlign w:val="center"/>
          </w:tcPr>
          <w:p>
            <w:pPr>
              <w:jc w:val="center"/>
              <w:rPr>
                <w:bCs/>
                <w:szCs w:val="24"/>
              </w:rPr>
            </w:pPr>
            <w:r>
              <w:rPr>
                <w:rFonts w:hint="eastAsia"/>
                <w:bCs/>
                <w:szCs w:val="24"/>
              </w:rPr>
              <w:t>0</w:t>
            </w:r>
            <w:r>
              <w:rPr>
                <w:bCs/>
                <w:szCs w:val="24"/>
              </w:rPr>
              <w:t>.103</w:t>
            </w:r>
          </w:p>
        </w:tc>
        <w:tc>
          <w:tcPr>
            <w:tcW w:w="1667" w:type="pct"/>
            <w:vAlign w:val="center"/>
          </w:tcPr>
          <w:p>
            <w:pPr>
              <w:jc w:val="center"/>
              <w:rPr>
                <w:bCs/>
                <w:szCs w:val="24"/>
              </w:rPr>
            </w:pPr>
            <w:r>
              <w:rPr>
                <w:rFonts w:hint="eastAsia"/>
                <w:bCs/>
                <w:szCs w:val="24"/>
              </w:rPr>
              <w:t>0</w:t>
            </w:r>
            <w:r>
              <w:rPr>
                <w:bCs/>
                <w:szCs w:val="24"/>
              </w:rPr>
              <w:t>.03</w:t>
            </w:r>
            <w:r>
              <w:rPr>
                <w:rFonts w:hint="eastAsia"/>
                <w:bCs/>
                <w:szCs w:val="24"/>
              </w:rPr>
              <w:t>×</w:t>
            </w:r>
            <w:r>
              <w:rPr>
                <w:bCs/>
                <w:szCs w:val="24"/>
              </w:rPr>
              <w:t>10</w:t>
            </w:r>
            <w:r>
              <w:rPr>
                <w:bCs/>
                <w:szCs w:val="24"/>
                <w:vertAlign w:val="superscript"/>
              </w:rPr>
              <w:t>-3</w:t>
            </w:r>
          </w:p>
        </w:tc>
      </w:tr>
    </w:tbl>
    <w:p>
      <w:pPr>
        <w:spacing w:line="480" w:lineRule="exact"/>
        <w:ind w:firstLine="480" w:firstLineChars="200"/>
        <w:rPr>
          <w:bCs/>
          <w:sz w:val="24"/>
          <w:szCs w:val="24"/>
        </w:rPr>
      </w:pPr>
      <w:r>
        <w:rPr>
          <w:rFonts w:hint="eastAsia"/>
          <w:bCs/>
          <w:sz w:val="24"/>
          <w:szCs w:val="24"/>
        </w:rPr>
        <w:t>本项目污水处理站主要工艺环节有调节池、接触氧化池、二沉池、储泥池等，各构筑物面积按4m</w:t>
      </w:r>
      <w:r>
        <w:rPr>
          <w:bCs/>
          <w:sz w:val="24"/>
          <w:szCs w:val="24"/>
          <w:vertAlign w:val="superscript"/>
        </w:rPr>
        <w:t>3</w:t>
      </w:r>
      <w:r>
        <w:rPr>
          <w:rFonts w:hint="eastAsia"/>
          <w:bCs/>
          <w:sz w:val="24"/>
          <w:szCs w:val="24"/>
        </w:rPr>
        <w:t>计，运行时间取8</w:t>
      </w:r>
      <w:r>
        <w:rPr>
          <w:bCs/>
          <w:sz w:val="24"/>
          <w:szCs w:val="24"/>
        </w:rPr>
        <w:t>760</w:t>
      </w:r>
      <w:r>
        <w:rPr>
          <w:rFonts w:hint="eastAsia"/>
          <w:bCs/>
          <w:sz w:val="24"/>
          <w:szCs w:val="24"/>
        </w:rPr>
        <w:t>h</w:t>
      </w:r>
      <w:r>
        <w:rPr>
          <w:bCs/>
          <w:sz w:val="24"/>
          <w:szCs w:val="24"/>
        </w:rPr>
        <w:t>/a</w:t>
      </w:r>
      <w:r>
        <w:rPr>
          <w:rFonts w:hint="eastAsia"/>
          <w:bCs/>
          <w:sz w:val="24"/>
          <w:szCs w:val="24"/>
        </w:rPr>
        <w:t>。根据上述产污系数估算本项目恶臭污染物</w:t>
      </w:r>
      <w:r>
        <w:rPr>
          <w:bCs/>
          <w:sz w:val="24"/>
          <w:szCs w:val="24"/>
        </w:rPr>
        <w:t>NH</w:t>
      </w:r>
      <w:r>
        <w:rPr>
          <w:bCs/>
          <w:sz w:val="24"/>
          <w:szCs w:val="24"/>
          <w:vertAlign w:val="subscript"/>
        </w:rPr>
        <w:t>3</w:t>
      </w:r>
      <w:r>
        <w:rPr>
          <w:rFonts w:hint="eastAsia"/>
          <w:bCs/>
          <w:sz w:val="24"/>
          <w:szCs w:val="24"/>
        </w:rPr>
        <w:t>和</w:t>
      </w:r>
      <w:r>
        <w:rPr>
          <w:bCs/>
          <w:sz w:val="24"/>
          <w:szCs w:val="24"/>
        </w:rPr>
        <w:t>H</w:t>
      </w:r>
      <w:r>
        <w:rPr>
          <w:bCs/>
          <w:sz w:val="24"/>
          <w:szCs w:val="24"/>
          <w:vertAlign w:val="subscript"/>
        </w:rPr>
        <w:t>2</w:t>
      </w:r>
      <w:r>
        <w:rPr>
          <w:bCs/>
          <w:sz w:val="24"/>
          <w:szCs w:val="24"/>
        </w:rPr>
        <w:t>S</w:t>
      </w:r>
      <w:r>
        <w:rPr>
          <w:rFonts w:hint="eastAsia"/>
          <w:bCs/>
          <w:sz w:val="24"/>
          <w:szCs w:val="24"/>
        </w:rPr>
        <w:t>的产生情况，见下表。</w:t>
      </w:r>
    </w:p>
    <w:p>
      <w:pPr>
        <w:spacing w:line="480" w:lineRule="exact"/>
        <w:jc w:val="center"/>
        <w:rPr>
          <w:rFonts w:ascii="黑体" w:hAnsi="黑体" w:eastAsia="黑体"/>
          <w:bCs/>
          <w:sz w:val="24"/>
          <w:szCs w:val="24"/>
        </w:rPr>
      </w:pPr>
      <w:r>
        <w:rPr>
          <w:rFonts w:hint="eastAsia" w:ascii="黑体" w:hAnsi="黑体" w:eastAsia="黑体"/>
          <w:bCs/>
          <w:sz w:val="24"/>
          <w:szCs w:val="24"/>
        </w:rPr>
        <w:t>表</w:t>
      </w:r>
      <w:r>
        <w:rPr>
          <w:rFonts w:ascii="黑体" w:hAnsi="黑体" w:eastAsia="黑体"/>
          <w:bCs/>
          <w:sz w:val="24"/>
          <w:szCs w:val="24"/>
        </w:rPr>
        <w:t>3</w:t>
      </w:r>
      <w:r>
        <w:rPr>
          <w:rFonts w:hint="eastAsia" w:ascii="黑体" w:hAnsi="黑体" w:eastAsia="黑体"/>
          <w:bCs/>
          <w:sz w:val="24"/>
          <w:szCs w:val="24"/>
        </w:rPr>
        <w:t>.5-2  建项目污水处理站</w:t>
      </w:r>
      <w:r>
        <w:rPr>
          <w:rFonts w:ascii="黑体" w:hAnsi="黑体" w:eastAsia="黑体"/>
          <w:bCs/>
          <w:sz w:val="24"/>
          <w:szCs w:val="24"/>
        </w:rPr>
        <w:t>NH</w:t>
      </w:r>
      <w:r>
        <w:rPr>
          <w:rFonts w:ascii="黑体" w:hAnsi="黑体" w:eastAsia="黑体"/>
          <w:bCs/>
          <w:sz w:val="24"/>
          <w:szCs w:val="24"/>
          <w:vertAlign w:val="subscript"/>
        </w:rPr>
        <w:t>3</w:t>
      </w:r>
      <w:r>
        <w:rPr>
          <w:rFonts w:hint="eastAsia" w:ascii="黑体" w:hAnsi="黑体" w:eastAsia="黑体"/>
          <w:bCs/>
          <w:sz w:val="24"/>
          <w:szCs w:val="24"/>
        </w:rPr>
        <w:t>和</w:t>
      </w:r>
      <w:r>
        <w:rPr>
          <w:rFonts w:ascii="黑体" w:hAnsi="黑体" w:eastAsia="黑体"/>
          <w:bCs/>
          <w:sz w:val="24"/>
          <w:szCs w:val="24"/>
        </w:rPr>
        <w:t xml:space="preserve"> H</w:t>
      </w:r>
      <w:r>
        <w:rPr>
          <w:rFonts w:ascii="黑体" w:hAnsi="黑体" w:eastAsia="黑体"/>
          <w:bCs/>
          <w:sz w:val="24"/>
          <w:szCs w:val="24"/>
          <w:vertAlign w:val="subscript"/>
        </w:rPr>
        <w:t>2</w:t>
      </w:r>
      <w:r>
        <w:rPr>
          <w:rFonts w:ascii="黑体" w:hAnsi="黑体" w:eastAsia="黑体"/>
          <w:bCs/>
          <w:sz w:val="24"/>
          <w:szCs w:val="24"/>
        </w:rPr>
        <w:t xml:space="preserve">S </w:t>
      </w:r>
      <w:r>
        <w:rPr>
          <w:rFonts w:hint="eastAsia" w:ascii="黑体" w:hAnsi="黑体" w:eastAsia="黑体"/>
          <w:bCs/>
          <w:sz w:val="24"/>
          <w:szCs w:val="24"/>
        </w:rPr>
        <w:t>产生量</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1"/>
        <w:gridCol w:w="1647"/>
        <w:gridCol w:w="1647"/>
        <w:gridCol w:w="1734"/>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pct"/>
            <w:vMerge w:val="restart"/>
            <w:vAlign w:val="center"/>
          </w:tcPr>
          <w:p>
            <w:pPr>
              <w:jc w:val="center"/>
              <w:rPr>
                <w:bCs/>
                <w:szCs w:val="24"/>
              </w:rPr>
            </w:pPr>
            <w:r>
              <w:rPr>
                <w:rFonts w:hint="eastAsia"/>
                <w:bCs/>
                <w:szCs w:val="24"/>
              </w:rPr>
              <w:t>购置物名称</w:t>
            </w:r>
          </w:p>
        </w:tc>
        <w:tc>
          <w:tcPr>
            <w:tcW w:w="635" w:type="pct"/>
            <w:vMerge w:val="restart"/>
            <w:vAlign w:val="center"/>
          </w:tcPr>
          <w:p>
            <w:pPr>
              <w:jc w:val="center"/>
              <w:rPr>
                <w:bCs/>
                <w:szCs w:val="24"/>
              </w:rPr>
            </w:pPr>
            <w:r>
              <w:rPr>
                <w:rFonts w:hint="eastAsia"/>
                <w:bCs/>
                <w:szCs w:val="24"/>
              </w:rPr>
              <w:t>面积（</w:t>
            </w:r>
            <w:r>
              <w:rPr>
                <w:bCs/>
                <w:szCs w:val="24"/>
              </w:rPr>
              <w:t>m</w:t>
            </w:r>
            <w:r>
              <w:rPr>
                <w:bCs/>
                <w:szCs w:val="24"/>
                <w:vertAlign w:val="superscript"/>
              </w:rPr>
              <w:t>2</w:t>
            </w:r>
            <w:r>
              <w:rPr>
                <w:rFonts w:hint="eastAsia"/>
                <w:bCs/>
                <w:szCs w:val="24"/>
              </w:rPr>
              <w:t>）</w:t>
            </w:r>
          </w:p>
        </w:tc>
        <w:tc>
          <w:tcPr>
            <w:tcW w:w="1818" w:type="pct"/>
            <w:gridSpan w:val="2"/>
            <w:vAlign w:val="center"/>
          </w:tcPr>
          <w:p>
            <w:pPr>
              <w:jc w:val="center"/>
              <w:rPr>
                <w:bCs/>
                <w:szCs w:val="24"/>
              </w:rPr>
            </w:pPr>
            <w:r>
              <w:rPr>
                <w:bCs/>
                <w:szCs w:val="24"/>
              </w:rPr>
              <w:t>NH</w:t>
            </w:r>
            <w:r>
              <w:rPr>
                <w:bCs/>
                <w:szCs w:val="24"/>
                <w:vertAlign w:val="subscript"/>
              </w:rPr>
              <w:t>3</w:t>
            </w:r>
            <w:r>
              <w:rPr>
                <w:rFonts w:hint="eastAsia"/>
                <w:bCs/>
                <w:szCs w:val="24"/>
              </w:rPr>
              <w:t>污染物产生量</w:t>
            </w:r>
          </w:p>
        </w:tc>
        <w:tc>
          <w:tcPr>
            <w:tcW w:w="1767" w:type="pct"/>
            <w:gridSpan w:val="2"/>
            <w:vAlign w:val="center"/>
          </w:tcPr>
          <w:p>
            <w:pPr>
              <w:jc w:val="center"/>
              <w:rPr>
                <w:bCs/>
                <w:szCs w:val="24"/>
              </w:rPr>
            </w:pPr>
            <w:r>
              <w:rPr>
                <w:bCs/>
                <w:szCs w:val="24"/>
              </w:rPr>
              <w:t>H</w:t>
            </w:r>
            <w:r>
              <w:rPr>
                <w:bCs/>
                <w:szCs w:val="24"/>
                <w:vertAlign w:val="subscript"/>
              </w:rPr>
              <w:t>2</w:t>
            </w:r>
            <w:r>
              <w:rPr>
                <w:bCs/>
                <w:szCs w:val="24"/>
              </w:rPr>
              <w:t>S</w:t>
            </w:r>
            <w:r>
              <w:rPr>
                <w:rFonts w:hint="eastAsia"/>
                <w:bCs/>
                <w:szCs w:val="24"/>
              </w:rPr>
              <w:t>污染物产生量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pct"/>
            <w:vMerge w:val="continue"/>
            <w:vAlign w:val="center"/>
          </w:tcPr>
          <w:p>
            <w:pPr>
              <w:jc w:val="center"/>
              <w:rPr>
                <w:bCs/>
                <w:szCs w:val="24"/>
              </w:rPr>
            </w:pPr>
          </w:p>
        </w:tc>
        <w:tc>
          <w:tcPr>
            <w:tcW w:w="635" w:type="pct"/>
            <w:vMerge w:val="continue"/>
            <w:vAlign w:val="center"/>
          </w:tcPr>
          <w:p>
            <w:pPr>
              <w:jc w:val="center"/>
              <w:rPr>
                <w:bCs/>
                <w:szCs w:val="24"/>
              </w:rPr>
            </w:pPr>
          </w:p>
        </w:tc>
        <w:tc>
          <w:tcPr>
            <w:tcW w:w="909" w:type="pct"/>
            <w:vAlign w:val="center"/>
          </w:tcPr>
          <w:p>
            <w:pPr>
              <w:jc w:val="center"/>
              <w:rPr>
                <w:bCs/>
                <w:szCs w:val="24"/>
              </w:rPr>
            </w:pPr>
            <w:r>
              <w:rPr>
                <w:bCs/>
                <w:szCs w:val="24"/>
              </w:rPr>
              <w:t>kg/h</w:t>
            </w:r>
          </w:p>
        </w:tc>
        <w:tc>
          <w:tcPr>
            <w:tcW w:w="909" w:type="pct"/>
            <w:vAlign w:val="center"/>
          </w:tcPr>
          <w:p>
            <w:pPr>
              <w:jc w:val="center"/>
              <w:rPr>
                <w:bCs/>
                <w:szCs w:val="24"/>
              </w:rPr>
            </w:pPr>
            <w:r>
              <w:rPr>
                <w:bCs/>
                <w:szCs w:val="24"/>
              </w:rPr>
              <w:t>t/a</w:t>
            </w:r>
          </w:p>
        </w:tc>
        <w:tc>
          <w:tcPr>
            <w:tcW w:w="957" w:type="pct"/>
            <w:vAlign w:val="center"/>
          </w:tcPr>
          <w:p>
            <w:pPr>
              <w:jc w:val="center"/>
              <w:rPr>
                <w:bCs/>
                <w:szCs w:val="24"/>
              </w:rPr>
            </w:pPr>
            <w:r>
              <w:rPr>
                <w:bCs/>
                <w:szCs w:val="24"/>
              </w:rPr>
              <w:t>kg/h</w:t>
            </w:r>
          </w:p>
        </w:tc>
        <w:tc>
          <w:tcPr>
            <w:tcW w:w="810" w:type="pct"/>
            <w:vAlign w:val="center"/>
          </w:tcPr>
          <w:p>
            <w:pPr>
              <w:jc w:val="center"/>
              <w:rPr>
                <w:bCs/>
                <w:szCs w:val="24"/>
              </w:rPr>
            </w:pPr>
            <w:r>
              <w:rPr>
                <w:bCs/>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pct"/>
            <w:vAlign w:val="center"/>
          </w:tcPr>
          <w:p>
            <w:pPr>
              <w:jc w:val="center"/>
              <w:rPr>
                <w:bCs/>
                <w:szCs w:val="21"/>
              </w:rPr>
            </w:pPr>
            <w:r>
              <w:rPr>
                <w:rFonts w:hint="eastAsia"/>
                <w:bCs/>
                <w:szCs w:val="24"/>
              </w:rPr>
              <w:t>调节池</w:t>
            </w:r>
          </w:p>
        </w:tc>
        <w:tc>
          <w:tcPr>
            <w:tcW w:w="635" w:type="pct"/>
            <w:vAlign w:val="center"/>
          </w:tcPr>
          <w:p>
            <w:pPr>
              <w:jc w:val="center"/>
              <w:rPr>
                <w:bCs/>
                <w:szCs w:val="24"/>
              </w:rPr>
            </w:pPr>
            <w:r>
              <w:rPr>
                <w:bCs/>
                <w:szCs w:val="24"/>
              </w:rPr>
              <w:t>4</w:t>
            </w:r>
          </w:p>
        </w:tc>
        <w:tc>
          <w:tcPr>
            <w:tcW w:w="909" w:type="pct"/>
            <w:vAlign w:val="center"/>
          </w:tcPr>
          <w:p>
            <w:pPr>
              <w:jc w:val="center"/>
              <w:rPr>
                <w:bCs/>
                <w:szCs w:val="24"/>
              </w:rPr>
            </w:pPr>
            <w:r>
              <w:rPr>
                <w:rFonts w:hint="eastAsia"/>
                <w:bCs/>
                <w:szCs w:val="24"/>
              </w:rPr>
              <w:t>0</w:t>
            </w:r>
            <w:r>
              <w:rPr>
                <w:bCs/>
                <w:szCs w:val="24"/>
              </w:rPr>
              <w:t>.008784</w:t>
            </w:r>
          </w:p>
        </w:tc>
        <w:tc>
          <w:tcPr>
            <w:tcW w:w="909" w:type="pct"/>
            <w:vAlign w:val="center"/>
          </w:tcPr>
          <w:p>
            <w:pPr>
              <w:jc w:val="center"/>
              <w:rPr>
                <w:bCs/>
                <w:szCs w:val="24"/>
              </w:rPr>
            </w:pPr>
            <w:r>
              <w:rPr>
                <w:rFonts w:hint="eastAsia"/>
                <w:bCs/>
                <w:szCs w:val="24"/>
              </w:rPr>
              <w:t>0</w:t>
            </w:r>
            <w:r>
              <w:rPr>
                <w:bCs/>
                <w:szCs w:val="24"/>
              </w:rPr>
              <w:t>.076948</w:t>
            </w:r>
          </w:p>
        </w:tc>
        <w:tc>
          <w:tcPr>
            <w:tcW w:w="957" w:type="pct"/>
            <w:vAlign w:val="center"/>
          </w:tcPr>
          <w:p>
            <w:pPr>
              <w:jc w:val="center"/>
              <w:rPr>
                <w:bCs/>
                <w:szCs w:val="24"/>
              </w:rPr>
            </w:pPr>
            <w:r>
              <w:rPr>
                <w:rFonts w:hint="eastAsia"/>
                <w:bCs/>
                <w:szCs w:val="24"/>
              </w:rPr>
              <w:t>0</w:t>
            </w:r>
            <w:r>
              <w:rPr>
                <w:bCs/>
                <w:szCs w:val="24"/>
              </w:rPr>
              <w:t>.0000154</w:t>
            </w:r>
          </w:p>
        </w:tc>
        <w:tc>
          <w:tcPr>
            <w:tcW w:w="810" w:type="pct"/>
            <w:vAlign w:val="center"/>
          </w:tcPr>
          <w:p>
            <w:pPr>
              <w:jc w:val="center"/>
              <w:rPr>
                <w:bCs/>
                <w:szCs w:val="24"/>
              </w:rPr>
            </w:pPr>
            <w:r>
              <w:rPr>
                <w:rFonts w:hint="eastAsia"/>
                <w:bCs/>
                <w:szCs w:val="24"/>
              </w:rPr>
              <w:t>0</w:t>
            </w:r>
            <w:r>
              <w:rPr>
                <w:bCs/>
                <w:szCs w:val="24"/>
              </w:rPr>
              <w:t>.000135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pct"/>
            <w:vAlign w:val="center"/>
          </w:tcPr>
          <w:p>
            <w:pPr>
              <w:jc w:val="center"/>
              <w:rPr>
                <w:bCs/>
                <w:szCs w:val="24"/>
              </w:rPr>
            </w:pPr>
            <w:r>
              <w:rPr>
                <w:rFonts w:hint="eastAsia"/>
                <w:bCs/>
                <w:szCs w:val="24"/>
              </w:rPr>
              <w:t>生化池</w:t>
            </w:r>
          </w:p>
        </w:tc>
        <w:tc>
          <w:tcPr>
            <w:tcW w:w="635" w:type="pct"/>
            <w:vAlign w:val="center"/>
          </w:tcPr>
          <w:p>
            <w:pPr>
              <w:jc w:val="center"/>
              <w:rPr>
                <w:bCs/>
                <w:szCs w:val="24"/>
              </w:rPr>
            </w:pPr>
            <w:r>
              <w:rPr>
                <w:bCs/>
                <w:szCs w:val="24"/>
              </w:rPr>
              <w:t>4</w:t>
            </w:r>
          </w:p>
        </w:tc>
        <w:tc>
          <w:tcPr>
            <w:tcW w:w="909" w:type="pct"/>
            <w:vAlign w:val="center"/>
          </w:tcPr>
          <w:p>
            <w:pPr>
              <w:jc w:val="center"/>
              <w:rPr>
                <w:bCs/>
                <w:szCs w:val="24"/>
              </w:rPr>
            </w:pPr>
            <w:r>
              <w:rPr>
                <w:rFonts w:hint="eastAsia"/>
                <w:bCs/>
                <w:szCs w:val="24"/>
              </w:rPr>
              <w:t>0</w:t>
            </w:r>
            <w:r>
              <w:rPr>
                <w:bCs/>
                <w:szCs w:val="24"/>
              </w:rPr>
              <w:t>.000071</w:t>
            </w:r>
          </w:p>
        </w:tc>
        <w:tc>
          <w:tcPr>
            <w:tcW w:w="909" w:type="pct"/>
            <w:vAlign w:val="center"/>
          </w:tcPr>
          <w:p>
            <w:pPr>
              <w:jc w:val="center"/>
              <w:rPr>
                <w:bCs/>
                <w:szCs w:val="24"/>
              </w:rPr>
            </w:pPr>
            <w:r>
              <w:rPr>
                <w:rFonts w:hint="eastAsia"/>
                <w:bCs/>
                <w:szCs w:val="24"/>
              </w:rPr>
              <w:t>0</w:t>
            </w:r>
            <w:r>
              <w:rPr>
                <w:bCs/>
                <w:szCs w:val="24"/>
              </w:rPr>
              <w:t>.000618</w:t>
            </w:r>
          </w:p>
        </w:tc>
        <w:tc>
          <w:tcPr>
            <w:tcW w:w="957" w:type="pct"/>
            <w:vAlign w:val="center"/>
          </w:tcPr>
          <w:p>
            <w:pPr>
              <w:jc w:val="center"/>
              <w:rPr>
                <w:bCs/>
                <w:szCs w:val="24"/>
              </w:rPr>
            </w:pPr>
            <w:r>
              <w:rPr>
                <w:rFonts w:hint="eastAsia"/>
                <w:bCs/>
                <w:szCs w:val="24"/>
              </w:rPr>
              <w:t>0</w:t>
            </w:r>
            <w:r>
              <w:rPr>
                <w:bCs/>
                <w:szCs w:val="24"/>
              </w:rPr>
              <w:t>.0000037</w:t>
            </w:r>
          </w:p>
        </w:tc>
        <w:tc>
          <w:tcPr>
            <w:tcW w:w="810" w:type="pct"/>
            <w:vAlign w:val="center"/>
          </w:tcPr>
          <w:p>
            <w:pPr>
              <w:jc w:val="center"/>
              <w:rPr>
                <w:bCs/>
                <w:szCs w:val="24"/>
              </w:rPr>
            </w:pPr>
            <w:r>
              <w:rPr>
                <w:rFonts w:hint="eastAsia"/>
                <w:bCs/>
                <w:szCs w:val="24"/>
              </w:rPr>
              <w:t>0</w:t>
            </w:r>
            <w:r>
              <w:rPr>
                <w:bCs/>
                <w:szCs w:val="24"/>
              </w:rPr>
              <w:t>.000033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pct"/>
            <w:vAlign w:val="center"/>
          </w:tcPr>
          <w:p>
            <w:pPr>
              <w:jc w:val="center"/>
              <w:rPr>
                <w:bCs/>
                <w:szCs w:val="24"/>
              </w:rPr>
            </w:pPr>
            <w:r>
              <w:rPr>
                <w:rFonts w:hint="eastAsia"/>
                <w:bCs/>
                <w:szCs w:val="24"/>
              </w:rPr>
              <w:t>二沉池</w:t>
            </w:r>
          </w:p>
        </w:tc>
        <w:tc>
          <w:tcPr>
            <w:tcW w:w="635" w:type="pct"/>
            <w:vAlign w:val="center"/>
          </w:tcPr>
          <w:p>
            <w:pPr>
              <w:jc w:val="center"/>
              <w:rPr>
                <w:bCs/>
                <w:szCs w:val="24"/>
              </w:rPr>
            </w:pPr>
            <w:r>
              <w:rPr>
                <w:bCs/>
                <w:szCs w:val="24"/>
              </w:rPr>
              <w:t>4</w:t>
            </w:r>
          </w:p>
        </w:tc>
        <w:tc>
          <w:tcPr>
            <w:tcW w:w="909" w:type="pct"/>
            <w:vAlign w:val="center"/>
          </w:tcPr>
          <w:p>
            <w:pPr>
              <w:jc w:val="center"/>
              <w:rPr>
                <w:bCs/>
                <w:szCs w:val="24"/>
              </w:rPr>
            </w:pPr>
            <w:r>
              <w:rPr>
                <w:rFonts w:hint="eastAsia"/>
                <w:bCs/>
                <w:szCs w:val="24"/>
              </w:rPr>
              <w:t>0</w:t>
            </w:r>
            <w:r>
              <w:rPr>
                <w:bCs/>
                <w:szCs w:val="24"/>
              </w:rPr>
              <w:t>.000101</w:t>
            </w:r>
          </w:p>
        </w:tc>
        <w:tc>
          <w:tcPr>
            <w:tcW w:w="909" w:type="pct"/>
            <w:vAlign w:val="center"/>
          </w:tcPr>
          <w:p>
            <w:pPr>
              <w:jc w:val="center"/>
              <w:rPr>
                <w:bCs/>
                <w:szCs w:val="24"/>
              </w:rPr>
            </w:pPr>
            <w:r>
              <w:rPr>
                <w:rFonts w:hint="eastAsia"/>
                <w:bCs/>
                <w:szCs w:val="24"/>
              </w:rPr>
              <w:t>0</w:t>
            </w:r>
            <w:r>
              <w:rPr>
                <w:bCs/>
                <w:szCs w:val="24"/>
              </w:rPr>
              <w:t>.000883</w:t>
            </w:r>
          </w:p>
        </w:tc>
        <w:tc>
          <w:tcPr>
            <w:tcW w:w="957" w:type="pct"/>
            <w:vAlign w:val="center"/>
          </w:tcPr>
          <w:p>
            <w:pPr>
              <w:jc w:val="center"/>
              <w:rPr>
                <w:bCs/>
                <w:szCs w:val="24"/>
              </w:rPr>
            </w:pPr>
            <w:r>
              <w:rPr>
                <w:rFonts w:hint="eastAsia"/>
                <w:bCs/>
                <w:szCs w:val="24"/>
              </w:rPr>
              <w:t>0</w:t>
            </w:r>
            <w:r>
              <w:rPr>
                <w:bCs/>
                <w:szCs w:val="24"/>
              </w:rPr>
              <w:t>.0000004</w:t>
            </w:r>
          </w:p>
        </w:tc>
        <w:tc>
          <w:tcPr>
            <w:tcW w:w="810" w:type="pct"/>
            <w:vAlign w:val="center"/>
          </w:tcPr>
          <w:p>
            <w:pPr>
              <w:jc w:val="center"/>
              <w:rPr>
                <w:bCs/>
                <w:szCs w:val="24"/>
              </w:rPr>
            </w:pPr>
            <w:r>
              <w:rPr>
                <w:rFonts w:hint="eastAsia"/>
                <w:bCs/>
                <w:szCs w:val="24"/>
              </w:rPr>
              <w:t>0</w:t>
            </w:r>
            <w:r>
              <w:rPr>
                <w:bCs/>
                <w:szCs w:val="24"/>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pct"/>
            <w:vAlign w:val="center"/>
          </w:tcPr>
          <w:p>
            <w:pPr>
              <w:jc w:val="center"/>
              <w:rPr>
                <w:bCs/>
                <w:szCs w:val="24"/>
              </w:rPr>
            </w:pPr>
            <w:r>
              <w:rPr>
                <w:rFonts w:hint="eastAsia"/>
                <w:bCs/>
                <w:szCs w:val="24"/>
              </w:rPr>
              <w:t>储泥池</w:t>
            </w:r>
          </w:p>
        </w:tc>
        <w:tc>
          <w:tcPr>
            <w:tcW w:w="635" w:type="pct"/>
            <w:vAlign w:val="center"/>
          </w:tcPr>
          <w:p>
            <w:pPr>
              <w:jc w:val="center"/>
              <w:rPr>
                <w:bCs/>
                <w:szCs w:val="24"/>
              </w:rPr>
            </w:pPr>
            <w:r>
              <w:rPr>
                <w:bCs/>
                <w:szCs w:val="24"/>
              </w:rPr>
              <w:t>4</w:t>
            </w:r>
          </w:p>
        </w:tc>
        <w:tc>
          <w:tcPr>
            <w:tcW w:w="909" w:type="pct"/>
            <w:vAlign w:val="center"/>
          </w:tcPr>
          <w:p>
            <w:pPr>
              <w:jc w:val="center"/>
              <w:rPr>
                <w:bCs/>
                <w:szCs w:val="24"/>
              </w:rPr>
            </w:pPr>
            <w:r>
              <w:rPr>
                <w:rFonts w:hint="eastAsia"/>
                <w:bCs/>
                <w:szCs w:val="24"/>
              </w:rPr>
              <w:t>0</w:t>
            </w:r>
            <w:r>
              <w:rPr>
                <w:bCs/>
                <w:szCs w:val="24"/>
              </w:rPr>
              <w:t>.001483</w:t>
            </w:r>
          </w:p>
        </w:tc>
        <w:tc>
          <w:tcPr>
            <w:tcW w:w="909" w:type="pct"/>
            <w:vAlign w:val="center"/>
          </w:tcPr>
          <w:p>
            <w:pPr>
              <w:jc w:val="center"/>
              <w:rPr>
                <w:bCs/>
                <w:szCs w:val="24"/>
              </w:rPr>
            </w:pPr>
            <w:r>
              <w:rPr>
                <w:rFonts w:hint="eastAsia"/>
                <w:bCs/>
                <w:szCs w:val="24"/>
              </w:rPr>
              <w:t>0</w:t>
            </w:r>
            <w:r>
              <w:rPr>
                <w:bCs/>
                <w:szCs w:val="24"/>
              </w:rPr>
              <w:t>.012993</w:t>
            </w:r>
          </w:p>
        </w:tc>
        <w:tc>
          <w:tcPr>
            <w:tcW w:w="957" w:type="pct"/>
            <w:vAlign w:val="center"/>
          </w:tcPr>
          <w:p>
            <w:pPr>
              <w:jc w:val="center"/>
              <w:rPr>
                <w:bCs/>
                <w:szCs w:val="24"/>
              </w:rPr>
            </w:pPr>
            <w:r>
              <w:rPr>
                <w:rFonts w:hint="eastAsia"/>
                <w:bCs/>
                <w:szCs w:val="24"/>
              </w:rPr>
              <w:t>0</w:t>
            </w:r>
            <w:r>
              <w:rPr>
                <w:bCs/>
                <w:szCs w:val="24"/>
              </w:rPr>
              <w:t>.0000004</w:t>
            </w:r>
          </w:p>
        </w:tc>
        <w:tc>
          <w:tcPr>
            <w:tcW w:w="810" w:type="pct"/>
            <w:vAlign w:val="center"/>
          </w:tcPr>
          <w:p>
            <w:pPr>
              <w:jc w:val="center"/>
              <w:rPr>
                <w:bCs/>
                <w:szCs w:val="24"/>
              </w:rPr>
            </w:pPr>
            <w:r>
              <w:rPr>
                <w:rFonts w:hint="eastAsia"/>
                <w:bCs/>
                <w:szCs w:val="24"/>
              </w:rPr>
              <w:t>0</w:t>
            </w:r>
            <w:r>
              <w:rPr>
                <w:bCs/>
                <w:szCs w:val="24"/>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pct"/>
            <w:vAlign w:val="center"/>
          </w:tcPr>
          <w:p>
            <w:pPr>
              <w:jc w:val="center"/>
              <w:rPr>
                <w:bCs/>
                <w:szCs w:val="24"/>
              </w:rPr>
            </w:pPr>
            <w:r>
              <w:rPr>
                <w:rFonts w:hint="eastAsia"/>
                <w:bCs/>
                <w:szCs w:val="24"/>
              </w:rPr>
              <w:t>合计</w:t>
            </w:r>
          </w:p>
        </w:tc>
        <w:tc>
          <w:tcPr>
            <w:tcW w:w="635" w:type="pct"/>
            <w:vAlign w:val="center"/>
          </w:tcPr>
          <w:p>
            <w:pPr>
              <w:jc w:val="center"/>
              <w:rPr>
                <w:bCs/>
                <w:szCs w:val="24"/>
              </w:rPr>
            </w:pPr>
            <w:r>
              <w:rPr>
                <w:rFonts w:hint="eastAsia"/>
                <w:bCs/>
                <w:szCs w:val="24"/>
              </w:rPr>
              <w:t>/</w:t>
            </w:r>
          </w:p>
        </w:tc>
        <w:tc>
          <w:tcPr>
            <w:tcW w:w="909" w:type="pct"/>
            <w:vAlign w:val="center"/>
          </w:tcPr>
          <w:p>
            <w:pPr>
              <w:jc w:val="center"/>
              <w:rPr>
                <w:bCs/>
                <w:szCs w:val="24"/>
              </w:rPr>
            </w:pPr>
            <w:r>
              <w:rPr>
                <w:bCs/>
                <w:szCs w:val="24"/>
              </w:rPr>
              <w:t>0.010439</w:t>
            </w:r>
          </w:p>
        </w:tc>
        <w:tc>
          <w:tcPr>
            <w:tcW w:w="909" w:type="pct"/>
            <w:vAlign w:val="center"/>
          </w:tcPr>
          <w:p>
            <w:pPr>
              <w:jc w:val="center"/>
              <w:rPr>
                <w:bCs/>
                <w:szCs w:val="24"/>
              </w:rPr>
            </w:pPr>
            <w:r>
              <w:rPr>
                <w:rFonts w:hint="eastAsia"/>
                <w:bCs/>
                <w:szCs w:val="24"/>
              </w:rPr>
              <w:t>0</w:t>
            </w:r>
            <w:r>
              <w:rPr>
                <w:bCs/>
                <w:szCs w:val="24"/>
              </w:rPr>
              <w:t>.0091442</w:t>
            </w:r>
          </w:p>
        </w:tc>
        <w:tc>
          <w:tcPr>
            <w:tcW w:w="957" w:type="pct"/>
            <w:vAlign w:val="center"/>
          </w:tcPr>
          <w:p>
            <w:pPr>
              <w:jc w:val="center"/>
              <w:rPr>
                <w:bCs/>
                <w:szCs w:val="24"/>
              </w:rPr>
            </w:pPr>
            <w:r>
              <w:rPr>
                <w:bCs/>
                <w:szCs w:val="24"/>
              </w:rPr>
              <w:t>0.0000200</w:t>
            </w:r>
          </w:p>
        </w:tc>
        <w:tc>
          <w:tcPr>
            <w:tcW w:w="810" w:type="pct"/>
            <w:vAlign w:val="center"/>
          </w:tcPr>
          <w:p>
            <w:pPr>
              <w:jc w:val="center"/>
              <w:rPr>
                <w:bCs/>
                <w:szCs w:val="24"/>
              </w:rPr>
            </w:pPr>
            <w:r>
              <w:rPr>
                <w:rFonts w:hint="eastAsia"/>
                <w:bCs/>
                <w:szCs w:val="24"/>
              </w:rPr>
              <w:t>0</w:t>
            </w:r>
            <w:r>
              <w:rPr>
                <w:bCs/>
                <w:szCs w:val="24"/>
              </w:rPr>
              <w:t>.000175</w:t>
            </w:r>
          </w:p>
        </w:tc>
      </w:tr>
    </w:tbl>
    <w:p>
      <w:pPr>
        <w:spacing w:line="480" w:lineRule="exact"/>
        <w:ind w:firstLine="480" w:firstLineChars="200"/>
        <w:rPr>
          <w:bCs/>
          <w:sz w:val="24"/>
          <w:szCs w:val="24"/>
        </w:rPr>
      </w:pPr>
      <w:r>
        <w:rPr>
          <w:rFonts w:hint="eastAsia"/>
          <w:bCs/>
          <w:sz w:val="24"/>
          <w:szCs w:val="24"/>
        </w:rPr>
        <w:t>本项目污水处理站恶臭污染物</w:t>
      </w:r>
      <w:r>
        <w:rPr>
          <w:bCs/>
          <w:sz w:val="24"/>
          <w:szCs w:val="24"/>
        </w:rPr>
        <w:t>NH</w:t>
      </w:r>
      <w:r>
        <w:rPr>
          <w:bCs/>
          <w:sz w:val="24"/>
          <w:szCs w:val="24"/>
          <w:vertAlign w:val="subscript"/>
        </w:rPr>
        <w:t>3</w:t>
      </w:r>
      <w:r>
        <w:rPr>
          <w:rFonts w:hint="eastAsia"/>
          <w:bCs/>
          <w:sz w:val="24"/>
          <w:szCs w:val="24"/>
        </w:rPr>
        <w:t>的产生量为</w:t>
      </w:r>
      <w:r>
        <w:rPr>
          <w:bCs/>
          <w:sz w:val="24"/>
          <w:szCs w:val="24"/>
        </w:rPr>
        <w:t>0.011kg/h</w:t>
      </w:r>
      <w:r>
        <w:rPr>
          <w:rFonts w:hint="eastAsia"/>
          <w:bCs/>
          <w:sz w:val="24"/>
          <w:szCs w:val="24"/>
        </w:rPr>
        <w:t>、</w:t>
      </w:r>
      <w:r>
        <w:rPr>
          <w:bCs/>
          <w:sz w:val="24"/>
          <w:szCs w:val="24"/>
        </w:rPr>
        <w:t xml:space="preserve">0.0092t/a </w:t>
      </w:r>
      <w:r>
        <w:rPr>
          <w:rFonts w:hint="eastAsia"/>
          <w:bCs/>
          <w:sz w:val="24"/>
          <w:szCs w:val="24"/>
        </w:rPr>
        <w:t>，</w:t>
      </w:r>
      <w:r>
        <w:rPr>
          <w:bCs/>
          <w:sz w:val="24"/>
          <w:szCs w:val="24"/>
        </w:rPr>
        <w:t>H</w:t>
      </w:r>
      <w:r>
        <w:rPr>
          <w:bCs/>
          <w:sz w:val="24"/>
          <w:szCs w:val="24"/>
          <w:vertAlign w:val="subscript"/>
        </w:rPr>
        <w:t>2</w:t>
      </w:r>
      <w:r>
        <w:rPr>
          <w:bCs/>
          <w:sz w:val="24"/>
          <w:szCs w:val="24"/>
        </w:rPr>
        <w:t>S</w:t>
      </w:r>
      <w:r>
        <w:rPr>
          <w:rFonts w:hint="eastAsia"/>
          <w:bCs/>
          <w:sz w:val="24"/>
          <w:szCs w:val="24"/>
        </w:rPr>
        <w:t>的产生量为</w:t>
      </w:r>
      <w:r>
        <w:rPr>
          <w:bCs/>
          <w:sz w:val="24"/>
          <w:szCs w:val="24"/>
        </w:rPr>
        <w:t>0.00002kg/h</w:t>
      </w:r>
      <w:r>
        <w:rPr>
          <w:rFonts w:hint="eastAsia"/>
          <w:bCs/>
          <w:sz w:val="24"/>
          <w:szCs w:val="24"/>
        </w:rPr>
        <w:t>、</w:t>
      </w:r>
      <w:r>
        <w:rPr>
          <w:bCs/>
          <w:sz w:val="24"/>
          <w:szCs w:val="24"/>
        </w:rPr>
        <w:t>0.000175t/a</w:t>
      </w:r>
      <w:r>
        <w:rPr>
          <w:rFonts w:hint="eastAsia"/>
          <w:bCs/>
          <w:sz w:val="24"/>
          <w:szCs w:val="24"/>
        </w:rPr>
        <w:t>。</w:t>
      </w:r>
    </w:p>
    <w:p>
      <w:pPr>
        <w:spacing w:line="480" w:lineRule="exact"/>
        <w:ind w:firstLine="480" w:firstLineChars="200"/>
        <w:rPr>
          <w:bCs/>
          <w:sz w:val="24"/>
          <w:szCs w:val="24"/>
        </w:rPr>
      </w:pPr>
      <w:r>
        <w:rPr>
          <w:rFonts w:hint="eastAsia"/>
          <w:bCs/>
          <w:sz w:val="24"/>
          <w:szCs w:val="24"/>
        </w:rPr>
        <w:t>本项目为污水处理站为地埋式污水处理站，各污水处理单元加盖处理，站房内定期喷洒除臭剂，同时加强场区内绿化管理；恶臭污染物净化效率取</w:t>
      </w:r>
      <w:r>
        <w:rPr>
          <w:bCs/>
          <w:sz w:val="24"/>
          <w:szCs w:val="24"/>
        </w:rPr>
        <w:t>50</w:t>
      </w:r>
      <w:r>
        <w:rPr>
          <w:rFonts w:hint="eastAsia"/>
          <w:bCs/>
          <w:sz w:val="24"/>
          <w:szCs w:val="24"/>
        </w:rPr>
        <w:t>%，则本项目污水处理站恶臭污染物</w:t>
      </w:r>
      <w:r>
        <w:rPr>
          <w:bCs/>
          <w:sz w:val="24"/>
          <w:szCs w:val="24"/>
        </w:rPr>
        <w:t>NH</w:t>
      </w:r>
      <w:r>
        <w:rPr>
          <w:bCs/>
          <w:sz w:val="24"/>
          <w:szCs w:val="24"/>
          <w:vertAlign w:val="subscript"/>
        </w:rPr>
        <w:t>3</w:t>
      </w:r>
      <w:r>
        <w:rPr>
          <w:rFonts w:hint="eastAsia"/>
          <w:bCs/>
          <w:sz w:val="24"/>
          <w:szCs w:val="24"/>
        </w:rPr>
        <w:t>的排放量为</w:t>
      </w:r>
      <w:r>
        <w:rPr>
          <w:bCs/>
          <w:sz w:val="24"/>
          <w:szCs w:val="24"/>
        </w:rPr>
        <w:t>0.0055kg/h</w:t>
      </w:r>
      <w:r>
        <w:rPr>
          <w:rFonts w:hint="eastAsia"/>
          <w:bCs/>
          <w:sz w:val="24"/>
          <w:szCs w:val="24"/>
        </w:rPr>
        <w:t>、</w:t>
      </w:r>
      <w:r>
        <w:rPr>
          <w:bCs/>
          <w:sz w:val="24"/>
          <w:szCs w:val="24"/>
        </w:rPr>
        <w:t>0.0046t/a</w:t>
      </w:r>
      <w:r>
        <w:rPr>
          <w:rFonts w:hint="eastAsia"/>
          <w:bCs/>
          <w:sz w:val="24"/>
          <w:szCs w:val="24"/>
        </w:rPr>
        <w:t>，</w:t>
      </w:r>
      <w:r>
        <w:rPr>
          <w:bCs/>
          <w:sz w:val="24"/>
          <w:szCs w:val="24"/>
        </w:rPr>
        <w:t>H</w:t>
      </w:r>
      <w:r>
        <w:rPr>
          <w:bCs/>
          <w:sz w:val="24"/>
          <w:szCs w:val="24"/>
          <w:vertAlign w:val="subscript"/>
        </w:rPr>
        <w:t>2</w:t>
      </w:r>
      <w:r>
        <w:rPr>
          <w:bCs/>
          <w:sz w:val="24"/>
          <w:szCs w:val="24"/>
        </w:rPr>
        <w:t>S</w:t>
      </w:r>
      <w:r>
        <w:rPr>
          <w:rFonts w:hint="eastAsia"/>
          <w:bCs/>
          <w:sz w:val="24"/>
          <w:szCs w:val="24"/>
        </w:rPr>
        <w:t>的排放量为</w:t>
      </w:r>
      <w:r>
        <w:rPr>
          <w:bCs/>
          <w:sz w:val="24"/>
          <w:szCs w:val="24"/>
        </w:rPr>
        <w:t>0.00001kg/h</w:t>
      </w:r>
      <w:r>
        <w:rPr>
          <w:rFonts w:hint="eastAsia"/>
          <w:bCs/>
          <w:sz w:val="24"/>
          <w:szCs w:val="24"/>
        </w:rPr>
        <w:t>、</w:t>
      </w:r>
      <w:r>
        <w:rPr>
          <w:bCs/>
          <w:sz w:val="24"/>
          <w:szCs w:val="24"/>
        </w:rPr>
        <w:t>0.0000875t/a</w:t>
      </w:r>
      <w:r>
        <w:rPr>
          <w:rFonts w:hint="eastAsia"/>
          <w:bCs/>
          <w:sz w:val="24"/>
          <w:szCs w:val="24"/>
        </w:rPr>
        <w:t>。</w:t>
      </w:r>
    </w:p>
    <w:p>
      <w:pPr>
        <w:spacing w:line="480" w:lineRule="exact"/>
        <w:rPr>
          <w:b/>
          <w:bCs/>
          <w:spacing w:val="6"/>
          <w:sz w:val="24"/>
        </w:rPr>
      </w:pPr>
      <w:r>
        <w:rPr>
          <w:b/>
          <w:bCs/>
          <w:sz w:val="24"/>
        </w:rPr>
        <w:t>2</w:t>
      </w:r>
      <w:r>
        <w:rPr>
          <w:rFonts w:hint="eastAsia"/>
          <w:b/>
          <w:bCs/>
          <w:sz w:val="24"/>
        </w:rPr>
        <w:t>、</w:t>
      </w:r>
      <w:r>
        <w:rPr>
          <w:rFonts w:hint="eastAsia"/>
          <w:b/>
          <w:bCs/>
          <w:spacing w:val="6"/>
          <w:sz w:val="24"/>
        </w:rPr>
        <w:t>锅炉废气</w:t>
      </w:r>
    </w:p>
    <w:p>
      <w:pPr>
        <w:spacing w:line="480" w:lineRule="exact"/>
        <w:ind w:firstLine="480" w:firstLineChars="200"/>
        <w:rPr>
          <w:bCs/>
          <w:sz w:val="24"/>
        </w:rPr>
      </w:pPr>
      <w:bookmarkStart w:id="58" w:name="_Hlk8227115"/>
      <w:r>
        <w:rPr>
          <w:rFonts w:hint="eastAsia"/>
          <w:bCs/>
          <w:sz w:val="24"/>
        </w:rPr>
        <w:t>本项目配置</w:t>
      </w:r>
      <w:r>
        <w:rPr>
          <w:bCs/>
          <w:sz w:val="24"/>
        </w:rPr>
        <w:t>1</w:t>
      </w:r>
      <w:r>
        <w:rPr>
          <w:rFonts w:hint="eastAsia"/>
          <w:bCs/>
          <w:sz w:val="24"/>
        </w:rPr>
        <w:t>台</w:t>
      </w:r>
      <w:r>
        <w:rPr>
          <w:bCs/>
          <w:sz w:val="24"/>
        </w:rPr>
        <w:t>2.1</w:t>
      </w:r>
      <w:r>
        <w:rPr>
          <w:rFonts w:hint="eastAsia"/>
          <w:bCs/>
          <w:sz w:val="24"/>
        </w:rPr>
        <w:t>MW/h燃气热水锅炉用于鸡舍供热，燃料为L</w:t>
      </w:r>
      <w:r>
        <w:rPr>
          <w:bCs/>
          <w:sz w:val="24"/>
        </w:rPr>
        <w:t>NG</w:t>
      </w:r>
      <w:r>
        <w:rPr>
          <w:rFonts w:hint="eastAsia"/>
          <w:bCs/>
          <w:sz w:val="24"/>
        </w:rPr>
        <w:t>（液化天然气），同时热水锅炉配置“低氮燃烧”技术。L</w:t>
      </w:r>
      <w:r>
        <w:rPr>
          <w:bCs/>
          <w:sz w:val="24"/>
        </w:rPr>
        <w:t>NG</w:t>
      </w:r>
      <w:r>
        <w:rPr>
          <w:rFonts w:hint="eastAsia"/>
          <w:bCs/>
          <w:sz w:val="24"/>
        </w:rPr>
        <w:t>为脱除天然气中的硫化氢、二氧化碳、重烃、水和汞等腐蚀介质和在低温过程中会使设备和管道冻堵的杂质后经循环制冷系统逐级分离丁烷、丙烷和乙烷后得到的液化天然气产品。因此L</w:t>
      </w:r>
      <w:r>
        <w:rPr>
          <w:bCs/>
          <w:sz w:val="24"/>
        </w:rPr>
        <w:t>NG</w:t>
      </w:r>
      <w:r>
        <w:rPr>
          <w:rFonts w:hint="eastAsia"/>
          <w:bCs/>
          <w:sz w:val="24"/>
        </w:rPr>
        <w:t>燃烧过程中产生的污染物主要为烟尘、氮氧化物。本项目使用的L</w:t>
      </w:r>
      <w:r>
        <w:rPr>
          <w:bCs/>
          <w:sz w:val="24"/>
        </w:rPr>
        <w:t>NG</w:t>
      </w:r>
      <w:r>
        <w:rPr>
          <w:rFonts w:hint="eastAsia"/>
          <w:bCs/>
          <w:sz w:val="24"/>
        </w:rPr>
        <w:t>平均低位发热量按3</w:t>
      </w:r>
      <w:r>
        <w:rPr>
          <w:bCs/>
          <w:sz w:val="24"/>
        </w:rPr>
        <w:t>7.48MJ</w:t>
      </w:r>
      <w:r>
        <w:rPr>
          <w:rFonts w:hint="eastAsia"/>
          <w:bCs/>
          <w:sz w:val="24"/>
          <w:szCs w:val="24"/>
        </w:rPr>
        <w:t>/</w:t>
      </w:r>
      <w:r>
        <w:rPr>
          <w:bCs/>
          <w:sz w:val="24"/>
          <w:szCs w:val="24"/>
        </w:rPr>
        <w:t>N</w:t>
      </w:r>
      <w:r>
        <w:rPr>
          <w:rFonts w:hint="eastAsia"/>
          <w:bCs/>
          <w:sz w:val="24"/>
          <w:szCs w:val="24"/>
        </w:rPr>
        <w:t>m</w:t>
      </w:r>
      <w:r>
        <w:rPr>
          <w:rFonts w:hint="eastAsia"/>
          <w:bCs/>
          <w:sz w:val="24"/>
          <w:szCs w:val="24"/>
          <w:vertAlign w:val="superscript"/>
        </w:rPr>
        <w:t>3</w:t>
      </w:r>
      <w:r>
        <w:rPr>
          <w:rFonts w:hint="eastAsia"/>
          <w:bCs/>
          <w:sz w:val="24"/>
          <w:szCs w:val="24"/>
        </w:rPr>
        <w:t>（合9</w:t>
      </w:r>
      <w:r>
        <w:rPr>
          <w:bCs/>
          <w:sz w:val="24"/>
          <w:szCs w:val="24"/>
        </w:rPr>
        <w:t>000kcal/N</w:t>
      </w:r>
      <w:r>
        <w:rPr>
          <w:rFonts w:hint="eastAsia"/>
          <w:bCs/>
          <w:sz w:val="24"/>
          <w:szCs w:val="24"/>
        </w:rPr>
        <w:t>m</w:t>
      </w:r>
      <w:r>
        <w:rPr>
          <w:rFonts w:hint="eastAsia"/>
          <w:bCs/>
          <w:sz w:val="24"/>
          <w:szCs w:val="24"/>
          <w:vertAlign w:val="superscript"/>
        </w:rPr>
        <w:t>3</w:t>
      </w:r>
      <w:r>
        <w:rPr>
          <w:rFonts w:hint="eastAsia"/>
          <w:bCs/>
          <w:sz w:val="24"/>
          <w:szCs w:val="24"/>
        </w:rPr>
        <w:t>），L</w:t>
      </w:r>
      <w:r>
        <w:rPr>
          <w:bCs/>
          <w:sz w:val="24"/>
          <w:szCs w:val="24"/>
        </w:rPr>
        <w:t>NG</w:t>
      </w:r>
      <w:r>
        <w:rPr>
          <w:rFonts w:hint="eastAsia"/>
          <w:bCs/>
          <w:sz w:val="24"/>
          <w:szCs w:val="24"/>
        </w:rPr>
        <w:t>经气化后使用，其消耗量按气态计算。</w:t>
      </w:r>
    </w:p>
    <w:p>
      <w:pPr>
        <w:pStyle w:val="57"/>
        <w:snapToGrid/>
        <w:spacing w:before="0" w:after="0" w:line="480" w:lineRule="exact"/>
        <w:ind w:firstLine="480"/>
      </w:pPr>
      <w:r>
        <w:rPr>
          <w:rFonts w:hint="eastAsia"/>
          <w:bCs/>
        </w:rPr>
        <w:t>本项目</w:t>
      </w:r>
      <w:r>
        <w:rPr>
          <w:bCs/>
        </w:rPr>
        <w:t>1</w:t>
      </w:r>
      <w:r>
        <w:rPr>
          <w:rFonts w:hint="eastAsia"/>
          <w:bCs/>
        </w:rPr>
        <w:t>台</w:t>
      </w:r>
      <w:r>
        <w:rPr>
          <w:bCs/>
        </w:rPr>
        <w:t>2.1</w:t>
      </w:r>
      <w:r>
        <w:rPr>
          <w:rFonts w:hint="eastAsia"/>
          <w:bCs/>
        </w:rPr>
        <w:t>MW/h燃气热水锅炉采暖期运行</w:t>
      </w:r>
      <w:r>
        <w:rPr>
          <w:bCs/>
        </w:rPr>
        <w:t>24h</w:t>
      </w:r>
      <w:r>
        <w:rPr>
          <w:rFonts w:hint="eastAsia"/>
          <w:bCs/>
        </w:rPr>
        <w:t>/d，1</w:t>
      </w:r>
      <w:r>
        <w:rPr>
          <w:bCs/>
        </w:rPr>
        <w:t>5</w:t>
      </w:r>
      <w:r>
        <w:rPr>
          <w:rFonts w:hint="eastAsia"/>
          <w:bCs/>
        </w:rPr>
        <w:t>0d/a；非采暖期运行8h/d，150d/a。</w:t>
      </w:r>
    </w:p>
    <w:p>
      <w:pPr>
        <w:pStyle w:val="57"/>
        <w:snapToGrid/>
        <w:spacing w:before="0" w:after="0" w:line="480" w:lineRule="exact"/>
        <w:ind w:firstLine="482"/>
        <w:rPr>
          <w:b/>
        </w:rPr>
      </w:pPr>
      <w:r>
        <w:rPr>
          <w:rFonts w:hint="eastAsia"/>
          <w:b/>
        </w:rPr>
        <w:t>①L</w:t>
      </w:r>
      <w:r>
        <w:rPr>
          <w:b/>
        </w:rPr>
        <w:t>NG</w:t>
      </w:r>
      <w:r>
        <w:rPr>
          <w:rFonts w:hint="eastAsia"/>
          <w:b/>
        </w:rPr>
        <w:t>消耗量</w:t>
      </w:r>
    </w:p>
    <w:p>
      <w:pPr>
        <w:pStyle w:val="57"/>
        <w:snapToGrid/>
        <w:spacing w:before="0" w:after="0" w:line="480" w:lineRule="exact"/>
        <w:ind w:firstLine="480"/>
        <w:rPr>
          <w:bCs/>
        </w:rPr>
      </w:pPr>
      <w:r>
        <w:rPr>
          <w:rFonts w:hint="eastAsia"/>
          <w:bCs/>
        </w:rPr>
        <w:t>项目燃气热水锅炉热效率按90%计，可计算得到：</w:t>
      </w:r>
    </w:p>
    <w:p>
      <w:pPr>
        <w:pStyle w:val="57"/>
        <w:snapToGrid/>
        <w:spacing w:before="0" w:after="0" w:line="480" w:lineRule="exact"/>
        <w:ind w:firstLine="480"/>
        <w:rPr>
          <w:bCs/>
        </w:rPr>
      </w:pPr>
      <w:r>
        <w:rPr>
          <w:rFonts w:hint="eastAsia"/>
          <w:bCs/>
        </w:rPr>
        <w:t>燃气热水锅炉天然气消耗量=</w:t>
      </w:r>
      <w:r>
        <w:rPr>
          <w:bCs/>
        </w:rPr>
        <w:t>2.1</w:t>
      </w:r>
      <w:r>
        <w:rPr>
          <w:rFonts w:hint="eastAsia"/>
          <w:bCs/>
        </w:rPr>
        <w:t>MW/h燃气热水锅炉小时耗热量÷热效率÷天然气热值=</w:t>
      </w:r>
      <w:r>
        <w:rPr>
          <w:bCs/>
        </w:rPr>
        <w:t>180</w:t>
      </w:r>
      <w:r>
        <w:rPr>
          <w:rFonts w:hint="eastAsia"/>
          <w:bCs/>
        </w:rPr>
        <w:t>kcal/h÷0.9÷9</w:t>
      </w:r>
      <w:r>
        <w:rPr>
          <w:bCs/>
        </w:rPr>
        <w:t>000kcal/N</w:t>
      </w:r>
      <w:r>
        <w:rPr>
          <w:rFonts w:hint="eastAsia"/>
          <w:bCs/>
        </w:rPr>
        <w:t>m</w:t>
      </w:r>
      <w:r>
        <w:rPr>
          <w:rFonts w:hint="eastAsia"/>
          <w:bCs/>
          <w:vertAlign w:val="superscript"/>
        </w:rPr>
        <w:t>3</w:t>
      </w:r>
      <w:r>
        <w:rPr>
          <w:rFonts w:hint="eastAsia"/>
          <w:bCs/>
        </w:rPr>
        <w:t>=</w:t>
      </w:r>
      <w:r>
        <w:rPr>
          <w:bCs/>
        </w:rPr>
        <w:t>222.2N</w:t>
      </w:r>
      <w:r>
        <w:rPr>
          <w:rFonts w:hint="eastAsia"/>
          <w:bCs/>
        </w:rPr>
        <w:t>m</w:t>
      </w:r>
      <w:r>
        <w:rPr>
          <w:rFonts w:hint="eastAsia"/>
          <w:bCs/>
          <w:vertAlign w:val="superscript"/>
        </w:rPr>
        <w:t>3</w:t>
      </w:r>
      <w:r>
        <w:rPr>
          <w:rFonts w:hint="eastAsia"/>
          <w:bCs/>
        </w:rPr>
        <w:t>/h；</w:t>
      </w:r>
    </w:p>
    <w:p>
      <w:pPr>
        <w:pStyle w:val="57"/>
        <w:snapToGrid/>
        <w:spacing w:before="0" w:after="0" w:line="480" w:lineRule="exact"/>
        <w:ind w:firstLine="480"/>
      </w:pPr>
      <w:r>
        <w:rPr>
          <w:rFonts w:hint="eastAsia"/>
          <w:bCs/>
        </w:rPr>
        <w:t>热水锅炉</w:t>
      </w:r>
      <w:r>
        <w:rPr>
          <w:bCs/>
        </w:rPr>
        <w:t>年均运行</w:t>
      </w:r>
      <w:r>
        <w:rPr>
          <w:rFonts w:hint="eastAsia"/>
          <w:bCs/>
        </w:rPr>
        <w:t>48</w:t>
      </w:r>
      <w:r>
        <w:rPr>
          <w:bCs/>
        </w:rPr>
        <w:t>00</w:t>
      </w:r>
      <w:r>
        <w:rPr>
          <w:rFonts w:hint="eastAsia"/>
          <w:bCs/>
        </w:rPr>
        <w:t>h</w:t>
      </w:r>
      <w:r>
        <w:rPr>
          <w:bCs/>
        </w:rPr>
        <w:t>，则天然气总消耗量=</w:t>
      </w:r>
      <w:r>
        <w:rPr>
          <w:rFonts w:hint="eastAsia"/>
          <w:bCs/>
        </w:rPr>
        <w:t>222.2</w:t>
      </w:r>
      <w:r>
        <w:rPr>
          <w:bCs/>
        </w:rPr>
        <w:t>m</w:t>
      </w:r>
      <w:r>
        <w:rPr>
          <w:bCs/>
          <w:vertAlign w:val="superscript"/>
        </w:rPr>
        <w:t>3</w:t>
      </w:r>
      <w:r>
        <w:rPr>
          <w:bCs/>
        </w:rPr>
        <w:t>/h×</w:t>
      </w:r>
      <w:r>
        <w:rPr>
          <w:rFonts w:hint="eastAsia"/>
          <w:bCs/>
        </w:rPr>
        <w:t>48</w:t>
      </w:r>
      <w:r>
        <w:rPr>
          <w:bCs/>
        </w:rPr>
        <w:t>00h/a=</w:t>
      </w:r>
      <w:r>
        <w:rPr>
          <w:rFonts w:hint="eastAsia"/>
          <w:bCs/>
        </w:rPr>
        <w:t>106.656万</w:t>
      </w:r>
      <w:r>
        <w:rPr>
          <w:bCs/>
        </w:rPr>
        <w:t>m</w:t>
      </w:r>
      <w:r>
        <w:rPr>
          <w:bCs/>
          <w:vertAlign w:val="superscript"/>
        </w:rPr>
        <w:t>3</w:t>
      </w:r>
      <w:r>
        <w:rPr>
          <w:bCs/>
        </w:rPr>
        <w:t>/a</w:t>
      </w:r>
      <w:r>
        <w:rPr>
          <w:rFonts w:hint="eastAsia"/>
          <w:bCs/>
        </w:rPr>
        <w:t>。</w:t>
      </w:r>
    </w:p>
    <w:p>
      <w:pPr>
        <w:spacing w:line="480" w:lineRule="exact"/>
        <w:ind w:firstLine="480" w:firstLineChars="200"/>
        <w:rPr>
          <w:b/>
          <w:bCs/>
          <w:sz w:val="24"/>
          <w:szCs w:val="24"/>
        </w:rPr>
      </w:pPr>
      <w:r>
        <w:rPr>
          <w:rFonts w:hint="eastAsia"/>
          <w:b/>
          <w:sz w:val="24"/>
          <w:szCs w:val="24"/>
        </w:rPr>
        <w:t>②</w:t>
      </w:r>
      <w:r>
        <w:rPr>
          <w:rFonts w:hint="eastAsia"/>
          <w:b/>
          <w:bCs/>
          <w:sz w:val="24"/>
          <w:szCs w:val="24"/>
        </w:rPr>
        <w:t>烟气量</w:t>
      </w:r>
    </w:p>
    <w:p>
      <w:pPr>
        <w:spacing w:line="480" w:lineRule="exact"/>
        <w:ind w:firstLine="480" w:firstLineChars="200"/>
        <w:rPr>
          <w:sz w:val="24"/>
          <w:szCs w:val="24"/>
        </w:rPr>
      </w:pPr>
      <w:r>
        <w:rPr>
          <w:rFonts w:hint="eastAsia"/>
          <w:sz w:val="24"/>
          <w:szCs w:val="24"/>
        </w:rPr>
        <w:t>此次评价参照《工业源产排污系数手册（2010修订）下册》中工业锅炉（热力生产和供应行业）产排污系数表-燃气工业锅炉中天然气锅炉产污系数计算本项目燃气锅炉烟气量。</w:t>
      </w:r>
    </w:p>
    <w:p>
      <w:pPr>
        <w:pStyle w:val="57"/>
        <w:snapToGrid/>
        <w:spacing w:before="0" w:after="0" w:line="480" w:lineRule="exact"/>
        <w:ind w:firstLine="480"/>
      </w:pPr>
      <w:r>
        <w:rPr>
          <w:rFonts w:hint="eastAsia"/>
        </w:rPr>
        <w:t>天然气锅炉工业废气量产污系数为136259.17Nm</w:t>
      </w:r>
      <w:r>
        <w:rPr>
          <w:rFonts w:hint="eastAsia"/>
          <w:vertAlign w:val="superscript"/>
        </w:rPr>
        <w:t>3</w:t>
      </w:r>
      <w:r>
        <w:rPr>
          <w:rFonts w:hint="eastAsia"/>
        </w:rPr>
        <w:t>/万m</w:t>
      </w:r>
      <w:r>
        <w:rPr>
          <w:rFonts w:hint="eastAsia"/>
          <w:vertAlign w:val="superscript"/>
        </w:rPr>
        <w:t>3</w:t>
      </w:r>
      <w:r>
        <w:rPr>
          <w:rFonts w:hint="eastAsia"/>
        </w:rPr>
        <w:t>-原料，本项目天然气使用量为</w:t>
      </w:r>
      <w:r>
        <w:rPr>
          <w:rFonts w:hint="eastAsia"/>
          <w:bCs/>
        </w:rPr>
        <w:t>106.656万</w:t>
      </w:r>
      <w:r>
        <w:rPr>
          <w:bCs/>
        </w:rPr>
        <w:t>m</w:t>
      </w:r>
      <w:r>
        <w:rPr>
          <w:bCs/>
          <w:vertAlign w:val="superscript"/>
        </w:rPr>
        <w:t>3</w:t>
      </w:r>
      <w:r>
        <w:rPr>
          <w:bCs/>
        </w:rPr>
        <w:t>/a</w:t>
      </w:r>
      <w:r>
        <w:rPr>
          <w:rFonts w:hint="eastAsia"/>
          <w:bCs/>
        </w:rPr>
        <w:t>（气化后）；则燃气热水锅炉烟气量为14532858.04 N</w:t>
      </w:r>
      <w:r>
        <w:rPr>
          <w:bCs/>
        </w:rPr>
        <w:t>m</w:t>
      </w:r>
      <w:r>
        <w:rPr>
          <w:bCs/>
          <w:vertAlign w:val="superscript"/>
        </w:rPr>
        <w:t>3</w:t>
      </w:r>
      <w:r>
        <w:rPr>
          <w:bCs/>
        </w:rPr>
        <w:t>/a</w:t>
      </w:r>
      <w:r>
        <w:rPr>
          <w:rFonts w:hint="eastAsia"/>
          <w:bCs/>
        </w:rPr>
        <w:t>，3027.7N</w:t>
      </w:r>
      <w:r>
        <w:rPr>
          <w:bCs/>
        </w:rPr>
        <w:t>m</w:t>
      </w:r>
      <w:r>
        <w:rPr>
          <w:bCs/>
          <w:vertAlign w:val="superscript"/>
        </w:rPr>
        <w:t>3</w:t>
      </w:r>
      <w:r>
        <w:rPr>
          <w:bCs/>
        </w:rPr>
        <w:t>/</w:t>
      </w:r>
      <w:r>
        <w:rPr>
          <w:rFonts w:hint="eastAsia"/>
          <w:bCs/>
        </w:rPr>
        <w:t>h。</w:t>
      </w:r>
    </w:p>
    <w:p>
      <w:pPr>
        <w:spacing w:line="480" w:lineRule="exact"/>
        <w:ind w:firstLine="480" w:firstLineChars="200"/>
        <w:rPr>
          <w:b/>
          <w:bCs/>
          <w:sz w:val="24"/>
          <w:szCs w:val="24"/>
        </w:rPr>
      </w:pPr>
      <w:r>
        <w:rPr>
          <w:rFonts w:hint="eastAsia"/>
          <w:b/>
          <w:sz w:val="24"/>
          <w:szCs w:val="24"/>
        </w:rPr>
        <w:t>③</w:t>
      </w:r>
      <w:r>
        <w:rPr>
          <w:rFonts w:hint="eastAsia"/>
          <w:b/>
          <w:bCs/>
          <w:sz w:val="24"/>
          <w:szCs w:val="24"/>
        </w:rPr>
        <w:t>烟尘排放量</w:t>
      </w:r>
    </w:p>
    <w:p>
      <w:pPr>
        <w:pStyle w:val="57"/>
        <w:snapToGrid/>
        <w:spacing w:before="0" w:after="0" w:line="480" w:lineRule="exact"/>
        <w:ind w:firstLine="480"/>
      </w:pPr>
      <w:r>
        <w:rPr>
          <w:rFonts w:hint="eastAsia"/>
        </w:rPr>
        <w:t>《工业源产排污系数手册（2010修订）下册》中工业锅炉（热力生产和供应行业）产排污系数表-燃气工业锅炉中天然气锅炉产污系数中没有烟尘产污系数；液化天然气为清洁能源，在液化过程中</w:t>
      </w:r>
      <w:r>
        <w:rPr>
          <w:rFonts w:hint="eastAsia"/>
          <w:bCs/>
        </w:rPr>
        <w:t>脱除了天然气中的硫化氢、二氧化碳、重烃、水和汞等腐蚀介质和在低温过程中会使设备和管道冻堵的杂质，其烟尘产排量小于天然气烟尘产排量，按天然气烟尘产排量的80%计。根据《北京环境总体规划研究》中对天然气燃烧排污的研究成果确定的排污系数，每燃烧</w:t>
      </w:r>
      <w:r>
        <w:rPr>
          <w:bCs/>
        </w:rPr>
        <w:t>10000m</w:t>
      </w:r>
      <w:r>
        <w:rPr>
          <w:bCs/>
          <w:vertAlign w:val="superscript"/>
        </w:rPr>
        <w:t>3</w:t>
      </w:r>
      <w:r>
        <w:rPr>
          <w:rFonts w:hint="eastAsia"/>
          <w:bCs/>
        </w:rPr>
        <w:t>天然气，产生烟尘</w:t>
      </w:r>
      <w:r>
        <w:rPr>
          <w:bCs/>
        </w:rPr>
        <w:t>1.4kg</w:t>
      </w:r>
      <w:r>
        <w:rPr>
          <w:rFonts w:hint="eastAsia"/>
          <w:bCs/>
        </w:rPr>
        <w:t>；</w:t>
      </w:r>
      <w:r>
        <w:rPr>
          <w:rFonts w:hint="eastAsia"/>
        </w:rPr>
        <w:t>本项目液化天然气使用量为</w:t>
      </w:r>
      <w:r>
        <w:rPr>
          <w:rFonts w:hint="eastAsia"/>
          <w:bCs/>
        </w:rPr>
        <w:t>106.656万</w:t>
      </w:r>
      <w:r>
        <w:rPr>
          <w:bCs/>
        </w:rPr>
        <w:t>m</w:t>
      </w:r>
      <w:r>
        <w:rPr>
          <w:bCs/>
          <w:vertAlign w:val="superscript"/>
        </w:rPr>
        <w:t>3</w:t>
      </w:r>
      <w:r>
        <w:rPr>
          <w:bCs/>
        </w:rPr>
        <w:t>/a</w:t>
      </w:r>
      <w:r>
        <w:rPr>
          <w:rFonts w:hint="eastAsia"/>
          <w:bCs/>
        </w:rPr>
        <w:t>（气化后）；则燃气热水锅炉烟尘产排量为0.12t</w:t>
      </w:r>
      <w:r>
        <w:rPr>
          <w:bCs/>
        </w:rPr>
        <w:t>/a</w:t>
      </w:r>
      <w:r>
        <w:rPr>
          <w:rFonts w:hint="eastAsia"/>
          <w:bCs/>
        </w:rPr>
        <w:t>，0.025kg</w:t>
      </w:r>
      <w:r>
        <w:rPr>
          <w:bCs/>
        </w:rPr>
        <w:t>/</w:t>
      </w:r>
      <w:r>
        <w:rPr>
          <w:rFonts w:hint="eastAsia"/>
          <w:bCs/>
        </w:rPr>
        <w:t>h，8.2mg/Nm</w:t>
      </w:r>
      <w:r>
        <w:rPr>
          <w:rFonts w:hint="eastAsia"/>
          <w:bCs/>
          <w:vertAlign w:val="superscript"/>
        </w:rPr>
        <w:t>3</w:t>
      </w:r>
      <w:r>
        <w:rPr>
          <w:rFonts w:hint="eastAsia"/>
          <w:bCs/>
        </w:rPr>
        <w:t>。</w:t>
      </w:r>
    </w:p>
    <w:p>
      <w:pPr>
        <w:spacing w:line="480" w:lineRule="exact"/>
        <w:ind w:firstLine="480" w:firstLineChars="200"/>
        <w:rPr>
          <w:b/>
          <w:bCs/>
          <w:sz w:val="24"/>
          <w:szCs w:val="24"/>
        </w:rPr>
      </w:pPr>
      <w:r>
        <w:rPr>
          <w:rFonts w:hint="eastAsia"/>
          <w:b/>
          <w:bCs/>
          <w:sz w:val="24"/>
          <w:szCs w:val="24"/>
        </w:rPr>
        <w:t>④二氧化硫排放量</w:t>
      </w:r>
    </w:p>
    <w:p>
      <w:pPr>
        <w:pStyle w:val="57"/>
        <w:snapToGrid/>
        <w:spacing w:before="0" w:after="0" w:line="480" w:lineRule="exact"/>
        <w:ind w:firstLine="480"/>
      </w:pPr>
      <w:r>
        <w:rPr>
          <w:rFonts w:hint="eastAsia"/>
        </w:rPr>
        <w:t>液化天然气为清洁能源，在液化过程中</w:t>
      </w:r>
      <w:r>
        <w:rPr>
          <w:rFonts w:hint="eastAsia"/>
          <w:bCs/>
        </w:rPr>
        <w:t>脱除了天然气中的硫化氢、二氧化碳、重烃、水和汞等腐蚀介质和在低温过程中会使设备和管道冻堵的杂质，其硫含量几乎为零，不再计算其燃烧后二氧化硫的排放量。</w:t>
      </w:r>
    </w:p>
    <w:p>
      <w:pPr>
        <w:spacing w:line="480" w:lineRule="exact"/>
        <w:ind w:firstLine="480" w:firstLineChars="200"/>
        <w:rPr>
          <w:b/>
          <w:bCs/>
          <w:sz w:val="24"/>
          <w:szCs w:val="24"/>
        </w:rPr>
      </w:pPr>
      <w:r>
        <w:rPr>
          <w:rFonts w:hint="eastAsia"/>
          <w:b/>
          <w:bCs/>
          <w:sz w:val="24"/>
          <w:szCs w:val="24"/>
        </w:rPr>
        <w:t>⑤氮氧化物排放量</w:t>
      </w:r>
    </w:p>
    <w:p>
      <w:pPr>
        <w:pStyle w:val="57"/>
        <w:snapToGrid/>
        <w:spacing w:before="0" w:after="0" w:line="480" w:lineRule="exact"/>
        <w:ind w:firstLine="480"/>
      </w:pPr>
      <w:r>
        <w:rPr>
          <w:rFonts w:hint="eastAsia"/>
        </w:rPr>
        <w:t>《工业源产排污系数手册（2010修订）下册》中工业锅炉（热力生产和供应行业）产排污系数表-燃气工业锅炉中天然气锅炉产污系数中氮氧化物产污系数为</w:t>
      </w:r>
      <w:r>
        <w:t>18.71</w:t>
      </w:r>
      <w:r>
        <w:rPr>
          <w:rFonts w:hint="eastAsia"/>
        </w:rPr>
        <w:t>kg/万m</w:t>
      </w:r>
      <w:r>
        <w:rPr>
          <w:rFonts w:hint="eastAsia"/>
          <w:vertAlign w:val="superscript"/>
        </w:rPr>
        <w:t>3</w:t>
      </w:r>
      <w:r>
        <w:rPr>
          <w:rFonts w:hint="eastAsia"/>
        </w:rPr>
        <w:t>-原料，本项目锅炉采用了低氮燃烧技术，</w:t>
      </w:r>
      <w:r>
        <w:rPr>
          <w:rFonts w:hint="eastAsia"/>
          <w:bCs/>
        </w:rPr>
        <w:t>效率取4</w:t>
      </w:r>
      <w:r>
        <w:rPr>
          <w:bCs/>
        </w:rPr>
        <w:t>0%</w:t>
      </w:r>
      <w:r>
        <w:rPr>
          <w:rFonts w:hint="eastAsia"/>
          <w:bCs/>
        </w:rPr>
        <w:t>。</w:t>
      </w:r>
      <w:r>
        <w:rPr>
          <w:rFonts w:hint="eastAsia"/>
        </w:rPr>
        <w:t>本项目液化天然气使用量为</w:t>
      </w:r>
      <w:r>
        <w:rPr>
          <w:rFonts w:hint="eastAsia"/>
          <w:bCs/>
        </w:rPr>
        <w:t>106.656万</w:t>
      </w:r>
      <w:r>
        <w:rPr>
          <w:bCs/>
        </w:rPr>
        <w:t>m</w:t>
      </w:r>
      <w:r>
        <w:rPr>
          <w:bCs/>
          <w:vertAlign w:val="superscript"/>
        </w:rPr>
        <w:t>3</w:t>
      </w:r>
      <w:r>
        <w:rPr>
          <w:bCs/>
        </w:rPr>
        <w:t>/a</w:t>
      </w:r>
      <w:r>
        <w:rPr>
          <w:rFonts w:hint="eastAsia"/>
          <w:bCs/>
        </w:rPr>
        <w:t>（气化后）；则燃气热水锅炉氮氧化物产排量为1.2t</w:t>
      </w:r>
      <w:r>
        <w:rPr>
          <w:bCs/>
        </w:rPr>
        <w:t>/a</w:t>
      </w:r>
      <w:r>
        <w:rPr>
          <w:rFonts w:hint="eastAsia"/>
          <w:bCs/>
        </w:rPr>
        <w:t>，0.25kg</w:t>
      </w:r>
      <w:r>
        <w:rPr>
          <w:bCs/>
        </w:rPr>
        <w:t>/</w:t>
      </w:r>
      <w:r>
        <w:rPr>
          <w:rFonts w:hint="eastAsia"/>
          <w:bCs/>
        </w:rPr>
        <w:t>h，82.4mg/Nm</w:t>
      </w:r>
      <w:r>
        <w:rPr>
          <w:rFonts w:hint="eastAsia"/>
          <w:bCs/>
          <w:vertAlign w:val="superscript"/>
        </w:rPr>
        <w:t>3</w:t>
      </w:r>
      <w:r>
        <w:rPr>
          <w:rFonts w:hint="eastAsia"/>
          <w:bCs/>
        </w:rPr>
        <w:t>。</w:t>
      </w:r>
    </w:p>
    <w:p>
      <w:pPr>
        <w:pStyle w:val="57"/>
        <w:snapToGrid/>
        <w:spacing w:before="0" w:after="0" w:line="480" w:lineRule="exact"/>
        <w:ind w:firstLine="480"/>
      </w:pPr>
      <w:r>
        <w:rPr>
          <w:rFonts w:hint="eastAsia"/>
        </w:rPr>
        <w:t>综上所述，项目投运后燃气热水锅炉废气中颗粒物、氮氧化物污染物排放情况如下：</w:t>
      </w:r>
      <w:bookmarkEnd w:id="58"/>
    </w:p>
    <w:p>
      <w:pPr>
        <w:pStyle w:val="57"/>
        <w:snapToGrid/>
        <w:spacing w:before="0" w:after="0" w:line="480" w:lineRule="exact"/>
        <w:ind w:firstLine="0" w:firstLineChars="0"/>
        <w:jc w:val="center"/>
        <w:rPr>
          <w:rFonts w:ascii="黑体" w:hAnsi="黑体" w:eastAsia="黑体"/>
        </w:rPr>
      </w:pPr>
      <w:r>
        <w:rPr>
          <w:rFonts w:hint="eastAsia" w:ascii="黑体" w:hAnsi="黑体" w:eastAsia="黑体"/>
        </w:rPr>
        <w:t>表3.5-3  燃气热水锅炉污染物排放情况一览表</w:t>
      </w:r>
    </w:p>
    <w:tbl>
      <w:tblPr>
        <w:tblStyle w:val="31"/>
        <w:tblW w:w="8947"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942"/>
        <w:gridCol w:w="1800"/>
        <w:gridCol w:w="2045"/>
        <w:gridCol w:w="992"/>
        <w:gridCol w:w="1134"/>
        <w:gridCol w:w="203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42" w:type="dxa"/>
            <w:vAlign w:val="center"/>
          </w:tcPr>
          <w:p>
            <w:pPr>
              <w:jc w:val="center"/>
              <w:rPr>
                <w:szCs w:val="21"/>
              </w:rPr>
            </w:pPr>
            <w:r>
              <w:rPr>
                <w:rFonts w:hint="eastAsia"/>
                <w:szCs w:val="21"/>
              </w:rPr>
              <w:t>燃料</w:t>
            </w:r>
          </w:p>
        </w:tc>
        <w:tc>
          <w:tcPr>
            <w:tcW w:w="8005" w:type="dxa"/>
            <w:gridSpan w:val="5"/>
            <w:vAlign w:val="center"/>
          </w:tcPr>
          <w:p>
            <w:pPr>
              <w:jc w:val="center"/>
              <w:rPr>
                <w:szCs w:val="21"/>
              </w:rPr>
            </w:pPr>
            <w:r>
              <w:rPr>
                <w:rFonts w:hAnsi="宋体"/>
                <w:szCs w:val="21"/>
              </w:rPr>
              <w:t>项目</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42" w:type="dxa"/>
            <w:vMerge w:val="restart"/>
            <w:vAlign w:val="center"/>
          </w:tcPr>
          <w:p>
            <w:pPr>
              <w:jc w:val="center"/>
              <w:rPr>
                <w:rFonts w:hAnsi="宋体"/>
                <w:szCs w:val="21"/>
              </w:rPr>
            </w:pPr>
            <w:r>
              <w:rPr>
                <w:rFonts w:hint="eastAsia" w:hAnsi="宋体"/>
                <w:szCs w:val="21"/>
              </w:rPr>
              <w:t>液化天然气</w:t>
            </w:r>
          </w:p>
          <w:p>
            <w:pPr>
              <w:jc w:val="center"/>
              <w:rPr>
                <w:szCs w:val="21"/>
              </w:rPr>
            </w:pPr>
            <w:r>
              <w:rPr>
                <w:rFonts w:hint="eastAsia" w:hAnsi="宋体"/>
                <w:szCs w:val="21"/>
              </w:rPr>
              <w:t>L</w:t>
            </w:r>
            <w:r>
              <w:rPr>
                <w:rFonts w:hAnsi="宋体"/>
                <w:szCs w:val="21"/>
              </w:rPr>
              <w:t>NG</w:t>
            </w:r>
          </w:p>
        </w:tc>
        <w:tc>
          <w:tcPr>
            <w:tcW w:w="1800" w:type="dxa"/>
            <w:vAlign w:val="center"/>
          </w:tcPr>
          <w:p>
            <w:pPr>
              <w:jc w:val="center"/>
              <w:rPr>
                <w:szCs w:val="21"/>
              </w:rPr>
            </w:pPr>
            <w:r>
              <w:rPr>
                <w:rFonts w:hAnsi="宋体"/>
                <w:szCs w:val="21"/>
              </w:rPr>
              <w:t>低位发热量</w:t>
            </w:r>
          </w:p>
        </w:tc>
        <w:tc>
          <w:tcPr>
            <w:tcW w:w="6205" w:type="dxa"/>
            <w:gridSpan w:val="4"/>
            <w:vAlign w:val="center"/>
          </w:tcPr>
          <w:p>
            <w:pPr>
              <w:jc w:val="center"/>
              <w:rPr>
                <w:szCs w:val="21"/>
                <w:vertAlign w:val="superscript"/>
              </w:rPr>
            </w:pPr>
            <w:r>
              <w:rPr>
                <w:rFonts w:hint="eastAsia"/>
                <w:szCs w:val="21"/>
              </w:rPr>
              <w:t>37.48MJ/Nm</w:t>
            </w:r>
            <w:r>
              <w:rPr>
                <w:rFonts w:hint="eastAsia"/>
                <w:szCs w:val="21"/>
                <w:vertAlign w:val="superscript"/>
              </w:rPr>
              <w:t>3</w:t>
            </w:r>
            <w:r>
              <w:rPr>
                <w:rFonts w:hint="eastAsia"/>
                <w:szCs w:val="21"/>
              </w:rPr>
              <w:t>（合9000kcal/Nm</w:t>
            </w:r>
            <w:r>
              <w:rPr>
                <w:rFonts w:hint="eastAsia"/>
                <w:szCs w:val="21"/>
                <w:vertAlign w:val="superscript"/>
              </w:rPr>
              <w:t>3</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42" w:type="dxa"/>
            <w:vMerge w:val="continue"/>
            <w:vAlign w:val="center"/>
          </w:tcPr>
          <w:p>
            <w:pPr>
              <w:jc w:val="center"/>
              <w:rPr>
                <w:szCs w:val="21"/>
              </w:rPr>
            </w:pPr>
          </w:p>
        </w:tc>
        <w:tc>
          <w:tcPr>
            <w:tcW w:w="1800" w:type="dxa"/>
            <w:vAlign w:val="center"/>
          </w:tcPr>
          <w:p>
            <w:pPr>
              <w:jc w:val="center"/>
              <w:rPr>
                <w:szCs w:val="21"/>
              </w:rPr>
            </w:pPr>
            <w:r>
              <w:rPr>
                <w:rFonts w:hint="eastAsia"/>
                <w:szCs w:val="21"/>
              </w:rPr>
              <w:t>热水锅炉</w:t>
            </w:r>
          </w:p>
        </w:tc>
        <w:tc>
          <w:tcPr>
            <w:tcW w:w="6205" w:type="dxa"/>
            <w:gridSpan w:val="4"/>
            <w:vAlign w:val="center"/>
          </w:tcPr>
          <w:p>
            <w:pPr>
              <w:jc w:val="center"/>
              <w:rPr>
                <w:szCs w:val="21"/>
              </w:rPr>
            </w:pPr>
            <w:r>
              <w:rPr>
                <w:szCs w:val="21"/>
              </w:rPr>
              <w:t>2.1</w:t>
            </w:r>
            <w:r>
              <w:rPr>
                <w:rFonts w:hint="eastAsia"/>
                <w:szCs w:val="21"/>
              </w:rPr>
              <w:t>MW/台，</w:t>
            </w:r>
            <w:r>
              <w:rPr>
                <w:szCs w:val="21"/>
              </w:rPr>
              <w:t>1</w:t>
            </w:r>
            <w:r>
              <w:rPr>
                <w:rFonts w:hint="eastAsia"/>
                <w:szCs w:val="21"/>
              </w:rPr>
              <w:t>台</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42" w:type="dxa"/>
            <w:vMerge w:val="continue"/>
            <w:vAlign w:val="center"/>
          </w:tcPr>
          <w:p>
            <w:pPr>
              <w:jc w:val="center"/>
              <w:rPr>
                <w:szCs w:val="21"/>
              </w:rPr>
            </w:pPr>
          </w:p>
        </w:tc>
        <w:tc>
          <w:tcPr>
            <w:tcW w:w="1800" w:type="dxa"/>
            <w:vAlign w:val="center"/>
          </w:tcPr>
          <w:p>
            <w:pPr>
              <w:jc w:val="center"/>
              <w:rPr>
                <w:szCs w:val="21"/>
              </w:rPr>
            </w:pPr>
            <w:r>
              <w:rPr>
                <w:rFonts w:hAnsi="宋体"/>
                <w:szCs w:val="21"/>
              </w:rPr>
              <w:t>运行时间</w:t>
            </w:r>
          </w:p>
        </w:tc>
        <w:tc>
          <w:tcPr>
            <w:tcW w:w="6205" w:type="dxa"/>
            <w:gridSpan w:val="4"/>
            <w:vAlign w:val="center"/>
          </w:tcPr>
          <w:p>
            <w:pPr>
              <w:jc w:val="center"/>
              <w:rPr>
                <w:szCs w:val="21"/>
              </w:rPr>
            </w:pPr>
            <w:r>
              <w:rPr>
                <w:rFonts w:hint="eastAsia"/>
                <w:szCs w:val="21"/>
              </w:rPr>
              <w:t>4800</w:t>
            </w:r>
            <w:r>
              <w:rPr>
                <w:szCs w:val="21"/>
              </w:rPr>
              <w:t>h</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42" w:type="dxa"/>
            <w:vMerge w:val="continue"/>
            <w:vAlign w:val="center"/>
          </w:tcPr>
          <w:p>
            <w:pPr>
              <w:jc w:val="center"/>
              <w:rPr>
                <w:szCs w:val="21"/>
              </w:rPr>
            </w:pPr>
          </w:p>
        </w:tc>
        <w:tc>
          <w:tcPr>
            <w:tcW w:w="1800" w:type="dxa"/>
            <w:vAlign w:val="center"/>
          </w:tcPr>
          <w:p>
            <w:pPr>
              <w:jc w:val="center"/>
              <w:rPr>
                <w:szCs w:val="21"/>
              </w:rPr>
            </w:pPr>
            <w:r>
              <w:rPr>
                <w:rFonts w:hint="eastAsia" w:hAnsi="宋体"/>
                <w:szCs w:val="21"/>
              </w:rPr>
              <w:t>消耗</w:t>
            </w:r>
            <w:r>
              <w:rPr>
                <w:rFonts w:hAnsi="宋体"/>
                <w:szCs w:val="21"/>
              </w:rPr>
              <w:t>量</w:t>
            </w:r>
          </w:p>
        </w:tc>
        <w:tc>
          <w:tcPr>
            <w:tcW w:w="3037" w:type="dxa"/>
            <w:gridSpan w:val="2"/>
            <w:tcBorders>
              <w:right w:val="single" w:color="auto" w:sz="4" w:space="0"/>
            </w:tcBorders>
            <w:vAlign w:val="center"/>
          </w:tcPr>
          <w:p>
            <w:pPr>
              <w:jc w:val="center"/>
              <w:rPr>
                <w:szCs w:val="21"/>
              </w:rPr>
            </w:pPr>
            <w:r>
              <w:rPr>
                <w:bCs/>
                <w:szCs w:val="21"/>
              </w:rPr>
              <w:t>222.2N</w:t>
            </w:r>
            <w:r>
              <w:rPr>
                <w:rFonts w:hint="eastAsia"/>
                <w:bCs/>
                <w:szCs w:val="21"/>
              </w:rPr>
              <w:t>m</w:t>
            </w:r>
            <w:r>
              <w:rPr>
                <w:rFonts w:hint="eastAsia"/>
                <w:bCs/>
                <w:szCs w:val="21"/>
                <w:vertAlign w:val="superscript"/>
              </w:rPr>
              <w:t>3</w:t>
            </w:r>
            <w:r>
              <w:rPr>
                <w:rFonts w:hint="eastAsia"/>
                <w:bCs/>
                <w:szCs w:val="21"/>
              </w:rPr>
              <w:t>/h</w:t>
            </w:r>
          </w:p>
        </w:tc>
        <w:tc>
          <w:tcPr>
            <w:tcW w:w="3168" w:type="dxa"/>
            <w:gridSpan w:val="2"/>
            <w:tcBorders>
              <w:left w:val="single" w:color="auto" w:sz="4" w:space="0"/>
            </w:tcBorders>
            <w:vAlign w:val="center"/>
          </w:tcPr>
          <w:p>
            <w:pPr>
              <w:jc w:val="center"/>
              <w:rPr>
                <w:szCs w:val="21"/>
              </w:rPr>
            </w:pPr>
            <w:r>
              <w:rPr>
                <w:rFonts w:hint="eastAsia" w:eastAsiaTheme="minorEastAsia"/>
                <w:bCs/>
              </w:rPr>
              <w:t>106.656</w:t>
            </w:r>
            <w:r>
              <w:rPr>
                <w:rFonts w:hint="eastAsia" w:eastAsiaTheme="minorEastAsia"/>
              </w:rPr>
              <w:t>万</w:t>
            </w:r>
            <w:r>
              <w:rPr>
                <w:szCs w:val="21"/>
              </w:rPr>
              <w:t>m</w:t>
            </w:r>
            <w:r>
              <w:rPr>
                <w:szCs w:val="21"/>
                <w:vertAlign w:val="superscript"/>
              </w:rPr>
              <w:t>3</w:t>
            </w:r>
            <w:r>
              <w:rPr>
                <w:szCs w:val="21"/>
              </w:rPr>
              <w:t>/a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42" w:type="dxa"/>
            <w:vMerge w:val="continue"/>
            <w:vAlign w:val="center"/>
          </w:tcPr>
          <w:p>
            <w:pPr>
              <w:jc w:val="center"/>
              <w:rPr>
                <w:szCs w:val="21"/>
              </w:rPr>
            </w:pPr>
          </w:p>
        </w:tc>
        <w:tc>
          <w:tcPr>
            <w:tcW w:w="1800" w:type="dxa"/>
            <w:vAlign w:val="center"/>
          </w:tcPr>
          <w:p>
            <w:pPr>
              <w:jc w:val="center"/>
              <w:rPr>
                <w:szCs w:val="21"/>
              </w:rPr>
            </w:pPr>
            <w:r>
              <w:rPr>
                <w:rFonts w:hAnsi="宋体"/>
                <w:szCs w:val="21"/>
              </w:rPr>
              <w:t>烟气量（</w:t>
            </w:r>
            <w:r>
              <w:rPr>
                <w:szCs w:val="21"/>
              </w:rPr>
              <w:t>m</w:t>
            </w:r>
            <w:r>
              <w:rPr>
                <w:szCs w:val="21"/>
                <w:vertAlign w:val="superscript"/>
              </w:rPr>
              <w:t>3</w:t>
            </w:r>
            <w:r>
              <w:rPr>
                <w:szCs w:val="21"/>
              </w:rPr>
              <w:t>/h</w:t>
            </w:r>
            <w:r>
              <w:rPr>
                <w:rFonts w:hAnsi="宋体"/>
                <w:szCs w:val="21"/>
              </w:rPr>
              <w:t>）</w:t>
            </w:r>
          </w:p>
        </w:tc>
        <w:tc>
          <w:tcPr>
            <w:tcW w:w="3037" w:type="dxa"/>
            <w:gridSpan w:val="2"/>
            <w:tcBorders>
              <w:right w:val="single" w:color="auto" w:sz="4" w:space="0"/>
            </w:tcBorders>
            <w:vAlign w:val="center"/>
          </w:tcPr>
          <w:p>
            <w:pPr>
              <w:jc w:val="center"/>
              <w:rPr>
                <w:szCs w:val="21"/>
              </w:rPr>
            </w:pPr>
            <w:r>
              <w:rPr>
                <w:rFonts w:hint="eastAsia"/>
                <w:bCs/>
                <w:szCs w:val="21"/>
              </w:rPr>
              <w:t>3027.7</w:t>
            </w:r>
            <w:r>
              <w:rPr>
                <w:szCs w:val="21"/>
              </w:rPr>
              <w:t>m</w:t>
            </w:r>
            <w:r>
              <w:rPr>
                <w:szCs w:val="21"/>
                <w:vertAlign w:val="superscript"/>
              </w:rPr>
              <w:t>3</w:t>
            </w:r>
            <w:r>
              <w:rPr>
                <w:szCs w:val="21"/>
              </w:rPr>
              <w:t>/h</w:t>
            </w:r>
          </w:p>
        </w:tc>
        <w:tc>
          <w:tcPr>
            <w:tcW w:w="3168" w:type="dxa"/>
            <w:gridSpan w:val="2"/>
            <w:tcBorders>
              <w:left w:val="single" w:color="auto" w:sz="4" w:space="0"/>
            </w:tcBorders>
            <w:vAlign w:val="center"/>
          </w:tcPr>
          <w:p>
            <w:pPr>
              <w:jc w:val="center"/>
              <w:rPr>
                <w:szCs w:val="21"/>
              </w:rPr>
            </w:pPr>
            <w:r>
              <w:rPr>
                <w:rFonts w:hint="eastAsia"/>
                <w:bCs/>
                <w:szCs w:val="21"/>
              </w:rPr>
              <w:t>14532858.04</w:t>
            </w:r>
            <w:r>
              <w:rPr>
                <w:szCs w:val="21"/>
              </w:rPr>
              <w:t xml:space="preserve"> m</w:t>
            </w:r>
            <w:r>
              <w:rPr>
                <w:szCs w:val="21"/>
                <w:vertAlign w:val="superscript"/>
              </w:rPr>
              <w:t>3</w:t>
            </w:r>
            <w:r>
              <w:rPr>
                <w:szCs w:val="21"/>
              </w:rPr>
              <w:t>/a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42" w:type="dxa"/>
            <w:vMerge w:val="continue"/>
            <w:vAlign w:val="center"/>
          </w:tcPr>
          <w:p>
            <w:pPr>
              <w:jc w:val="center"/>
              <w:rPr>
                <w:szCs w:val="21"/>
              </w:rPr>
            </w:pPr>
          </w:p>
        </w:tc>
        <w:tc>
          <w:tcPr>
            <w:tcW w:w="1800" w:type="dxa"/>
            <w:vAlign w:val="center"/>
          </w:tcPr>
          <w:p>
            <w:pPr>
              <w:jc w:val="center"/>
              <w:rPr>
                <w:szCs w:val="21"/>
              </w:rPr>
            </w:pPr>
            <w:r>
              <w:rPr>
                <w:rFonts w:hAnsi="宋体"/>
                <w:szCs w:val="21"/>
              </w:rPr>
              <w:t>污染物</w:t>
            </w:r>
          </w:p>
        </w:tc>
        <w:tc>
          <w:tcPr>
            <w:tcW w:w="2045" w:type="dxa"/>
            <w:tcBorders>
              <w:right w:val="single" w:color="auto" w:sz="4" w:space="0"/>
            </w:tcBorders>
            <w:vAlign w:val="center"/>
          </w:tcPr>
          <w:p>
            <w:pPr>
              <w:jc w:val="center"/>
              <w:rPr>
                <w:szCs w:val="21"/>
              </w:rPr>
            </w:pPr>
            <w:r>
              <w:rPr>
                <w:rFonts w:hAnsi="宋体"/>
                <w:szCs w:val="21"/>
              </w:rPr>
              <w:t>产</w:t>
            </w:r>
            <w:r>
              <w:rPr>
                <w:rFonts w:hint="eastAsia" w:hAnsi="宋体"/>
                <w:szCs w:val="21"/>
              </w:rPr>
              <w:t>排</w:t>
            </w:r>
            <w:r>
              <w:rPr>
                <w:rFonts w:hAnsi="宋体"/>
                <w:szCs w:val="21"/>
              </w:rPr>
              <w:t>浓度（</w:t>
            </w:r>
            <w:r>
              <w:rPr>
                <w:szCs w:val="21"/>
              </w:rPr>
              <w:t>mg/m</w:t>
            </w:r>
            <w:r>
              <w:rPr>
                <w:szCs w:val="21"/>
                <w:vertAlign w:val="superscript"/>
              </w:rPr>
              <w:t>3</w:t>
            </w:r>
            <w:r>
              <w:rPr>
                <w:rFonts w:hAnsi="宋体"/>
                <w:szCs w:val="21"/>
              </w:rPr>
              <w:t>）</w:t>
            </w:r>
          </w:p>
        </w:tc>
        <w:tc>
          <w:tcPr>
            <w:tcW w:w="2126" w:type="dxa"/>
            <w:gridSpan w:val="2"/>
            <w:tcBorders>
              <w:left w:val="single" w:color="auto" w:sz="4" w:space="0"/>
              <w:right w:val="single" w:color="auto" w:sz="4" w:space="0"/>
            </w:tcBorders>
            <w:vAlign w:val="center"/>
          </w:tcPr>
          <w:p>
            <w:pPr>
              <w:jc w:val="center"/>
              <w:rPr>
                <w:szCs w:val="21"/>
              </w:rPr>
            </w:pPr>
            <w:r>
              <w:rPr>
                <w:rFonts w:hint="eastAsia"/>
                <w:szCs w:val="21"/>
              </w:rPr>
              <w:t>产排速率</w:t>
            </w:r>
            <w:r>
              <w:rPr>
                <w:rFonts w:hAnsi="宋体"/>
                <w:szCs w:val="21"/>
              </w:rPr>
              <w:t>（</w:t>
            </w:r>
            <w:r>
              <w:rPr>
                <w:rFonts w:hint="eastAsia"/>
                <w:szCs w:val="21"/>
              </w:rPr>
              <w:t>kg</w:t>
            </w:r>
            <w:r>
              <w:rPr>
                <w:szCs w:val="21"/>
              </w:rPr>
              <w:t>/h</w:t>
            </w:r>
            <w:r>
              <w:rPr>
                <w:rFonts w:hAnsi="宋体"/>
                <w:szCs w:val="21"/>
              </w:rPr>
              <w:t>）</w:t>
            </w:r>
          </w:p>
        </w:tc>
        <w:tc>
          <w:tcPr>
            <w:tcW w:w="2034" w:type="dxa"/>
            <w:tcBorders>
              <w:left w:val="single" w:color="auto" w:sz="4" w:space="0"/>
            </w:tcBorders>
            <w:vAlign w:val="center"/>
          </w:tcPr>
          <w:p>
            <w:pPr>
              <w:jc w:val="center"/>
              <w:rPr>
                <w:szCs w:val="21"/>
              </w:rPr>
            </w:pPr>
            <w:r>
              <w:rPr>
                <w:rFonts w:hAnsi="宋体"/>
                <w:szCs w:val="21"/>
              </w:rPr>
              <w:t>产</w:t>
            </w:r>
            <w:r>
              <w:rPr>
                <w:rFonts w:hint="eastAsia" w:hAnsi="宋体"/>
                <w:szCs w:val="21"/>
              </w:rPr>
              <w:t>排</w:t>
            </w:r>
            <w:r>
              <w:rPr>
                <w:rFonts w:hAnsi="宋体"/>
                <w:szCs w:val="21"/>
              </w:rPr>
              <w:t>量（</w:t>
            </w:r>
            <w:r>
              <w:rPr>
                <w:szCs w:val="21"/>
              </w:rPr>
              <w:t>t/a</w:t>
            </w:r>
            <w:r>
              <w:rPr>
                <w:rFonts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42" w:type="dxa"/>
            <w:vMerge w:val="continue"/>
            <w:vAlign w:val="center"/>
          </w:tcPr>
          <w:p>
            <w:pPr>
              <w:jc w:val="center"/>
              <w:rPr>
                <w:szCs w:val="21"/>
              </w:rPr>
            </w:pPr>
          </w:p>
        </w:tc>
        <w:tc>
          <w:tcPr>
            <w:tcW w:w="1800" w:type="dxa"/>
            <w:vAlign w:val="center"/>
          </w:tcPr>
          <w:p>
            <w:pPr>
              <w:jc w:val="center"/>
              <w:rPr>
                <w:szCs w:val="21"/>
              </w:rPr>
            </w:pPr>
            <w:r>
              <w:rPr>
                <w:rFonts w:hint="eastAsia"/>
                <w:szCs w:val="21"/>
              </w:rPr>
              <w:t>烟尘</w:t>
            </w:r>
          </w:p>
        </w:tc>
        <w:tc>
          <w:tcPr>
            <w:tcW w:w="2045" w:type="dxa"/>
            <w:tcBorders>
              <w:right w:val="single" w:color="auto" w:sz="4" w:space="0"/>
            </w:tcBorders>
            <w:vAlign w:val="center"/>
          </w:tcPr>
          <w:p>
            <w:pPr>
              <w:jc w:val="center"/>
              <w:rPr>
                <w:szCs w:val="21"/>
              </w:rPr>
            </w:pPr>
            <w:r>
              <w:rPr>
                <w:szCs w:val="21"/>
              </w:rPr>
              <w:t>8.2</w:t>
            </w:r>
          </w:p>
        </w:tc>
        <w:tc>
          <w:tcPr>
            <w:tcW w:w="2126" w:type="dxa"/>
            <w:gridSpan w:val="2"/>
            <w:tcBorders>
              <w:left w:val="single" w:color="auto" w:sz="4" w:space="0"/>
              <w:right w:val="single" w:color="auto" w:sz="4" w:space="0"/>
            </w:tcBorders>
            <w:vAlign w:val="center"/>
          </w:tcPr>
          <w:p>
            <w:pPr>
              <w:jc w:val="center"/>
              <w:rPr>
                <w:szCs w:val="21"/>
              </w:rPr>
            </w:pPr>
            <w:r>
              <w:rPr>
                <w:szCs w:val="21"/>
              </w:rPr>
              <w:t>0.025</w:t>
            </w:r>
          </w:p>
        </w:tc>
        <w:tc>
          <w:tcPr>
            <w:tcW w:w="2034" w:type="dxa"/>
            <w:tcBorders>
              <w:left w:val="single" w:color="auto" w:sz="4" w:space="0"/>
            </w:tcBorders>
            <w:vAlign w:val="center"/>
          </w:tcPr>
          <w:p>
            <w:pPr>
              <w:jc w:val="center"/>
              <w:rPr>
                <w:szCs w:val="21"/>
              </w:rPr>
            </w:pPr>
            <w:r>
              <w:rPr>
                <w:szCs w:val="21"/>
              </w:rPr>
              <w:t>0.12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42" w:type="dxa"/>
            <w:vMerge w:val="continue"/>
            <w:vAlign w:val="center"/>
          </w:tcPr>
          <w:p>
            <w:pPr>
              <w:jc w:val="center"/>
              <w:rPr>
                <w:szCs w:val="21"/>
              </w:rPr>
            </w:pPr>
          </w:p>
        </w:tc>
        <w:tc>
          <w:tcPr>
            <w:tcW w:w="1800" w:type="dxa"/>
            <w:vAlign w:val="center"/>
          </w:tcPr>
          <w:p>
            <w:pPr>
              <w:jc w:val="center"/>
              <w:rPr>
                <w:szCs w:val="21"/>
              </w:rPr>
            </w:pPr>
            <w:r>
              <w:rPr>
                <w:szCs w:val="21"/>
              </w:rPr>
              <w:t>NO</w:t>
            </w:r>
            <w:r>
              <w:rPr>
                <w:szCs w:val="21"/>
                <w:vertAlign w:val="subscript"/>
              </w:rPr>
              <w:t>x</w:t>
            </w:r>
          </w:p>
        </w:tc>
        <w:tc>
          <w:tcPr>
            <w:tcW w:w="2045" w:type="dxa"/>
            <w:tcBorders>
              <w:right w:val="single" w:color="auto" w:sz="4" w:space="0"/>
            </w:tcBorders>
            <w:vAlign w:val="center"/>
          </w:tcPr>
          <w:p>
            <w:pPr>
              <w:jc w:val="center"/>
              <w:rPr>
                <w:szCs w:val="21"/>
              </w:rPr>
            </w:pPr>
            <w:r>
              <w:rPr>
                <w:szCs w:val="21"/>
              </w:rPr>
              <w:t>82.4</w:t>
            </w:r>
          </w:p>
        </w:tc>
        <w:tc>
          <w:tcPr>
            <w:tcW w:w="2126" w:type="dxa"/>
            <w:gridSpan w:val="2"/>
            <w:tcBorders>
              <w:left w:val="single" w:color="auto" w:sz="4" w:space="0"/>
              <w:right w:val="single" w:color="auto" w:sz="4" w:space="0"/>
            </w:tcBorders>
            <w:vAlign w:val="center"/>
          </w:tcPr>
          <w:p>
            <w:pPr>
              <w:jc w:val="center"/>
              <w:rPr>
                <w:szCs w:val="21"/>
              </w:rPr>
            </w:pPr>
            <w:r>
              <w:rPr>
                <w:szCs w:val="21"/>
              </w:rPr>
              <w:t>0.25</w:t>
            </w:r>
          </w:p>
        </w:tc>
        <w:tc>
          <w:tcPr>
            <w:tcW w:w="2034" w:type="dxa"/>
            <w:tcBorders>
              <w:left w:val="single" w:color="auto" w:sz="4" w:space="0"/>
            </w:tcBorders>
            <w:vAlign w:val="center"/>
          </w:tcPr>
          <w:p>
            <w:pPr>
              <w:jc w:val="center"/>
              <w:rPr>
                <w:szCs w:val="21"/>
              </w:rPr>
            </w:pPr>
            <w:r>
              <w:rPr>
                <w:szCs w:val="21"/>
              </w:rPr>
              <w:t>1.2</w:t>
            </w:r>
          </w:p>
        </w:tc>
      </w:tr>
    </w:tbl>
    <w:p>
      <w:pPr>
        <w:spacing w:line="480" w:lineRule="exact"/>
        <w:ind w:firstLine="480" w:firstLineChars="200"/>
        <w:rPr>
          <w:sz w:val="24"/>
          <w:szCs w:val="24"/>
        </w:rPr>
      </w:pPr>
      <w:bookmarkStart w:id="59" w:name="_Hlk8227139"/>
      <w:r>
        <w:rPr>
          <w:rFonts w:hint="eastAsia"/>
          <w:kern w:val="0"/>
          <w:sz w:val="24"/>
        </w:rPr>
        <w:t>燃液化天然气热水锅炉烟尘排放浓度为</w:t>
      </w:r>
      <w:r>
        <w:rPr>
          <w:kern w:val="0"/>
          <w:sz w:val="24"/>
        </w:rPr>
        <w:t>8.2mg/m</w:t>
      </w:r>
      <w:r>
        <w:rPr>
          <w:kern w:val="0"/>
          <w:sz w:val="24"/>
          <w:vertAlign w:val="superscript"/>
        </w:rPr>
        <w:t>3</w:t>
      </w:r>
      <w:r>
        <w:rPr>
          <w:rFonts w:hint="eastAsia"/>
          <w:kern w:val="0"/>
          <w:sz w:val="24"/>
        </w:rPr>
        <w:t>，排放速率为</w:t>
      </w:r>
      <w:r>
        <w:rPr>
          <w:kern w:val="0"/>
          <w:sz w:val="24"/>
        </w:rPr>
        <w:t>0.025kg/h</w:t>
      </w:r>
      <w:r>
        <w:rPr>
          <w:rFonts w:hint="eastAsia"/>
          <w:kern w:val="0"/>
          <w:sz w:val="24"/>
        </w:rPr>
        <w:t>；</w:t>
      </w:r>
      <w:r>
        <w:rPr>
          <w:kern w:val="0"/>
          <w:sz w:val="24"/>
        </w:rPr>
        <w:t>NO</w:t>
      </w:r>
      <w:r>
        <w:rPr>
          <w:szCs w:val="21"/>
          <w:vertAlign w:val="subscript"/>
        </w:rPr>
        <w:t>x</w:t>
      </w:r>
      <w:r>
        <w:rPr>
          <w:rFonts w:hint="eastAsia"/>
          <w:kern w:val="0"/>
          <w:sz w:val="24"/>
        </w:rPr>
        <w:t>排放浓度为</w:t>
      </w:r>
      <w:r>
        <w:rPr>
          <w:kern w:val="0"/>
          <w:sz w:val="24"/>
        </w:rPr>
        <w:t>82.4mg/m</w:t>
      </w:r>
      <w:r>
        <w:rPr>
          <w:kern w:val="0"/>
          <w:sz w:val="24"/>
          <w:vertAlign w:val="superscript"/>
        </w:rPr>
        <w:t>3</w:t>
      </w:r>
      <w:r>
        <w:rPr>
          <w:rFonts w:hint="eastAsia"/>
          <w:kern w:val="0"/>
          <w:sz w:val="24"/>
        </w:rPr>
        <w:t>，排放速率</w:t>
      </w:r>
      <w:r>
        <w:rPr>
          <w:kern w:val="0"/>
          <w:sz w:val="24"/>
        </w:rPr>
        <w:t>0.25kg/h</w:t>
      </w:r>
      <w:r>
        <w:rPr>
          <w:rFonts w:hint="eastAsia"/>
          <w:kern w:val="0"/>
          <w:sz w:val="24"/>
        </w:rPr>
        <w:t>；燃气热水锅炉废气经2</w:t>
      </w:r>
      <w:r>
        <w:rPr>
          <w:kern w:val="0"/>
          <w:sz w:val="24"/>
        </w:rPr>
        <w:t>0m</w:t>
      </w:r>
      <w:r>
        <w:rPr>
          <w:rFonts w:hint="eastAsia"/>
          <w:kern w:val="0"/>
          <w:sz w:val="24"/>
        </w:rPr>
        <w:t>高的排气筒排放，排放的各类污染物均能满足《锅炉大气污染物排放标准》（</w:t>
      </w:r>
      <w:r>
        <w:rPr>
          <w:kern w:val="0"/>
          <w:sz w:val="24"/>
        </w:rPr>
        <w:t>GBl3271-2014</w:t>
      </w:r>
      <w:r>
        <w:rPr>
          <w:rFonts w:hint="eastAsia"/>
          <w:kern w:val="0"/>
          <w:sz w:val="24"/>
        </w:rPr>
        <w:t>）中新建燃气锅炉烟尘</w:t>
      </w:r>
      <w:r>
        <w:rPr>
          <w:kern w:val="0"/>
          <w:sz w:val="24"/>
        </w:rPr>
        <w:t>20mg/m</w:t>
      </w:r>
      <w:r>
        <w:rPr>
          <w:kern w:val="0"/>
          <w:sz w:val="24"/>
          <w:vertAlign w:val="superscript"/>
        </w:rPr>
        <w:t>3</w:t>
      </w:r>
      <w:r>
        <w:rPr>
          <w:rFonts w:hint="eastAsia"/>
          <w:kern w:val="0"/>
          <w:sz w:val="24"/>
        </w:rPr>
        <w:t>、</w:t>
      </w:r>
      <w:r>
        <w:rPr>
          <w:kern w:val="0"/>
          <w:sz w:val="24"/>
        </w:rPr>
        <w:t>NO</w:t>
      </w:r>
      <w:r>
        <w:rPr>
          <w:szCs w:val="21"/>
          <w:vertAlign w:val="subscript"/>
        </w:rPr>
        <w:t>x</w:t>
      </w:r>
      <w:r>
        <w:rPr>
          <w:kern w:val="0"/>
          <w:sz w:val="24"/>
        </w:rPr>
        <w:t>150mg/m</w:t>
      </w:r>
      <w:r>
        <w:rPr>
          <w:kern w:val="0"/>
          <w:sz w:val="24"/>
          <w:vertAlign w:val="superscript"/>
        </w:rPr>
        <w:t>3</w:t>
      </w:r>
      <w:r>
        <w:rPr>
          <w:rFonts w:hint="eastAsia"/>
          <w:kern w:val="0"/>
          <w:sz w:val="24"/>
        </w:rPr>
        <w:t>排放标准要求。</w:t>
      </w:r>
      <w:bookmarkEnd w:id="59"/>
    </w:p>
    <w:p>
      <w:pPr>
        <w:spacing w:line="480" w:lineRule="exact"/>
        <w:rPr>
          <w:b/>
          <w:bCs/>
          <w:sz w:val="24"/>
        </w:rPr>
      </w:pPr>
      <w:r>
        <w:rPr>
          <w:rFonts w:hint="eastAsia"/>
          <w:b/>
          <w:bCs/>
          <w:sz w:val="24"/>
        </w:rPr>
        <w:t>3、</w:t>
      </w:r>
      <w:r>
        <w:rPr>
          <w:rFonts w:hAnsi="宋体"/>
          <w:b/>
          <w:bCs/>
          <w:sz w:val="24"/>
        </w:rPr>
        <w:t>大气污染物</w:t>
      </w:r>
      <w:r>
        <w:rPr>
          <w:rFonts w:hint="eastAsia" w:hAnsi="宋体"/>
          <w:b/>
          <w:bCs/>
          <w:sz w:val="24"/>
        </w:rPr>
        <w:t>产排</w:t>
      </w:r>
      <w:r>
        <w:rPr>
          <w:rFonts w:hAnsi="宋体"/>
          <w:b/>
          <w:bCs/>
          <w:sz w:val="24"/>
        </w:rPr>
        <w:t>量</w:t>
      </w:r>
      <w:r>
        <w:rPr>
          <w:rFonts w:hint="eastAsia" w:hAnsi="宋体"/>
          <w:b/>
          <w:bCs/>
          <w:sz w:val="24"/>
        </w:rPr>
        <w:t>汇总</w:t>
      </w:r>
    </w:p>
    <w:p>
      <w:pPr>
        <w:spacing w:line="480" w:lineRule="exact"/>
        <w:ind w:firstLine="480" w:firstLineChars="200"/>
        <w:rPr>
          <w:sz w:val="24"/>
        </w:rPr>
      </w:pPr>
      <w:r>
        <w:rPr>
          <w:sz w:val="24"/>
        </w:rPr>
        <w:t>本</w:t>
      </w:r>
      <w:r>
        <w:rPr>
          <w:rFonts w:hint="eastAsia"/>
          <w:sz w:val="24"/>
        </w:rPr>
        <w:t>项目</w:t>
      </w:r>
      <w:r>
        <w:rPr>
          <w:sz w:val="24"/>
        </w:rPr>
        <w:t>运行期</w:t>
      </w:r>
      <w:r>
        <w:rPr>
          <w:rFonts w:hint="eastAsia"/>
          <w:sz w:val="24"/>
        </w:rPr>
        <w:t>大气</w:t>
      </w:r>
      <w:r>
        <w:rPr>
          <w:sz w:val="24"/>
        </w:rPr>
        <w:t>污染物排放清单一览表详见表</w:t>
      </w:r>
      <w:r>
        <w:rPr>
          <w:rFonts w:hint="eastAsia"/>
          <w:sz w:val="24"/>
        </w:rPr>
        <w:t>3.5-4</w:t>
      </w:r>
      <w:r>
        <w:rPr>
          <w:sz w:val="24"/>
        </w:rPr>
        <w:t>。</w:t>
      </w:r>
    </w:p>
    <w:p>
      <w:pPr>
        <w:spacing w:line="480" w:lineRule="exact"/>
        <w:ind w:firstLine="480" w:firstLineChars="200"/>
        <w:rPr>
          <w:sz w:val="24"/>
        </w:rPr>
        <w:sectPr>
          <w:headerReference r:id="rId8" w:type="default"/>
          <w:pgSz w:w="11906" w:h="16838"/>
          <w:pgMar w:top="1418" w:right="1531" w:bottom="1418" w:left="1531" w:header="851" w:footer="992" w:gutter="0"/>
          <w:cols w:space="425" w:num="1"/>
          <w:docGrid w:type="linesAndChars" w:linePitch="312" w:charSpace="0"/>
        </w:sectPr>
      </w:pPr>
    </w:p>
    <w:p>
      <w:pPr>
        <w:pStyle w:val="117"/>
        <w:spacing w:line="460" w:lineRule="exact"/>
        <w:jc w:val="center"/>
        <w:rPr>
          <w:rFonts w:ascii="黑体" w:hAnsi="黑体" w:eastAsia="黑体"/>
          <w:color w:val="auto"/>
        </w:rPr>
      </w:pPr>
      <w:r>
        <w:rPr>
          <w:rFonts w:ascii="黑体" w:hAnsi="黑体" w:eastAsia="黑体"/>
          <w:color w:val="auto"/>
        </w:rPr>
        <w:t>表</w:t>
      </w:r>
      <w:r>
        <w:rPr>
          <w:rFonts w:hint="eastAsia" w:ascii="黑体" w:hAnsi="黑体" w:eastAsia="黑体"/>
          <w:color w:val="auto"/>
        </w:rPr>
        <w:t>3.5-4</w:t>
      </w:r>
      <w:r>
        <w:rPr>
          <w:rFonts w:ascii="黑体" w:hAnsi="黑体" w:eastAsia="黑体"/>
          <w:color w:val="auto"/>
        </w:rPr>
        <w:t xml:space="preserve">  运营期大气污染物排放清单一览表</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613"/>
        <w:gridCol w:w="1095"/>
        <w:gridCol w:w="1232"/>
        <w:gridCol w:w="1272"/>
        <w:gridCol w:w="1004"/>
        <w:gridCol w:w="2855"/>
        <w:gridCol w:w="1456"/>
        <w:gridCol w:w="1109"/>
        <w:gridCol w:w="949"/>
        <w:gridCol w:w="955"/>
        <w:gridCol w:w="10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2" w:type="pct"/>
            <w:gridSpan w:val="2"/>
            <w:vAlign w:val="center"/>
          </w:tcPr>
          <w:p>
            <w:pPr>
              <w:tabs>
                <w:tab w:val="left" w:pos="7470"/>
              </w:tabs>
              <w:jc w:val="center"/>
              <w:rPr>
                <w:szCs w:val="21"/>
              </w:rPr>
            </w:pPr>
            <w:bookmarkStart w:id="60" w:name="_Hlk8227276"/>
            <w:r>
              <w:rPr>
                <w:szCs w:val="21"/>
              </w:rPr>
              <w:t>污染源</w:t>
            </w:r>
          </w:p>
        </w:tc>
        <w:tc>
          <w:tcPr>
            <w:tcW w:w="394" w:type="pct"/>
            <w:vMerge w:val="restart"/>
            <w:vAlign w:val="center"/>
          </w:tcPr>
          <w:p>
            <w:pPr>
              <w:tabs>
                <w:tab w:val="left" w:pos="7470"/>
              </w:tabs>
              <w:jc w:val="center"/>
              <w:rPr>
                <w:szCs w:val="21"/>
              </w:rPr>
            </w:pPr>
            <w:r>
              <w:rPr>
                <w:rFonts w:hint="eastAsia"/>
                <w:szCs w:val="21"/>
              </w:rPr>
              <w:t>排放位置</w:t>
            </w:r>
          </w:p>
        </w:tc>
        <w:tc>
          <w:tcPr>
            <w:tcW w:w="443" w:type="pct"/>
            <w:vMerge w:val="restart"/>
            <w:vAlign w:val="center"/>
          </w:tcPr>
          <w:p>
            <w:pPr>
              <w:tabs>
                <w:tab w:val="left" w:pos="7470"/>
              </w:tabs>
              <w:jc w:val="center"/>
              <w:rPr>
                <w:szCs w:val="21"/>
              </w:rPr>
            </w:pPr>
            <w:r>
              <w:rPr>
                <w:szCs w:val="21"/>
              </w:rPr>
              <w:t>污染物</w:t>
            </w:r>
          </w:p>
        </w:tc>
        <w:tc>
          <w:tcPr>
            <w:tcW w:w="800" w:type="pct"/>
            <w:gridSpan w:val="2"/>
            <w:vAlign w:val="center"/>
          </w:tcPr>
          <w:p>
            <w:pPr>
              <w:tabs>
                <w:tab w:val="left" w:pos="7470"/>
              </w:tabs>
              <w:jc w:val="center"/>
              <w:rPr>
                <w:szCs w:val="21"/>
              </w:rPr>
            </w:pPr>
            <w:r>
              <w:rPr>
                <w:szCs w:val="21"/>
              </w:rPr>
              <w:t>污染物产生量</w:t>
            </w:r>
          </w:p>
        </w:tc>
        <w:tc>
          <w:tcPr>
            <w:tcW w:w="1023" w:type="pct"/>
            <w:vMerge w:val="restart"/>
            <w:vAlign w:val="center"/>
          </w:tcPr>
          <w:p>
            <w:pPr>
              <w:tabs>
                <w:tab w:val="left" w:pos="7470"/>
              </w:tabs>
              <w:jc w:val="center"/>
              <w:rPr>
                <w:szCs w:val="21"/>
              </w:rPr>
            </w:pPr>
            <w:r>
              <w:rPr>
                <w:szCs w:val="21"/>
              </w:rPr>
              <w:t>污染物治理措施</w:t>
            </w:r>
          </w:p>
        </w:tc>
        <w:tc>
          <w:tcPr>
            <w:tcW w:w="913" w:type="pct"/>
            <w:gridSpan w:val="2"/>
            <w:vAlign w:val="center"/>
          </w:tcPr>
          <w:p>
            <w:pPr>
              <w:tabs>
                <w:tab w:val="left" w:pos="7470"/>
              </w:tabs>
              <w:jc w:val="center"/>
              <w:rPr>
                <w:szCs w:val="21"/>
              </w:rPr>
            </w:pPr>
            <w:r>
              <w:rPr>
                <w:szCs w:val="21"/>
              </w:rPr>
              <w:t>污染物排放量</w:t>
            </w:r>
          </w:p>
        </w:tc>
        <w:tc>
          <w:tcPr>
            <w:tcW w:w="1055" w:type="pct"/>
            <w:gridSpan w:val="3"/>
            <w:vAlign w:val="center"/>
          </w:tcPr>
          <w:p>
            <w:pPr>
              <w:tabs>
                <w:tab w:val="left" w:pos="7470"/>
              </w:tabs>
              <w:spacing w:line="360" w:lineRule="exact"/>
              <w:jc w:val="center"/>
              <w:rPr>
                <w:szCs w:val="21"/>
              </w:rPr>
            </w:pPr>
            <w:r>
              <w:rPr>
                <w:rFonts w:hint="eastAsia"/>
                <w:szCs w:val="21"/>
              </w:rPr>
              <w:t>排放参数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tabs>
                <w:tab w:val="left" w:pos="7470"/>
              </w:tabs>
              <w:jc w:val="center"/>
              <w:rPr>
                <w:szCs w:val="21"/>
              </w:rPr>
            </w:pPr>
            <w:r>
              <w:rPr>
                <w:szCs w:val="21"/>
              </w:rPr>
              <w:t>编号</w:t>
            </w:r>
          </w:p>
        </w:tc>
        <w:tc>
          <w:tcPr>
            <w:tcW w:w="222" w:type="pct"/>
            <w:vAlign w:val="center"/>
          </w:tcPr>
          <w:p>
            <w:pPr>
              <w:tabs>
                <w:tab w:val="left" w:pos="7470"/>
              </w:tabs>
              <w:jc w:val="center"/>
              <w:rPr>
                <w:szCs w:val="21"/>
              </w:rPr>
            </w:pPr>
            <w:r>
              <w:rPr>
                <w:szCs w:val="21"/>
              </w:rPr>
              <w:t>名称</w:t>
            </w:r>
          </w:p>
        </w:tc>
        <w:tc>
          <w:tcPr>
            <w:tcW w:w="394" w:type="pct"/>
            <w:vMerge w:val="continue"/>
            <w:vAlign w:val="center"/>
          </w:tcPr>
          <w:p>
            <w:pPr>
              <w:tabs>
                <w:tab w:val="left" w:pos="7470"/>
              </w:tabs>
              <w:jc w:val="center"/>
              <w:rPr>
                <w:szCs w:val="21"/>
              </w:rPr>
            </w:pPr>
          </w:p>
        </w:tc>
        <w:tc>
          <w:tcPr>
            <w:tcW w:w="443" w:type="pct"/>
            <w:vMerge w:val="continue"/>
            <w:vAlign w:val="center"/>
          </w:tcPr>
          <w:p>
            <w:pPr>
              <w:tabs>
                <w:tab w:val="left" w:pos="7470"/>
              </w:tabs>
              <w:jc w:val="center"/>
              <w:rPr>
                <w:szCs w:val="21"/>
              </w:rPr>
            </w:pPr>
          </w:p>
        </w:tc>
        <w:tc>
          <w:tcPr>
            <w:tcW w:w="447" w:type="pct"/>
            <w:vAlign w:val="center"/>
          </w:tcPr>
          <w:p>
            <w:pPr>
              <w:keepNext/>
              <w:keepLines/>
              <w:tabs>
                <w:tab w:val="left" w:pos="7470"/>
              </w:tabs>
              <w:jc w:val="center"/>
              <w:rPr>
                <w:szCs w:val="21"/>
              </w:rPr>
            </w:pPr>
            <w:r>
              <w:rPr>
                <w:rFonts w:hint="eastAsia"/>
                <w:szCs w:val="21"/>
              </w:rPr>
              <w:t>产生</w:t>
            </w:r>
            <w:r>
              <w:rPr>
                <w:szCs w:val="21"/>
              </w:rPr>
              <w:t>浓度</w:t>
            </w:r>
            <w:r>
              <w:rPr>
                <w:rFonts w:hint="eastAsia"/>
                <w:szCs w:val="21"/>
              </w:rPr>
              <w:t>/速率</w:t>
            </w:r>
          </w:p>
        </w:tc>
        <w:tc>
          <w:tcPr>
            <w:tcW w:w="353" w:type="pct"/>
            <w:vAlign w:val="center"/>
          </w:tcPr>
          <w:p>
            <w:pPr>
              <w:tabs>
                <w:tab w:val="left" w:pos="7470"/>
              </w:tabs>
              <w:jc w:val="center"/>
              <w:rPr>
                <w:szCs w:val="21"/>
              </w:rPr>
            </w:pPr>
            <w:r>
              <w:rPr>
                <w:szCs w:val="21"/>
              </w:rPr>
              <w:t>产生量</w:t>
            </w:r>
          </w:p>
          <w:p>
            <w:pPr>
              <w:tabs>
                <w:tab w:val="left" w:pos="7470"/>
              </w:tabs>
              <w:jc w:val="center"/>
              <w:rPr>
                <w:szCs w:val="21"/>
              </w:rPr>
            </w:pPr>
            <w:r>
              <w:rPr>
                <w:szCs w:val="21"/>
              </w:rPr>
              <w:t>（t/a）</w:t>
            </w:r>
          </w:p>
        </w:tc>
        <w:tc>
          <w:tcPr>
            <w:tcW w:w="1023" w:type="pct"/>
            <w:vMerge w:val="continue"/>
            <w:vAlign w:val="center"/>
          </w:tcPr>
          <w:p>
            <w:pPr>
              <w:tabs>
                <w:tab w:val="left" w:pos="7470"/>
              </w:tabs>
              <w:jc w:val="center"/>
              <w:rPr>
                <w:szCs w:val="21"/>
              </w:rPr>
            </w:pPr>
          </w:p>
        </w:tc>
        <w:tc>
          <w:tcPr>
            <w:tcW w:w="523" w:type="pct"/>
            <w:vAlign w:val="center"/>
          </w:tcPr>
          <w:p>
            <w:pPr>
              <w:tabs>
                <w:tab w:val="left" w:pos="7470"/>
              </w:tabs>
              <w:jc w:val="center"/>
              <w:rPr>
                <w:szCs w:val="21"/>
              </w:rPr>
            </w:pPr>
            <w:r>
              <w:rPr>
                <w:szCs w:val="21"/>
              </w:rPr>
              <w:t>排放浓度</w:t>
            </w:r>
            <w:r>
              <w:rPr>
                <w:rFonts w:hint="eastAsia"/>
                <w:szCs w:val="21"/>
              </w:rPr>
              <w:t>/速率</w:t>
            </w:r>
          </w:p>
        </w:tc>
        <w:tc>
          <w:tcPr>
            <w:tcW w:w="390" w:type="pct"/>
            <w:vAlign w:val="center"/>
          </w:tcPr>
          <w:p>
            <w:pPr>
              <w:tabs>
                <w:tab w:val="left" w:pos="7470"/>
              </w:tabs>
              <w:jc w:val="center"/>
              <w:rPr>
                <w:szCs w:val="21"/>
              </w:rPr>
            </w:pPr>
            <w:r>
              <w:rPr>
                <w:szCs w:val="21"/>
              </w:rPr>
              <w:t>排放量</w:t>
            </w:r>
          </w:p>
          <w:p>
            <w:pPr>
              <w:tabs>
                <w:tab w:val="left" w:pos="7470"/>
              </w:tabs>
              <w:jc w:val="center"/>
              <w:rPr>
                <w:szCs w:val="21"/>
              </w:rPr>
            </w:pPr>
            <w:r>
              <w:rPr>
                <w:szCs w:val="21"/>
              </w:rPr>
              <w:t>（t/a）</w:t>
            </w:r>
          </w:p>
        </w:tc>
        <w:tc>
          <w:tcPr>
            <w:tcW w:w="342" w:type="pct"/>
            <w:vAlign w:val="center"/>
          </w:tcPr>
          <w:p>
            <w:pPr>
              <w:tabs>
                <w:tab w:val="left" w:pos="7470"/>
              </w:tabs>
              <w:spacing w:line="0" w:lineRule="atLeast"/>
              <w:jc w:val="center"/>
              <w:rPr>
                <w:szCs w:val="21"/>
              </w:rPr>
            </w:pPr>
            <w:r>
              <w:rPr>
                <w:szCs w:val="21"/>
              </w:rPr>
              <w:t>风量</w:t>
            </w:r>
          </w:p>
          <w:p>
            <w:pPr>
              <w:tabs>
                <w:tab w:val="left" w:pos="7470"/>
              </w:tabs>
              <w:spacing w:line="0" w:lineRule="atLeast"/>
              <w:jc w:val="center"/>
              <w:rPr>
                <w:szCs w:val="21"/>
              </w:rPr>
            </w:pPr>
            <w:r>
              <w:rPr>
                <w:szCs w:val="21"/>
              </w:rPr>
              <w:t>m</w:t>
            </w:r>
            <w:r>
              <w:rPr>
                <w:szCs w:val="21"/>
                <w:vertAlign w:val="superscript"/>
              </w:rPr>
              <w:t>3</w:t>
            </w:r>
            <w:r>
              <w:rPr>
                <w:szCs w:val="21"/>
              </w:rPr>
              <w:t>/h</w:t>
            </w:r>
          </w:p>
        </w:tc>
        <w:tc>
          <w:tcPr>
            <w:tcW w:w="344" w:type="pct"/>
            <w:vAlign w:val="center"/>
          </w:tcPr>
          <w:p>
            <w:pPr>
              <w:tabs>
                <w:tab w:val="left" w:pos="7470"/>
              </w:tabs>
              <w:spacing w:line="0" w:lineRule="atLeast"/>
              <w:jc w:val="center"/>
              <w:rPr>
                <w:szCs w:val="21"/>
              </w:rPr>
            </w:pPr>
            <w:r>
              <w:rPr>
                <w:szCs w:val="21"/>
              </w:rPr>
              <w:t>排放</w:t>
            </w:r>
          </w:p>
          <w:p>
            <w:pPr>
              <w:tabs>
                <w:tab w:val="left" w:pos="7470"/>
              </w:tabs>
              <w:spacing w:line="0" w:lineRule="atLeast"/>
              <w:jc w:val="center"/>
              <w:rPr>
                <w:szCs w:val="21"/>
              </w:rPr>
            </w:pPr>
            <w:r>
              <w:rPr>
                <w:szCs w:val="21"/>
              </w:rPr>
              <w:t>时间h/a</w:t>
            </w:r>
          </w:p>
        </w:tc>
        <w:tc>
          <w:tcPr>
            <w:tcW w:w="369" w:type="pct"/>
            <w:vAlign w:val="center"/>
          </w:tcPr>
          <w:p>
            <w:pPr>
              <w:tabs>
                <w:tab w:val="left" w:pos="7470"/>
              </w:tabs>
              <w:spacing w:line="0" w:lineRule="atLeast"/>
              <w:jc w:val="center"/>
              <w:rPr>
                <w:szCs w:val="21"/>
              </w:rPr>
            </w:pPr>
            <w:r>
              <w:rPr>
                <w:rFonts w:hint="eastAsia"/>
                <w:szCs w:val="21"/>
              </w:rPr>
              <w:t>排放形式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vAlign w:val="center"/>
          </w:tcPr>
          <w:p>
            <w:pPr>
              <w:tabs>
                <w:tab w:val="left" w:pos="7470"/>
              </w:tabs>
              <w:jc w:val="center"/>
              <w:rPr>
                <w:szCs w:val="21"/>
              </w:rPr>
            </w:pPr>
            <w:r>
              <w:rPr>
                <w:szCs w:val="21"/>
              </w:rPr>
              <w:t>废气</w:t>
            </w:r>
          </w:p>
        </w:tc>
        <w:tc>
          <w:tcPr>
            <w:tcW w:w="222" w:type="pct"/>
            <w:vMerge w:val="restart"/>
            <w:vAlign w:val="center"/>
          </w:tcPr>
          <w:p>
            <w:pPr>
              <w:tabs>
                <w:tab w:val="left" w:pos="7470"/>
              </w:tabs>
              <w:jc w:val="center"/>
              <w:rPr>
                <w:szCs w:val="21"/>
              </w:rPr>
            </w:pPr>
            <w:r>
              <w:rPr>
                <w:rFonts w:hint="eastAsia"/>
                <w:szCs w:val="21"/>
              </w:rPr>
              <w:t>恶臭</w:t>
            </w:r>
          </w:p>
        </w:tc>
        <w:tc>
          <w:tcPr>
            <w:tcW w:w="394" w:type="pct"/>
            <w:vMerge w:val="restart"/>
            <w:vAlign w:val="center"/>
          </w:tcPr>
          <w:p>
            <w:pPr>
              <w:tabs>
                <w:tab w:val="left" w:pos="7470"/>
              </w:tabs>
              <w:jc w:val="center"/>
              <w:rPr>
                <w:szCs w:val="21"/>
              </w:rPr>
            </w:pPr>
            <w:r>
              <w:rPr>
                <w:rFonts w:hint="eastAsia"/>
                <w:szCs w:val="21"/>
              </w:rPr>
              <w:t>鸡舍</w:t>
            </w:r>
          </w:p>
        </w:tc>
        <w:tc>
          <w:tcPr>
            <w:tcW w:w="443" w:type="pct"/>
            <w:vAlign w:val="center"/>
          </w:tcPr>
          <w:p>
            <w:pPr>
              <w:tabs>
                <w:tab w:val="left" w:pos="7470"/>
              </w:tabs>
              <w:jc w:val="center"/>
              <w:rPr>
                <w:szCs w:val="21"/>
              </w:rPr>
            </w:pPr>
            <w:r>
              <w:rPr>
                <w:rFonts w:hint="eastAsia"/>
                <w:szCs w:val="21"/>
              </w:rPr>
              <w:t>NH</w:t>
            </w:r>
            <w:r>
              <w:rPr>
                <w:rFonts w:hint="eastAsia"/>
                <w:szCs w:val="21"/>
                <w:vertAlign w:val="subscript"/>
              </w:rPr>
              <w:t>3</w:t>
            </w:r>
          </w:p>
        </w:tc>
        <w:tc>
          <w:tcPr>
            <w:tcW w:w="447" w:type="pct"/>
            <w:vAlign w:val="center"/>
          </w:tcPr>
          <w:p>
            <w:pPr>
              <w:tabs>
                <w:tab w:val="left" w:pos="7470"/>
              </w:tabs>
              <w:jc w:val="center"/>
              <w:rPr>
                <w:szCs w:val="21"/>
              </w:rPr>
            </w:pPr>
            <w:r>
              <w:rPr>
                <w:rFonts w:hint="eastAsia"/>
                <w:szCs w:val="21"/>
              </w:rPr>
              <w:t>/</w:t>
            </w:r>
          </w:p>
        </w:tc>
        <w:tc>
          <w:tcPr>
            <w:tcW w:w="353" w:type="pct"/>
            <w:vAlign w:val="center"/>
          </w:tcPr>
          <w:p>
            <w:pPr>
              <w:tabs>
                <w:tab w:val="left" w:pos="7470"/>
              </w:tabs>
              <w:jc w:val="center"/>
              <w:rPr>
                <w:szCs w:val="21"/>
              </w:rPr>
            </w:pPr>
            <w:r>
              <w:rPr>
                <w:rFonts w:hint="eastAsia"/>
                <w:szCs w:val="21"/>
              </w:rPr>
              <w:t>/</w:t>
            </w:r>
          </w:p>
        </w:tc>
        <w:tc>
          <w:tcPr>
            <w:tcW w:w="1023" w:type="pct"/>
            <w:vMerge w:val="restart"/>
            <w:vAlign w:val="center"/>
          </w:tcPr>
          <w:p>
            <w:pPr>
              <w:tabs>
                <w:tab w:val="left" w:pos="7470"/>
              </w:tabs>
              <w:jc w:val="center"/>
              <w:rPr>
                <w:szCs w:val="21"/>
              </w:rPr>
            </w:pPr>
            <w:r>
              <w:rPr>
                <w:rFonts w:hint="eastAsia"/>
                <w:szCs w:val="21"/>
              </w:rPr>
              <w:t>采用干清粪技术，及时清粪；加强鸡舍通风；定期喷洒除臭剂；合理调配饲料，饲料中添加</w:t>
            </w:r>
            <w:r>
              <w:rPr>
                <w:szCs w:val="21"/>
              </w:rPr>
              <w:t>EM</w:t>
            </w:r>
            <w:r>
              <w:rPr>
                <w:rFonts w:hint="eastAsia"/>
                <w:szCs w:val="21"/>
              </w:rPr>
              <w:t>菌，</w:t>
            </w:r>
            <w:r>
              <w:rPr>
                <w:rFonts w:hint="eastAsia"/>
                <w:snapToGrid w:val="0"/>
              </w:rPr>
              <w:t>同时加强场区内绿化管理</w:t>
            </w:r>
            <w:r>
              <w:rPr>
                <w:rFonts w:hint="eastAsia"/>
                <w:szCs w:val="21"/>
              </w:rPr>
              <w:t>。</w:t>
            </w:r>
          </w:p>
        </w:tc>
        <w:tc>
          <w:tcPr>
            <w:tcW w:w="523" w:type="pct"/>
            <w:vAlign w:val="center"/>
          </w:tcPr>
          <w:p>
            <w:pPr>
              <w:tabs>
                <w:tab w:val="left" w:pos="7470"/>
              </w:tabs>
              <w:jc w:val="center"/>
              <w:rPr>
                <w:szCs w:val="21"/>
              </w:rPr>
            </w:pPr>
            <w:r>
              <w:rPr>
                <w:szCs w:val="21"/>
              </w:rPr>
              <w:t>0.0</w:t>
            </w:r>
            <w:r>
              <w:rPr>
                <w:rFonts w:hint="eastAsia"/>
                <w:szCs w:val="21"/>
              </w:rPr>
              <w:t>32</w:t>
            </w:r>
            <w:r>
              <w:rPr>
                <w:szCs w:val="21"/>
              </w:rPr>
              <w:t>kg/h</w:t>
            </w:r>
          </w:p>
        </w:tc>
        <w:tc>
          <w:tcPr>
            <w:tcW w:w="390" w:type="pct"/>
            <w:vAlign w:val="center"/>
          </w:tcPr>
          <w:p>
            <w:pPr>
              <w:tabs>
                <w:tab w:val="left" w:pos="7470"/>
              </w:tabs>
              <w:jc w:val="center"/>
              <w:rPr>
                <w:szCs w:val="21"/>
              </w:rPr>
            </w:pPr>
            <w:r>
              <w:rPr>
                <w:rFonts w:hint="eastAsia"/>
                <w:szCs w:val="21"/>
              </w:rPr>
              <w:t>0.206</w:t>
            </w:r>
          </w:p>
        </w:tc>
        <w:tc>
          <w:tcPr>
            <w:tcW w:w="342" w:type="pct"/>
            <w:vMerge w:val="restart"/>
            <w:vAlign w:val="center"/>
          </w:tcPr>
          <w:p>
            <w:pPr>
              <w:tabs>
                <w:tab w:val="left" w:pos="7470"/>
              </w:tabs>
              <w:spacing w:line="0" w:lineRule="atLeast"/>
              <w:jc w:val="center"/>
              <w:rPr>
                <w:szCs w:val="21"/>
              </w:rPr>
            </w:pPr>
            <w:r>
              <w:rPr>
                <w:rFonts w:hint="eastAsia"/>
                <w:szCs w:val="21"/>
              </w:rPr>
              <w:t>/</w:t>
            </w:r>
          </w:p>
        </w:tc>
        <w:tc>
          <w:tcPr>
            <w:tcW w:w="344" w:type="pct"/>
            <w:vMerge w:val="restart"/>
            <w:vAlign w:val="center"/>
          </w:tcPr>
          <w:p>
            <w:pPr>
              <w:tabs>
                <w:tab w:val="left" w:pos="7470"/>
              </w:tabs>
              <w:spacing w:line="0" w:lineRule="atLeast"/>
              <w:jc w:val="center"/>
              <w:rPr>
                <w:szCs w:val="21"/>
              </w:rPr>
            </w:pPr>
            <w:r>
              <w:rPr>
                <w:rFonts w:hint="eastAsia"/>
                <w:szCs w:val="21"/>
              </w:rPr>
              <w:t>6480</w:t>
            </w:r>
          </w:p>
        </w:tc>
        <w:tc>
          <w:tcPr>
            <w:tcW w:w="369" w:type="pct"/>
            <w:vMerge w:val="restart"/>
            <w:vAlign w:val="center"/>
          </w:tcPr>
          <w:p>
            <w:pPr>
              <w:tabs>
                <w:tab w:val="left" w:pos="7470"/>
              </w:tabs>
              <w:spacing w:line="0" w:lineRule="atLeast"/>
              <w:jc w:val="center"/>
              <w:rPr>
                <w:szCs w:val="21"/>
              </w:rPr>
            </w:pPr>
            <w:r>
              <w:rPr>
                <w:rFonts w:hint="eastAsia"/>
                <w:szCs w:val="21"/>
              </w:rPr>
              <w:t>无组织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tabs>
                <w:tab w:val="left" w:pos="7470"/>
              </w:tabs>
              <w:jc w:val="center"/>
              <w:rPr>
                <w:szCs w:val="21"/>
              </w:rPr>
            </w:pPr>
          </w:p>
        </w:tc>
        <w:tc>
          <w:tcPr>
            <w:tcW w:w="222" w:type="pct"/>
            <w:vMerge w:val="continue"/>
            <w:vAlign w:val="center"/>
          </w:tcPr>
          <w:p>
            <w:pPr>
              <w:tabs>
                <w:tab w:val="left" w:pos="7470"/>
              </w:tabs>
              <w:jc w:val="center"/>
              <w:rPr>
                <w:szCs w:val="21"/>
              </w:rPr>
            </w:pPr>
          </w:p>
        </w:tc>
        <w:tc>
          <w:tcPr>
            <w:tcW w:w="394" w:type="pct"/>
            <w:vMerge w:val="continue"/>
            <w:vAlign w:val="center"/>
          </w:tcPr>
          <w:p>
            <w:pPr>
              <w:tabs>
                <w:tab w:val="left" w:pos="7470"/>
              </w:tabs>
              <w:jc w:val="center"/>
              <w:rPr>
                <w:szCs w:val="21"/>
              </w:rPr>
            </w:pPr>
          </w:p>
        </w:tc>
        <w:tc>
          <w:tcPr>
            <w:tcW w:w="443" w:type="pct"/>
            <w:vAlign w:val="center"/>
          </w:tcPr>
          <w:p>
            <w:pPr>
              <w:tabs>
                <w:tab w:val="left" w:pos="7470"/>
              </w:tabs>
              <w:jc w:val="center"/>
              <w:rPr>
                <w:szCs w:val="21"/>
              </w:rPr>
            </w:pPr>
            <w:r>
              <w:rPr>
                <w:szCs w:val="21"/>
              </w:rPr>
              <w:t>H</w:t>
            </w:r>
            <w:r>
              <w:rPr>
                <w:szCs w:val="21"/>
                <w:vertAlign w:val="subscript"/>
              </w:rPr>
              <w:t>2</w:t>
            </w:r>
            <w:r>
              <w:rPr>
                <w:szCs w:val="21"/>
              </w:rPr>
              <w:t>S</w:t>
            </w:r>
          </w:p>
        </w:tc>
        <w:tc>
          <w:tcPr>
            <w:tcW w:w="447" w:type="pct"/>
            <w:vAlign w:val="center"/>
          </w:tcPr>
          <w:p>
            <w:pPr>
              <w:tabs>
                <w:tab w:val="left" w:pos="7470"/>
              </w:tabs>
              <w:jc w:val="center"/>
              <w:rPr>
                <w:szCs w:val="21"/>
              </w:rPr>
            </w:pPr>
            <w:r>
              <w:rPr>
                <w:rFonts w:hint="eastAsia"/>
                <w:szCs w:val="21"/>
              </w:rPr>
              <w:t>/</w:t>
            </w:r>
          </w:p>
        </w:tc>
        <w:tc>
          <w:tcPr>
            <w:tcW w:w="353" w:type="pct"/>
            <w:vAlign w:val="center"/>
          </w:tcPr>
          <w:p>
            <w:pPr>
              <w:tabs>
                <w:tab w:val="left" w:pos="7470"/>
              </w:tabs>
              <w:jc w:val="center"/>
              <w:rPr>
                <w:szCs w:val="21"/>
              </w:rPr>
            </w:pPr>
            <w:r>
              <w:rPr>
                <w:rFonts w:hint="eastAsia"/>
                <w:szCs w:val="21"/>
              </w:rPr>
              <w:t>/</w:t>
            </w:r>
          </w:p>
        </w:tc>
        <w:tc>
          <w:tcPr>
            <w:tcW w:w="1023" w:type="pct"/>
            <w:vMerge w:val="continue"/>
            <w:vAlign w:val="center"/>
          </w:tcPr>
          <w:p>
            <w:pPr>
              <w:tabs>
                <w:tab w:val="left" w:pos="7470"/>
              </w:tabs>
              <w:jc w:val="center"/>
              <w:rPr>
                <w:bCs/>
                <w:szCs w:val="21"/>
              </w:rPr>
            </w:pPr>
          </w:p>
        </w:tc>
        <w:tc>
          <w:tcPr>
            <w:tcW w:w="523" w:type="pct"/>
            <w:vAlign w:val="center"/>
          </w:tcPr>
          <w:p>
            <w:pPr>
              <w:tabs>
                <w:tab w:val="left" w:pos="7470"/>
              </w:tabs>
              <w:jc w:val="center"/>
              <w:rPr>
                <w:szCs w:val="21"/>
              </w:rPr>
            </w:pPr>
            <w:r>
              <w:rPr>
                <w:rFonts w:hint="eastAsia"/>
                <w:szCs w:val="21"/>
              </w:rPr>
              <w:t>0.0032kg/h</w:t>
            </w:r>
          </w:p>
        </w:tc>
        <w:tc>
          <w:tcPr>
            <w:tcW w:w="390" w:type="pct"/>
            <w:vAlign w:val="center"/>
          </w:tcPr>
          <w:p>
            <w:pPr>
              <w:tabs>
                <w:tab w:val="left" w:pos="7470"/>
              </w:tabs>
              <w:jc w:val="center"/>
              <w:rPr>
                <w:szCs w:val="21"/>
              </w:rPr>
            </w:pPr>
            <w:r>
              <w:rPr>
                <w:rFonts w:hint="eastAsia"/>
                <w:szCs w:val="21"/>
              </w:rPr>
              <w:t>0.021</w:t>
            </w:r>
          </w:p>
        </w:tc>
        <w:tc>
          <w:tcPr>
            <w:tcW w:w="342" w:type="pct"/>
            <w:vMerge w:val="continue"/>
            <w:vAlign w:val="center"/>
          </w:tcPr>
          <w:p>
            <w:pPr>
              <w:tabs>
                <w:tab w:val="left" w:pos="7470"/>
              </w:tabs>
              <w:spacing w:line="0" w:lineRule="atLeast"/>
              <w:jc w:val="center"/>
              <w:rPr>
                <w:szCs w:val="21"/>
              </w:rPr>
            </w:pPr>
          </w:p>
        </w:tc>
        <w:tc>
          <w:tcPr>
            <w:tcW w:w="344" w:type="pct"/>
            <w:vMerge w:val="continue"/>
            <w:vAlign w:val="center"/>
          </w:tcPr>
          <w:p>
            <w:pPr>
              <w:tabs>
                <w:tab w:val="left" w:pos="7470"/>
              </w:tabs>
              <w:spacing w:line="0" w:lineRule="atLeast"/>
              <w:jc w:val="center"/>
              <w:rPr>
                <w:szCs w:val="21"/>
              </w:rPr>
            </w:pPr>
          </w:p>
        </w:tc>
        <w:tc>
          <w:tcPr>
            <w:tcW w:w="369" w:type="pct"/>
            <w:vMerge w:val="continue"/>
            <w:vAlign w:val="center"/>
          </w:tcPr>
          <w:p>
            <w:pPr>
              <w:tabs>
                <w:tab w:val="left" w:pos="7470"/>
              </w:tabs>
              <w:spacing w:line="0" w:lineRule="atLeast"/>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tabs>
                <w:tab w:val="left" w:pos="7470"/>
              </w:tabs>
              <w:jc w:val="center"/>
              <w:rPr>
                <w:szCs w:val="21"/>
              </w:rPr>
            </w:pPr>
          </w:p>
        </w:tc>
        <w:tc>
          <w:tcPr>
            <w:tcW w:w="222" w:type="pct"/>
            <w:vMerge w:val="continue"/>
            <w:vAlign w:val="center"/>
          </w:tcPr>
          <w:p>
            <w:pPr>
              <w:tabs>
                <w:tab w:val="left" w:pos="7470"/>
              </w:tabs>
              <w:jc w:val="center"/>
              <w:rPr>
                <w:szCs w:val="21"/>
              </w:rPr>
            </w:pPr>
          </w:p>
        </w:tc>
        <w:tc>
          <w:tcPr>
            <w:tcW w:w="394" w:type="pct"/>
            <w:vMerge w:val="restart"/>
            <w:vAlign w:val="center"/>
          </w:tcPr>
          <w:p>
            <w:pPr>
              <w:tabs>
                <w:tab w:val="left" w:pos="7470"/>
              </w:tabs>
              <w:jc w:val="center"/>
              <w:rPr>
                <w:szCs w:val="21"/>
              </w:rPr>
            </w:pPr>
            <w:r>
              <w:rPr>
                <w:rFonts w:hint="eastAsia"/>
                <w:szCs w:val="21"/>
              </w:rPr>
              <w:t>耗氧发酵罐</w:t>
            </w:r>
          </w:p>
        </w:tc>
        <w:tc>
          <w:tcPr>
            <w:tcW w:w="443" w:type="pct"/>
            <w:vAlign w:val="center"/>
          </w:tcPr>
          <w:p>
            <w:pPr>
              <w:tabs>
                <w:tab w:val="left" w:pos="7470"/>
              </w:tabs>
              <w:jc w:val="center"/>
              <w:rPr>
                <w:szCs w:val="21"/>
              </w:rPr>
            </w:pPr>
            <w:r>
              <w:rPr>
                <w:rFonts w:hint="eastAsia"/>
                <w:szCs w:val="21"/>
              </w:rPr>
              <w:t>NH</w:t>
            </w:r>
            <w:r>
              <w:rPr>
                <w:rFonts w:hint="eastAsia"/>
                <w:szCs w:val="21"/>
                <w:vertAlign w:val="subscript"/>
              </w:rPr>
              <w:t>3</w:t>
            </w:r>
          </w:p>
        </w:tc>
        <w:tc>
          <w:tcPr>
            <w:tcW w:w="447" w:type="pct"/>
            <w:vAlign w:val="center"/>
          </w:tcPr>
          <w:p>
            <w:pPr>
              <w:tabs>
                <w:tab w:val="left" w:pos="7470"/>
              </w:tabs>
              <w:jc w:val="center"/>
              <w:rPr>
                <w:szCs w:val="21"/>
              </w:rPr>
            </w:pPr>
            <w:r>
              <w:rPr>
                <w:rFonts w:hint="eastAsia"/>
                <w:szCs w:val="21"/>
              </w:rPr>
              <w:t>0.199 kg/h</w:t>
            </w:r>
          </w:p>
        </w:tc>
        <w:tc>
          <w:tcPr>
            <w:tcW w:w="353" w:type="pct"/>
            <w:vAlign w:val="center"/>
          </w:tcPr>
          <w:p>
            <w:pPr>
              <w:tabs>
                <w:tab w:val="left" w:pos="7470"/>
              </w:tabs>
              <w:jc w:val="center"/>
              <w:rPr>
                <w:szCs w:val="21"/>
              </w:rPr>
            </w:pPr>
            <w:r>
              <w:rPr>
                <w:rFonts w:hint="eastAsia"/>
                <w:szCs w:val="21"/>
              </w:rPr>
              <w:t>1.29</w:t>
            </w:r>
          </w:p>
        </w:tc>
        <w:tc>
          <w:tcPr>
            <w:tcW w:w="1023" w:type="pct"/>
            <w:vMerge w:val="restart"/>
            <w:vAlign w:val="center"/>
          </w:tcPr>
          <w:p>
            <w:pPr>
              <w:tabs>
                <w:tab w:val="left" w:pos="7470"/>
              </w:tabs>
              <w:jc w:val="center"/>
              <w:rPr>
                <w:bCs/>
                <w:szCs w:val="21"/>
              </w:rPr>
            </w:pPr>
            <w:r>
              <w:rPr>
                <w:kern w:val="0"/>
                <w:szCs w:val="21"/>
              </w:rPr>
              <w:t>2</w:t>
            </w:r>
            <w:r>
              <w:rPr>
                <w:rFonts w:hint="eastAsia"/>
                <w:kern w:val="0"/>
                <w:szCs w:val="21"/>
              </w:rPr>
              <w:t>台发酵罐废气采用</w:t>
            </w:r>
            <w:r>
              <w:rPr>
                <w:kern w:val="0"/>
                <w:szCs w:val="21"/>
              </w:rPr>
              <w:t>1</w:t>
            </w:r>
            <w:r>
              <w:rPr>
                <w:rFonts w:hint="eastAsia"/>
                <w:kern w:val="0"/>
                <w:szCs w:val="21"/>
              </w:rPr>
              <w:t>套生物除臭塔生化处理后由</w:t>
            </w:r>
            <w:r>
              <w:rPr>
                <w:kern w:val="0"/>
                <w:szCs w:val="21"/>
              </w:rPr>
              <w:t>1</w:t>
            </w:r>
            <w:r>
              <w:rPr>
                <w:rFonts w:hint="eastAsia"/>
                <w:kern w:val="0"/>
                <w:szCs w:val="21"/>
              </w:rPr>
              <w:t>根</w:t>
            </w:r>
            <w:r>
              <w:rPr>
                <w:kern w:val="0"/>
                <w:szCs w:val="21"/>
              </w:rPr>
              <w:t>15m</w:t>
            </w:r>
            <w:r>
              <w:rPr>
                <w:rFonts w:hint="eastAsia"/>
                <w:kern w:val="0"/>
                <w:szCs w:val="21"/>
              </w:rPr>
              <w:t>高排气筒外排</w:t>
            </w:r>
          </w:p>
        </w:tc>
        <w:tc>
          <w:tcPr>
            <w:tcW w:w="523" w:type="pct"/>
            <w:vAlign w:val="center"/>
          </w:tcPr>
          <w:p>
            <w:pPr>
              <w:tabs>
                <w:tab w:val="left" w:pos="7470"/>
              </w:tabs>
              <w:jc w:val="center"/>
              <w:rPr>
                <w:szCs w:val="21"/>
              </w:rPr>
            </w:pPr>
            <w:r>
              <w:rPr>
                <w:rFonts w:hint="eastAsia"/>
                <w:szCs w:val="21"/>
              </w:rPr>
              <w:t>0.0</w:t>
            </w:r>
            <w:r>
              <w:rPr>
                <w:szCs w:val="21"/>
              </w:rPr>
              <w:t>6</w:t>
            </w:r>
            <w:r>
              <w:rPr>
                <w:rFonts w:hint="eastAsia"/>
                <w:szCs w:val="21"/>
              </w:rPr>
              <w:t xml:space="preserve"> kg/h</w:t>
            </w:r>
          </w:p>
        </w:tc>
        <w:tc>
          <w:tcPr>
            <w:tcW w:w="390" w:type="pct"/>
            <w:vAlign w:val="center"/>
          </w:tcPr>
          <w:p>
            <w:pPr>
              <w:tabs>
                <w:tab w:val="left" w:pos="7470"/>
              </w:tabs>
              <w:jc w:val="center"/>
              <w:rPr>
                <w:szCs w:val="21"/>
              </w:rPr>
            </w:pPr>
            <w:r>
              <w:rPr>
                <w:rFonts w:hint="eastAsia"/>
                <w:szCs w:val="21"/>
              </w:rPr>
              <w:t>0.</w:t>
            </w:r>
            <w:r>
              <w:rPr>
                <w:szCs w:val="21"/>
              </w:rPr>
              <w:t>39</w:t>
            </w:r>
          </w:p>
        </w:tc>
        <w:tc>
          <w:tcPr>
            <w:tcW w:w="342" w:type="pct"/>
            <w:vMerge w:val="restart"/>
            <w:vAlign w:val="center"/>
          </w:tcPr>
          <w:p>
            <w:pPr>
              <w:tabs>
                <w:tab w:val="left" w:pos="7470"/>
              </w:tabs>
              <w:spacing w:line="0" w:lineRule="atLeast"/>
              <w:jc w:val="center"/>
              <w:rPr>
                <w:szCs w:val="21"/>
              </w:rPr>
            </w:pPr>
            <w:r>
              <w:rPr>
                <w:rFonts w:hint="eastAsia"/>
                <w:szCs w:val="21"/>
              </w:rPr>
              <w:t>/</w:t>
            </w:r>
          </w:p>
        </w:tc>
        <w:tc>
          <w:tcPr>
            <w:tcW w:w="344" w:type="pct"/>
            <w:vMerge w:val="restart"/>
            <w:vAlign w:val="center"/>
          </w:tcPr>
          <w:p>
            <w:pPr>
              <w:tabs>
                <w:tab w:val="left" w:pos="7470"/>
              </w:tabs>
              <w:spacing w:line="0" w:lineRule="atLeast"/>
              <w:jc w:val="center"/>
              <w:rPr>
                <w:szCs w:val="21"/>
              </w:rPr>
            </w:pPr>
            <w:r>
              <w:rPr>
                <w:rFonts w:hint="eastAsia"/>
                <w:szCs w:val="21"/>
              </w:rPr>
              <w:t>6480</w:t>
            </w:r>
          </w:p>
        </w:tc>
        <w:tc>
          <w:tcPr>
            <w:tcW w:w="369" w:type="pct"/>
            <w:vMerge w:val="restart"/>
            <w:vAlign w:val="center"/>
          </w:tcPr>
          <w:p>
            <w:pPr>
              <w:tabs>
                <w:tab w:val="left" w:pos="7470"/>
              </w:tabs>
              <w:spacing w:line="0" w:lineRule="atLeast"/>
              <w:jc w:val="center"/>
              <w:rPr>
                <w:szCs w:val="21"/>
              </w:rPr>
            </w:pPr>
            <w:r>
              <w:rPr>
                <w:rFonts w:hint="eastAsia"/>
                <w:szCs w:val="21"/>
              </w:rPr>
              <w:t>H</w:t>
            </w:r>
            <w:r>
              <w:rPr>
                <w:szCs w:val="21"/>
              </w:rPr>
              <w:t>=</w:t>
            </w:r>
            <w:r>
              <w:rPr>
                <w:rFonts w:hint="eastAsia"/>
                <w:szCs w:val="21"/>
              </w:rPr>
              <w:t>15</w:t>
            </w:r>
            <w:r>
              <w:rPr>
                <w:szCs w:val="21"/>
              </w:rPr>
              <w:t>m</w:t>
            </w:r>
          </w:p>
          <w:p>
            <w:pPr>
              <w:tabs>
                <w:tab w:val="left" w:pos="7470"/>
              </w:tabs>
              <w:spacing w:line="0" w:lineRule="atLeast"/>
              <w:jc w:val="center"/>
              <w:rPr>
                <w:szCs w:val="21"/>
              </w:rPr>
            </w:pPr>
            <w:r>
              <w:rPr>
                <w:rFonts w:hint="eastAsia"/>
                <w:szCs w:val="21"/>
              </w:rPr>
              <w:t>φ=</w:t>
            </w:r>
            <w:r>
              <w:rPr>
                <w:szCs w:val="21"/>
              </w:rPr>
              <w:t>0.15</w:t>
            </w:r>
            <w:r>
              <w:rPr>
                <w:rFonts w:hint="eastAsia"/>
                <w:szCs w:val="21"/>
              </w:rPr>
              <w:t>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tabs>
                <w:tab w:val="left" w:pos="7470"/>
              </w:tabs>
              <w:jc w:val="center"/>
              <w:rPr>
                <w:szCs w:val="21"/>
              </w:rPr>
            </w:pPr>
          </w:p>
        </w:tc>
        <w:tc>
          <w:tcPr>
            <w:tcW w:w="222" w:type="pct"/>
            <w:vMerge w:val="continue"/>
            <w:vAlign w:val="center"/>
          </w:tcPr>
          <w:p>
            <w:pPr>
              <w:tabs>
                <w:tab w:val="left" w:pos="7470"/>
              </w:tabs>
              <w:jc w:val="center"/>
              <w:rPr>
                <w:szCs w:val="21"/>
              </w:rPr>
            </w:pPr>
          </w:p>
        </w:tc>
        <w:tc>
          <w:tcPr>
            <w:tcW w:w="394" w:type="pct"/>
            <w:vMerge w:val="continue"/>
            <w:vAlign w:val="center"/>
          </w:tcPr>
          <w:p>
            <w:pPr>
              <w:tabs>
                <w:tab w:val="left" w:pos="7470"/>
              </w:tabs>
              <w:jc w:val="center"/>
              <w:rPr>
                <w:szCs w:val="21"/>
              </w:rPr>
            </w:pPr>
          </w:p>
        </w:tc>
        <w:tc>
          <w:tcPr>
            <w:tcW w:w="443" w:type="pct"/>
            <w:vAlign w:val="center"/>
          </w:tcPr>
          <w:p>
            <w:pPr>
              <w:tabs>
                <w:tab w:val="left" w:pos="7470"/>
              </w:tabs>
              <w:jc w:val="center"/>
              <w:rPr>
                <w:szCs w:val="21"/>
              </w:rPr>
            </w:pPr>
            <w:r>
              <w:rPr>
                <w:szCs w:val="21"/>
              </w:rPr>
              <w:t>H</w:t>
            </w:r>
            <w:r>
              <w:rPr>
                <w:szCs w:val="21"/>
                <w:vertAlign w:val="subscript"/>
              </w:rPr>
              <w:t>2</w:t>
            </w:r>
            <w:r>
              <w:rPr>
                <w:szCs w:val="21"/>
              </w:rPr>
              <w:t>S</w:t>
            </w:r>
          </w:p>
        </w:tc>
        <w:tc>
          <w:tcPr>
            <w:tcW w:w="447" w:type="pct"/>
            <w:vAlign w:val="center"/>
          </w:tcPr>
          <w:p>
            <w:pPr>
              <w:tabs>
                <w:tab w:val="left" w:pos="7470"/>
              </w:tabs>
              <w:jc w:val="center"/>
              <w:rPr>
                <w:szCs w:val="21"/>
              </w:rPr>
            </w:pPr>
            <w:r>
              <w:rPr>
                <w:rFonts w:hint="eastAsia"/>
                <w:szCs w:val="21"/>
              </w:rPr>
              <w:t>0.02 kg/h</w:t>
            </w:r>
          </w:p>
        </w:tc>
        <w:tc>
          <w:tcPr>
            <w:tcW w:w="353" w:type="pct"/>
            <w:vAlign w:val="center"/>
          </w:tcPr>
          <w:p>
            <w:pPr>
              <w:tabs>
                <w:tab w:val="left" w:pos="7470"/>
              </w:tabs>
              <w:jc w:val="center"/>
              <w:rPr>
                <w:szCs w:val="21"/>
              </w:rPr>
            </w:pPr>
            <w:r>
              <w:rPr>
                <w:rFonts w:hint="eastAsia"/>
                <w:szCs w:val="21"/>
              </w:rPr>
              <w:t>0.129</w:t>
            </w:r>
          </w:p>
        </w:tc>
        <w:tc>
          <w:tcPr>
            <w:tcW w:w="1023" w:type="pct"/>
            <w:vMerge w:val="continue"/>
            <w:vAlign w:val="center"/>
          </w:tcPr>
          <w:p>
            <w:pPr>
              <w:tabs>
                <w:tab w:val="left" w:pos="7470"/>
              </w:tabs>
              <w:jc w:val="center"/>
              <w:rPr>
                <w:bCs/>
                <w:szCs w:val="21"/>
              </w:rPr>
            </w:pPr>
          </w:p>
        </w:tc>
        <w:tc>
          <w:tcPr>
            <w:tcW w:w="523" w:type="pct"/>
            <w:vAlign w:val="center"/>
          </w:tcPr>
          <w:p>
            <w:pPr>
              <w:tabs>
                <w:tab w:val="left" w:pos="7470"/>
              </w:tabs>
              <w:jc w:val="center"/>
              <w:rPr>
                <w:szCs w:val="21"/>
              </w:rPr>
            </w:pPr>
            <w:r>
              <w:rPr>
                <w:rFonts w:hint="eastAsia"/>
                <w:szCs w:val="21"/>
              </w:rPr>
              <w:t>0.00</w:t>
            </w:r>
            <w:r>
              <w:rPr>
                <w:szCs w:val="21"/>
              </w:rPr>
              <w:t>6</w:t>
            </w:r>
            <w:r>
              <w:rPr>
                <w:rFonts w:hint="eastAsia"/>
                <w:szCs w:val="21"/>
              </w:rPr>
              <w:t xml:space="preserve"> kg/h</w:t>
            </w:r>
          </w:p>
        </w:tc>
        <w:tc>
          <w:tcPr>
            <w:tcW w:w="390" w:type="pct"/>
            <w:vAlign w:val="center"/>
          </w:tcPr>
          <w:p>
            <w:pPr>
              <w:tabs>
                <w:tab w:val="left" w:pos="7470"/>
              </w:tabs>
              <w:jc w:val="center"/>
              <w:rPr>
                <w:szCs w:val="21"/>
              </w:rPr>
            </w:pPr>
            <w:r>
              <w:rPr>
                <w:rFonts w:hint="eastAsia"/>
                <w:szCs w:val="21"/>
              </w:rPr>
              <w:t>0.0</w:t>
            </w:r>
            <w:r>
              <w:rPr>
                <w:szCs w:val="21"/>
              </w:rPr>
              <w:t>39</w:t>
            </w:r>
          </w:p>
        </w:tc>
        <w:tc>
          <w:tcPr>
            <w:tcW w:w="342" w:type="pct"/>
            <w:vMerge w:val="continue"/>
            <w:vAlign w:val="center"/>
          </w:tcPr>
          <w:p>
            <w:pPr>
              <w:tabs>
                <w:tab w:val="left" w:pos="7470"/>
              </w:tabs>
              <w:spacing w:line="0" w:lineRule="atLeast"/>
              <w:jc w:val="center"/>
              <w:rPr>
                <w:szCs w:val="21"/>
              </w:rPr>
            </w:pPr>
          </w:p>
        </w:tc>
        <w:tc>
          <w:tcPr>
            <w:tcW w:w="344" w:type="pct"/>
            <w:vMerge w:val="continue"/>
            <w:vAlign w:val="center"/>
          </w:tcPr>
          <w:p>
            <w:pPr>
              <w:tabs>
                <w:tab w:val="left" w:pos="7470"/>
              </w:tabs>
              <w:spacing w:line="0" w:lineRule="atLeast"/>
              <w:jc w:val="center"/>
              <w:rPr>
                <w:szCs w:val="21"/>
              </w:rPr>
            </w:pPr>
          </w:p>
        </w:tc>
        <w:tc>
          <w:tcPr>
            <w:tcW w:w="369" w:type="pct"/>
            <w:vMerge w:val="continue"/>
            <w:vAlign w:val="center"/>
          </w:tcPr>
          <w:p>
            <w:pPr>
              <w:tabs>
                <w:tab w:val="left" w:pos="7470"/>
              </w:tabs>
              <w:spacing w:line="0" w:lineRule="atLeast"/>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tabs>
                <w:tab w:val="left" w:pos="7470"/>
              </w:tabs>
              <w:jc w:val="center"/>
              <w:rPr>
                <w:szCs w:val="21"/>
              </w:rPr>
            </w:pPr>
          </w:p>
        </w:tc>
        <w:tc>
          <w:tcPr>
            <w:tcW w:w="222" w:type="pct"/>
            <w:vMerge w:val="continue"/>
            <w:vAlign w:val="center"/>
          </w:tcPr>
          <w:p>
            <w:pPr>
              <w:tabs>
                <w:tab w:val="left" w:pos="7470"/>
              </w:tabs>
              <w:jc w:val="center"/>
              <w:rPr>
                <w:szCs w:val="21"/>
              </w:rPr>
            </w:pPr>
          </w:p>
        </w:tc>
        <w:tc>
          <w:tcPr>
            <w:tcW w:w="394" w:type="pct"/>
            <w:vMerge w:val="restart"/>
            <w:vAlign w:val="center"/>
          </w:tcPr>
          <w:p>
            <w:pPr>
              <w:tabs>
                <w:tab w:val="left" w:pos="7470"/>
              </w:tabs>
              <w:jc w:val="center"/>
              <w:rPr>
                <w:szCs w:val="21"/>
              </w:rPr>
            </w:pPr>
            <w:r>
              <w:rPr>
                <w:rFonts w:hint="eastAsia"/>
                <w:szCs w:val="21"/>
              </w:rPr>
              <w:t>临时储粪房</w:t>
            </w:r>
          </w:p>
        </w:tc>
        <w:tc>
          <w:tcPr>
            <w:tcW w:w="443" w:type="pct"/>
            <w:vAlign w:val="center"/>
          </w:tcPr>
          <w:p>
            <w:pPr>
              <w:tabs>
                <w:tab w:val="left" w:pos="7470"/>
              </w:tabs>
              <w:jc w:val="center"/>
              <w:rPr>
                <w:szCs w:val="21"/>
              </w:rPr>
            </w:pPr>
            <w:r>
              <w:rPr>
                <w:rFonts w:hint="eastAsia"/>
                <w:szCs w:val="21"/>
              </w:rPr>
              <w:t>NH</w:t>
            </w:r>
            <w:r>
              <w:rPr>
                <w:rFonts w:hint="eastAsia"/>
                <w:szCs w:val="21"/>
                <w:vertAlign w:val="subscript"/>
              </w:rPr>
              <w:t>3</w:t>
            </w:r>
          </w:p>
        </w:tc>
        <w:tc>
          <w:tcPr>
            <w:tcW w:w="447" w:type="pct"/>
            <w:vAlign w:val="center"/>
          </w:tcPr>
          <w:p>
            <w:pPr>
              <w:tabs>
                <w:tab w:val="left" w:pos="7470"/>
              </w:tabs>
              <w:jc w:val="center"/>
              <w:rPr>
                <w:szCs w:val="21"/>
              </w:rPr>
            </w:pPr>
            <w:r>
              <w:rPr>
                <w:rFonts w:hint="eastAsia"/>
                <w:szCs w:val="21"/>
              </w:rPr>
              <w:t>0.199 kg/h</w:t>
            </w:r>
          </w:p>
        </w:tc>
        <w:tc>
          <w:tcPr>
            <w:tcW w:w="353" w:type="pct"/>
            <w:vAlign w:val="center"/>
          </w:tcPr>
          <w:p>
            <w:pPr>
              <w:tabs>
                <w:tab w:val="left" w:pos="7470"/>
              </w:tabs>
              <w:jc w:val="center"/>
              <w:rPr>
                <w:szCs w:val="21"/>
              </w:rPr>
            </w:pPr>
            <w:r>
              <w:rPr>
                <w:rFonts w:hint="eastAsia"/>
                <w:szCs w:val="21"/>
              </w:rPr>
              <w:t>/</w:t>
            </w:r>
          </w:p>
        </w:tc>
        <w:tc>
          <w:tcPr>
            <w:tcW w:w="1023" w:type="pct"/>
            <w:vMerge w:val="restart"/>
            <w:vAlign w:val="center"/>
          </w:tcPr>
          <w:p>
            <w:pPr>
              <w:tabs>
                <w:tab w:val="left" w:pos="7470"/>
              </w:tabs>
              <w:jc w:val="center"/>
              <w:rPr>
                <w:bCs/>
                <w:szCs w:val="21"/>
              </w:rPr>
            </w:pPr>
            <w:r>
              <w:rPr>
                <w:rFonts w:hint="eastAsia"/>
                <w:color w:val="000000"/>
                <w:kern w:val="0"/>
                <w:szCs w:val="21"/>
              </w:rPr>
              <w:t>临时储粪房用于暂时储存因天气等原因无法外运的鸡粪；储粪时</w:t>
            </w:r>
            <w:r>
              <w:rPr>
                <w:rFonts w:hint="eastAsia"/>
                <w:snapToGrid w:val="0"/>
                <w:kern w:val="0"/>
              </w:rPr>
              <w:t>喷洒除臭剂，同时加强场区内绿化管理。</w:t>
            </w:r>
          </w:p>
        </w:tc>
        <w:tc>
          <w:tcPr>
            <w:tcW w:w="523" w:type="pct"/>
            <w:vAlign w:val="center"/>
          </w:tcPr>
          <w:p>
            <w:pPr>
              <w:tabs>
                <w:tab w:val="left" w:pos="7470"/>
              </w:tabs>
              <w:jc w:val="center"/>
              <w:rPr>
                <w:szCs w:val="21"/>
              </w:rPr>
            </w:pPr>
            <w:r>
              <w:rPr>
                <w:rFonts w:hint="eastAsia"/>
                <w:szCs w:val="21"/>
              </w:rPr>
              <w:t>0.1 kg/h</w:t>
            </w:r>
          </w:p>
        </w:tc>
        <w:tc>
          <w:tcPr>
            <w:tcW w:w="390" w:type="pct"/>
            <w:vAlign w:val="center"/>
          </w:tcPr>
          <w:p>
            <w:pPr>
              <w:tabs>
                <w:tab w:val="left" w:pos="7470"/>
              </w:tabs>
              <w:jc w:val="center"/>
              <w:rPr>
                <w:szCs w:val="21"/>
              </w:rPr>
            </w:pPr>
            <w:r>
              <w:rPr>
                <w:rFonts w:hint="eastAsia"/>
                <w:szCs w:val="21"/>
              </w:rPr>
              <w:t>0</w:t>
            </w:r>
            <w:r>
              <w:rPr>
                <w:szCs w:val="21"/>
              </w:rPr>
              <w:t>.084</w:t>
            </w:r>
          </w:p>
        </w:tc>
        <w:tc>
          <w:tcPr>
            <w:tcW w:w="342" w:type="pct"/>
            <w:vAlign w:val="center"/>
          </w:tcPr>
          <w:p>
            <w:pPr>
              <w:tabs>
                <w:tab w:val="left" w:pos="7470"/>
              </w:tabs>
              <w:spacing w:line="0" w:lineRule="atLeast"/>
              <w:jc w:val="center"/>
              <w:rPr>
                <w:szCs w:val="21"/>
              </w:rPr>
            </w:pPr>
            <w:r>
              <w:rPr>
                <w:rFonts w:hint="eastAsia"/>
                <w:szCs w:val="21"/>
              </w:rPr>
              <w:t>/</w:t>
            </w:r>
          </w:p>
        </w:tc>
        <w:tc>
          <w:tcPr>
            <w:tcW w:w="344" w:type="pct"/>
            <w:vMerge w:val="restart"/>
            <w:vAlign w:val="center"/>
          </w:tcPr>
          <w:p>
            <w:pPr>
              <w:tabs>
                <w:tab w:val="left" w:pos="7470"/>
              </w:tabs>
              <w:spacing w:line="0" w:lineRule="atLeast"/>
              <w:jc w:val="center"/>
              <w:rPr>
                <w:szCs w:val="21"/>
              </w:rPr>
            </w:pPr>
            <w:r>
              <w:rPr>
                <w:szCs w:val="21"/>
              </w:rPr>
              <w:t>840</w:t>
            </w:r>
          </w:p>
        </w:tc>
        <w:tc>
          <w:tcPr>
            <w:tcW w:w="369" w:type="pct"/>
            <w:vMerge w:val="restart"/>
            <w:vAlign w:val="center"/>
          </w:tcPr>
          <w:p>
            <w:pPr>
              <w:tabs>
                <w:tab w:val="left" w:pos="7470"/>
              </w:tabs>
              <w:spacing w:line="0" w:lineRule="atLeast"/>
              <w:jc w:val="center"/>
              <w:rPr>
                <w:szCs w:val="21"/>
              </w:rPr>
            </w:pPr>
            <w:r>
              <w:rPr>
                <w:rFonts w:hint="eastAsia"/>
                <w:szCs w:val="21"/>
              </w:rPr>
              <w:t>无组织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tabs>
                <w:tab w:val="left" w:pos="7470"/>
              </w:tabs>
              <w:jc w:val="center"/>
              <w:rPr>
                <w:szCs w:val="21"/>
              </w:rPr>
            </w:pPr>
          </w:p>
        </w:tc>
        <w:tc>
          <w:tcPr>
            <w:tcW w:w="222" w:type="pct"/>
            <w:vMerge w:val="continue"/>
            <w:vAlign w:val="center"/>
          </w:tcPr>
          <w:p>
            <w:pPr>
              <w:tabs>
                <w:tab w:val="left" w:pos="7470"/>
              </w:tabs>
              <w:jc w:val="center"/>
              <w:rPr>
                <w:szCs w:val="21"/>
              </w:rPr>
            </w:pPr>
          </w:p>
        </w:tc>
        <w:tc>
          <w:tcPr>
            <w:tcW w:w="394" w:type="pct"/>
            <w:vMerge w:val="continue"/>
            <w:vAlign w:val="center"/>
          </w:tcPr>
          <w:p>
            <w:pPr>
              <w:tabs>
                <w:tab w:val="left" w:pos="7470"/>
              </w:tabs>
              <w:jc w:val="center"/>
              <w:rPr>
                <w:szCs w:val="21"/>
              </w:rPr>
            </w:pPr>
          </w:p>
        </w:tc>
        <w:tc>
          <w:tcPr>
            <w:tcW w:w="443" w:type="pct"/>
            <w:vAlign w:val="center"/>
          </w:tcPr>
          <w:p>
            <w:pPr>
              <w:tabs>
                <w:tab w:val="left" w:pos="7470"/>
              </w:tabs>
              <w:jc w:val="center"/>
              <w:rPr>
                <w:szCs w:val="21"/>
              </w:rPr>
            </w:pPr>
            <w:r>
              <w:rPr>
                <w:szCs w:val="21"/>
              </w:rPr>
              <w:t>H</w:t>
            </w:r>
            <w:r>
              <w:rPr>
                <w:szCs w:val="21"/>
                <w:vertAlign w:val="subscript"/>
              </w:rPr>
              <w:t>2</w:t>
            </w:r>
            <w:r>
              <w:rPr>
                <w:szCs w:val="21"/>
              </w:rPr>
              <w:t>S</w:t>
            </w:r>
          </w:p>
        </w:tc>
        <w:tc>
          <w:tcPr>
            <w:tcW w:w="447" w:type="pct"/>
            <w:vAlign w:val="center"/>
          </w:tcPr>
          <w:p>
            <w:pPr>
              <w:tabs>
                <w:tab w:val="left" w:pos="7470"/>
              </w:tabs>
              <w:jc w:val="center"/>
              <w:rPr>
                <w:szCs w:val="21"/>
              </w:rPr>
            </w:pPr>
            <w:r>
              <w:rPr>
                <w:rFonts w:hint="eastAsia"/>
                <w:szCs w:val="21"/>
              </w:rPr>
              <w:t>0.02 kg/h</w:t>
            </w:r>
          </w:p>
        </w:tc>
        <w:tc>
          <w:tcPr>
            <w:tcW w:w="353" w:type="pct"/>
            <w:vAlign w:val="center"/>
          </w:tcPr>
          <w:p>
            <w:pPr>
              <w:tabs>
                <w:tab w:val="left" w:pos="7470"/>
              </w:tabs>
              <w:jc w:val="center"/>
              <w:rPr>
                <w:szCs w:val="21"/>
              </w:rPr>
            </w:pPr>
            <w:r>
              <w:rPr>
                <w:rFonts w:hint="eastAsia"/>
                <w:szCs w:val="21"/>
              </w:rPr>
              <w:t>/</w:t>
            </w:r>
          </w:p>
        </w:tc>
        <w:tc>
          <w:tcPr>
            <w:tcW w:w="1023" w:type="pct"/>
            <w:vMerge w:val="continue"/>
            <w:vAlign w:val="center"/>
          </w:tcPr>
          <w:p>
            <w:pPr>
              <w:tabs>
                <w:tab w:val="left" w:pos="7470"/>
              </w:tabs>
              <w:jc w:val="center"/>
              <w:rPr>
                <w:bCs/>
                <w:szCs w:val="21"/>
              </w:rPr>
            </w:pPr>
          </w:p>
        </w:tc>
        <w:tc>
          <w:tcPr>
            <w:tcW w:w="523" w:type="pct"/>
            <w:vAlign w:val="center"/>
          </w:tcPr>
          <w:p>
            <w:pPr>
              <w:tabs>
                <w:tab w:val="left" w:pos="7470"/>
              </w:tabs>
              <w:jc w:val="center"/>
              <w:rPr>
                <w:szCs w:val="21"/>
              </w:rPr>
            </w:pPr>
            <w:r>
              <w:rPr>
                <w:rFonts w:hint="eastAsia"/>
                <w:szCs w:val="21"/>
              </w:rPr>
              <w:t>0.01 kg/h</w:t>
            </w:r>
          </w:p>
        </w:tc>
        <w:tc>
          <w:tcPr>
            <w:tcW w:w="390" w:type="pct"/>
            <w:vAlign w:val="center"/>
          </w:tcPr>
          <w:p>
            <w:pPr>
              <w:tabs>
                <w:tab w:val="left" w:pos="7470"/>
              </w:tabs>
              <w:jc w:val="center"/>
              <w:rPr>
                <w:szCs w:val="21"/>
              </w:rPr>
            </w:pPr>
            <w:r>
              <w:rPr>
                <w:rFonts w:hint="eastAsia"/>
                <w:szCs w:val="21"/>
              </w:rPr>
              <w:t>0</w:t>
            </w:r>
            <w:r>
              <w:rPr>
                <w:szCs w:val="21"/>
              </w:rPr>
              <w:t>.0084</w:t>
            </w:r>
          </w:p>
        </w:tc>
        <w:tc>
          <w:tcPr>
            <w:tcW w:w="342" w:type="pct"/>
            <w:vAlign w:val="center"/>
          </w:tcPr>
          <w:p>
            <w:pPr>
              <w:tabs>
                <w:tab w:val="left" w:pos="7470"/>
              </w:tabs>
              <w:spacing w:line="0" w:lineRule="atLeast"/>
              <w:jc w:val="center"/>
              <w:rPr>
                <w:szCs w:val="21"/>
              </w:rPr>
            </w:pPr>
            <w:r>
              <w:rPr>
                <w:rFonts w:hint="eastAsia"/>
                <w:szCs w:val="21"/>
              </w:rPr>
              <w:t>/</w:t>
            </w:r>
          </w:p>
        </w:tc>
        <w:tc>
          <w:tcPr>
            <w:tcW w:w="344" w:type="pct"/>
            <w:vMerge w:val="continue"/>
            <w:vAlign w:val="center"/>
          </w:tcPr>
          <w:p>
            <w:pPr>
              <w:tabs>
                <w:tab w:val="left" w:pos="7470"/>
              </w:tabs>
              <w:spacing w:line="0" w:lineRule="atLeast"/>
              <w:jc w:val="center"/>
              <w:rPr>
                <w:szCs w:val="21"/>
              </w:rPr>
            </w:pPr>
          </w:p>
        </w:tc>
        <w:tc>
          <w:tcPr>
            <w:tcW w:w="369" w:type="pct"/>
            <w:vMerge w:val="continue"/>
            <w:vAlign w:val="center"/>
          </w:tcPr>
          <w:p>
            <w:pPr>
              <w:tabs>
                <w:tab w:val="left" w:pos="7470"/>
              </w:tabs>
              <w:spacing w:line="0" w:lineRule="atLeast"/>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tabs>
                <w:tab w:val="left" w:pos="7470"/>
              </w:tabs>
              <w:jc w:val="center"/>
              <w:rPr>
                <w:szCs w:val="21"/>
              </w:rPr>
            </w:pPr>
          </w:p>
        </w:tc>
        <w:tc>
          <w:tcPr>
            <w:tcW w:w="222" w:type="pct"/>
            <w:vMerge w:val="continue"/>
            <w:vAlign w:val="center"/>
          </w:tcPr>
          <w:p>
            <w:pPr>
              <w:tabs>
                <w:tab w:val="left" w:pos="7470"/>
              </w:tabs>
              <w:jc w:val="center"/>
              <w:rPr>
                <w:szCs w:val="21"/>
              </w:rPr>
            </w:pPr>
          </w:p>
        </w:tc>
        <w:tc>
          <w:tcPr>
            <w:tcW w:w="394" w:type="pct"/>
            <w:vMerge w:val="restart"/>
            <w:vAlign w:val="center"/>
          </w:tcPr>
          <w:p>
            <w:pPr>
              <w:tabs>
                <w:tab w:val="left" w:pos="7470"/>
              </w:tabs>
              <w:jc w:val="center"/>
              <w:rPr>
                <w:szCs w:val="21"/>
              </w:rPr>
            </w:pPr>
            <w:r>
              <w:rPr>
                <w:rFonts w:hint="eastAsia"/>
                <w:szCs w:val="21"/>
              </w:rPr>
              <w:t>污水处理站</w:t>
            </w:r>
          </w:p>
        </w:tc>
        <w:tc>
          <w:tcPr>
            <w:tcW w:w="443" w:type="pct"/>
            <w:vAlign w:val="center"/>
          </w:tcPr>
          <w:p>
            <w:pPr>
              <w:tabs>
                <w:tab w:val="left" w:pos="7470"/>
              </w:tabs>
              <w:jc w:val="center"/>
              <w:rPr>
                <w:szCs w:val="21"/>
              </w:rPr>
            </w:pPr>
            <w:r>
              <w:rPr>
                <w:rFonts w:hint="eastAsia"/>
                <w:szCs w:val="21"/>
              </w:rPr>
              <w:t>NH</w:t>
            </w:r>
            <w:r>
              <w:rPr>
                <w:rFonts w:hint="eastAsia"/>
                <w:szCs w:val="21"/>
                <w:vertAlign w:val="subscript"/>
              </w:rPr>
              <w:t>3</w:t>
            </w:r>
          </w:p>
        </w:tc>
        <w:tc>
          <w:tcPr>
            <w:tcW w:w="447" w:type="pct"/>
            <w:vAlign w:val="center"/>
          </w:tcPr>
          <w:p>
            <w:pPr>
              <w:tabs>
                <w:tab w:val="left" w:pos="7470"/>
              </w:tabs>
              <w:jc w:val="center"/>
              <w:rPr>
                <w:szCs w:val="21"/>
              </w:rPr>
            </w:pPr>
            <w:r>
              <w:rPr>
                <w:szCs w:val="21"/>
              </w:rPr>
              <w:t>0.011</w:t>
            </w:r>
            <w:r>
              <w:rPr>
                <w:rFonts w:hint="eastAsia"/>
                <w:szCs w:val="21"/>
              </w:rPr>
              <w:t>kg/h</w:t>
            </w:r>
          </w:p>
        </w:tc>
        <w:tc>
          <w:tcPr>
            <w:tcW w:w="353" w:type="pct"/>
            <w:vAlign w:val="center"/>
          </w:tcPr>
          <w:p>
            <w:pPr>
              <w:tabs>
                <w:tab w:val="left" w:pos="7470"/>
              </w:tabs>
              <w:jc w:val="center"/>
              <w:rPr>
                <w:szCs w:val="21"/>
              </w:rPr>
            </w:pPr>
            <w:r>
              <w:rPr>
                <w:szCs w:val="21"/>
              </w:rPr>
              <w:t>0.0092</w:t>
            </w:r>
          </w:p>
        </w:tc>
        <w:tc>
          <w:tcPr>
            <w:tcW w:w="1023" w:type="pct"/>
            <w:vMerge w:val="restart"/>
            <w:vAlign w:val="center"/>
          </w:tcPr>
          <w:p>
            <w:pPr>
              <w:tabs>
                <w:tab w:val="left" w:pos="7470"/>
              </w:tabs>
              <w:jc w:val="center"/>
              <w:rPr>
                <w:bCs/>
                <w:szCs w:val="21"/>
              </w:rPr>
            </w:pPr>
            <w:r>
              <w:rPr>
                <w:rFonts w:hint="eastAsia"/>
                <w:snapToGrid w:val="0"/>
              </w:rPr>
              <w:t>地埋式污水处理站各处理池加盖处理，站房内定期喷洒除臭剂，同时加强场区内绿化管理。</w:t>
            </w:r>
          </w:p>
        </w:tc>
        <w:tc>
          <w:tcPr>
            <w:tcW w:w="523" w:type="pct"/>
            <w:vAlign w:val="center"/>
          </w:tcPr>
          <w:p>
            <w:pPr>
              <w:tabs>
                <w:tab w:val="left" w:pos="7470"/>
              </w:tabs>
              <w:jc w:val="center"/>
              <w:rPr>
                <w:szCs w:val="21"/>
              </w:rPr>
            </w:pPr>
            <w:r>
              <w:rPr>
                <w:szCs w:val="21"/>
              </w:rPr>
              <w:t>0.0055kg/h</w:t>
            </w:r>
          </w:p>
        </w:tc>
        <w:tc>
          <w:tcPr>
            <w:tcW w:w="390" w:type="pct"/>
            <w:vAlign w:val="center"/>
          </w:tcPr>
          <w:p>
            <w:pPr>
              <w:tabs>
                <w:tab w:val="left" w:pos="7470"/>
              </w:tabs>
              <w:jc w:val="center"/>
              <w:rPr>
                <w:szCs w:val="21"/>
              </w:rPr>
            </w:pPr>
            <w:r>
              <w:rPr>
                <w:rFonts w:hint="eastAsia"/>
                <w:szCs w:val="21"/>
              </w:rPr>
              <w:t>0.0</w:t>
            </w:r>
            <w:r>
              <w:rPr>
                <w:szCs w:val="21"/>
              </w:rPr>
              <w:t>046</w:t>
            </w:r>
          </w:p>
        </w:tc>
        <w:tc>
          <w:tcPr>
            <w:tcW w:w="342" w:type="pct"/>
            <w:vMerge w:val="restart"/>
            <w:vAlign w:val="center"/>
          </w:tcPr>
          <w:p>
            <w:pPr>
              <w:tabs>
                <w:tab w:val="left" w:pos="7470"/>
              </w:tabs>
              <w:spacing w:line="0" w:lineRule="atLeast"/>
              <w:jc w:val="center"/>
              <w:rPr>
                <w:szCs w:val="21"/>
              </w:rPr>
            </w:pPr>
          </w:p>
        </w:tc>
        <w:tc>
          <w:tcPr>
            <w:tcW w:w="344" w:type="pct"/>
            <w:vMerge w:val="restart"/>
            <w:vAlign w:val="center"/>
          </w:tcPr>
          <w:p>
            <w:pPr>
              <w:tabs>
                <w:tab w:val="left" w:pos="7470"/>
              </w:tabs>
              <w:spacing w:line="0" w:lineRule="atLeast"/>
              <w:jc w:val="center"/>
              <w:rPr>
                <w:szCs w:val="21"/>
              </w:rPr>
            </w:pPr>
            <w:r>
              <w:rPr>
                <w:rFonts w:hint="eastAsia"/>
                <w:szCs w:val="21"/>
              </w:rPr>
              <w:t>8640</w:t>
            </w:r>
          </w:p>
        </w:tc>
        <w:tc>
          <w:tcPr>
            <w:tcW w:w="369" w:type="pct"/>
            <w:vMerge w:val="restart"/>
            <w:vAlign w:val="center"/>
          </w:tcPr>
          <w:p>
            <w:pPr>
              <w:tabs>
                <w:tab w:val="left" w:pos="7470"/>
              </w:tabs>
              <w:spacing w:line="0" w:lineRule="atLeast"/>
              <w:jc w:val="center"/>
              <w:rPr>
                <w:szCs w:val="21"/>
              </w:rPr>
            </w:pPr>
            <w:r>
              <w:rPr>
                <w:rFonts w:hint="eastAsia"/>
                <w:szCs w:val="21"/>
              </w:rPr>
              <w:t>无组织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tabs>
                <w:tab w:val="left" w:pos="7470"/>
              </w:tabs>
              <w:jc w:val="center"/>
              <w:rPr>
                <w:szCs w:val="21"/>
              </w:rPr>
            </w:pPr>
          </w:p>
        </w:tc>
        <w:tc>
          <w:tcPr>
            <w:tcW w:w="222" w:type="pct"/>
            <w:vMerge w:val="continue"/>
            <w:vAlign w:val="center"/>
          </w:tcPr>
          <w:p>
            <w:pPr>
              <w:tabs>
                <w:tab w:val="left" w:pos="7470"/>
              </w:tabs>
              <w:jc w:val="center"/>
              <w:rPr>
                <w:szCs w:val="21"/>
              </w:rPr>
            </w:pPr>
          </w:p>
        </w:tc>
        <w:tc>
          <w:tcPr>
            <w:tcW w:w="394" w:type="pct"/>
            <w:vMerge w:val="continue"/>
            <w:vAlign w:val="center"/>
          </w:tcPr>
          <w:p>
            <w:pPr>
              <w:tabs>
                <w:tab w:val="left" w:pos="7470"/>
              </w:tabs>
              <w:jc w:val="center"/>
              <w:rPr>
                <w:szCs w:val="21"/>
              </w:rPr>
            </w:pPr>
          </w:p>
        </w:tc>
        <w:tc>
          <w:tcPr>
            <w:tcW w:w="443" w:type="pct"/>
            <w:vAlign w:val="center"/>
          </w:tcPr>
          <w:p>
            <w:pPr>
              <w:tabs>
                <w:tab w:val="left" w:pos="7470"/>
              </w:tabs>
              <w:jc w:val="center"/>
              <w:rPr>
                <w:szCs w:val="21"/>
              </w:rPr>
            </w:pPr>
            <w:r>
              <w:rPr>
                <w:szCs w:val="21"/>
              </w:rPr>
              <w:t>H</w:t>
            </w:r>
            <w:r>
              <w:rPr>
                <w:szCs w:val="21"/>
                <w:vertAlign w:val="subscript"/>
              </w:rPr>
              <w:t>2</w:t>
            </w:r>
            <w:r>
              <w:rPr>
                <w:szCs w:val="21"/>
              </w:rPr>
              <w:t>S</w:t>
            </w:r>
          </w:p>
        </w:tc>
        <w:tc>
          <w:tcPr>
            <w:tcW w:w="447" w:type="pct"/>
            <w:vAlign w:val="center"/>
          </w:tcPr>
          <w:p>
            <w:pPr>
              <w:tabs>
                <w:tab w:val="left" w:pos="7470"/>
              </w:tabs>
              <w:jc w:val="center"/>
              <w:rPr>
                <w:szCs w:val="21"/>
              </w:rPr>
            </w:pPr>
            <w:r>
              <w:rPr>
                <w:rFonts w:hint="eastAsia"/>
                <w:szCs w:val="21"/>
              </w:rPr>
              <w:t>0</w:t>
            </w:r>
            <w:r>
              <w:rPr>
                <w:szCs w:val="21"/>
              </w:rPr>
              <w:t>.00002kg/h</w:t>
            </w:r>
          </w:p>
        </w:tc>
        <w:tc>
          <w:tcPr>
            <w:tcW w:w="353" w:type="pct"/>
            <w:vAlign w:val="center"/>
          </w:tcPr>
          <w:p>
            <w:pPr>
              <w:tabs>
                <w:tab w:val="left" w:pos="7470"/>
              </w:tabs>
              <w:jc w:val="center"/>
              <w:rPr>
                <w:szCs w:val="21"/>
              </w:rPr>
            </w:pPr>
            <w:r>
              <w:rPr>
                <w:rFonts w:hint="eastAsia"/>
                <w:szCs w:val="21"/>
              </w:rPr>
              <w:t>0</w:t>
            </w:r>
            <w:r>
              <w:rPr>
                <w:szCs w:val="21"/>
              </w:rPr>
              <w:t>.000175</w:t>
            </w:r>
          </w:p>
        </w:tc>
        <w:tc>
          <w:tcPr>
            <w:tcW w:w="1023" w:type="pct"/>
            <w:vMerge w:val="continue"/>
            <w:vAlign w:val="center"/>
          </w:tcPr>
          <w:p>
            <w:pPr>
              <w:tabs>
                <w:tab w:val="left" w:pos="7470"/>
              </w:tabs>
              <w:jc w:val="center"/>
              <w:rPr>
                <w:bCs/>
                <w:szCs w:val="21"/>
              </w:rPr>
            </w:pPr>
          </w:p>
        </w:tc>
        <w:tc>
          <w:tcPr>
            <w:tcW w:w="523" w:type="pct"/>
            <w:vAlign w:val="center"/>
          </w:tcPr>
          <w:p>
            <w:pPr>
              <w:tabs>
                <w:tab w:val="left" w:pos="7470"/>
              </w:tabs>
              <w:jc w:val="center"/>
              <w:rPr>
                <w:szCs w:val="21"/>
              </w:rPr>
            </w:pPr>
            <w:r>
              <w:rPr>
                <w:rFonts w:hint="eastAsia"/>
                <w:szCs w:val="21"/>
              </w:rPr>
              <w:t>0.000</w:t>
            </w:r>
            <w:r>
              <w:rPr>
                <w:szCs w:val="21"/>
              </w:rPr>
              <w:t>01</w:t>
            </w:r>
            <w:r>
              <w:rPr>
                <w:rFonts w:hint="eastAsia"/>
                <w:szCs w:val="21"/>
              </w:rPr>
              <w:t>kg/h</w:t>
            </w:r>
          </w:p>
        </w:tc>
        <w:tc>
          <w:tcPr>
            <w:tcW w:w="390" w:type="pct"/>
            <w:vAlign w:val="center"/>
          </w:tcPr>
          <w:p>
            <w:pPr>
              <w:tabs>
                <w:tab w:val="left" w:pos="7470"/>
              </w:tabs>
              <w:jc w:val="center"/>
              <w:rPr>
                <w:szCs w:val="21"/>
              </w:rPr>
            </w:pPr>
            <w:r>
              <w:rPr>
                <w:szCs w:val="21"/>
              </w:rPr>
              <w:t>0.0000875</w:t>
            </w:r>
          </w:p>
        </w:tc>
        <w:tc>
          <w:tcPr>
            <w:tcW w:w="342" w:type="pct"/>
            <w:vMerge w:val="continue"/>
            <w:vAlign w:val="center"/>
          </w:tcPr>
          <w:p>
            <w:pPr>
              <w:tabs>
                <w:tab w:val="left" w:pos="7470"/>
              </w:tabs>
              <w:spacing w:line="0" w:lineRule="atLeast"/>
              <w:jc w:val="center"/>
              <w:rPr>
                <w:szCs w:val="21"/>
              </w:rPr>
            </w:pPr>
          </w:p>
        </w:tc>
        <w:tc>
          <w:tcPr>
            <w:tcW w:w="344" w:type="pct"/>
            <w:vMerge w:val="continue"/>
            <w:vAlign w:val="center"/>
          </w:tcPr>
          <w:p>
            <w:pPr>
              <w:tabs>
                <w:tab w:val="left" w:pos="7470"/>
              </w:tabs>
              <w:spacing w:line="0" w:lineRule="atLeast"/>
              <w:jc w:val="center"/>
              <w:rPr>
                <w:szCs w:val="21"/>
              </w:rPr>
            </w:pPr>
          </w:p>
        </w:tc>
        <w:tc>
          <w:tcPr>
            <w:tcW w:w="369" w:type="pct"/>
            <w:vMerge w:val="continue"/>
            <w:vAlign w:val="center"/>
          </w:tcPr>
          <w:p>
            <w:pPr>
              <w:tabs>
                <w:tab w:val="left" w:pos="7470"/>
              </w:tabs>
              <w:spacing w:line="0" w:lineRule="atLeast"/>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tabs>
                <w:tab w:val="left" w:pos="7470"/>
              </w:tabs>
              <w:jc w:val="center"/>
              <w:rPr>
                <w:szCs w:val="21"/>
              </w:rPr>
            </w:pPr>
          </w:p>
        </w:tc>
        <w:tc>
          <w:tcPr>
            <w:tcW w:w="222" w:type="pct"/>
            <w:vMerge w:val="restart"/>
            <w:vAlign w:val="center"/>
          </w:tcPr>
          <w:p>
            <w:pPr>
              <w:tabs>
                <w:tab w:val="left" w:pos="7470"/>
              </w:tabs>
              <w:jc w:val="center"/>
              <w:rPr>
                <w:szCs w:val="21"/>
              </w:rPr>
            </w:pPr>
            <w:r>
              <w:rPr>
                <w:rFonts w:hint="eastAsia"/>
                <w:szCs w:val="21"/>
              </w:rPr>
              <w:t>锅炉废气</w:t>
            </w:r>
          </w:p>
        </w:tc>
        <w:tc>
          <w:tcPr>
            <w:tcW w:w="394" w:type="pct"/>
            <w:vMerge w:val="restart"/>
            <w:vAlign w:val="center"/>
          </w:tcPr>
          <w:p>
            <w:pPr>
              <w:tabs>
                <w:tab w:val="left" w:pos="7470"/>
              </w:tabs>
              <w:jc w:val="center"/>
              <w:rPr>
                <w:szCs w:val="21"/>
              </w:rPr>
            </w:pPr>
            <w:r>
              <w:rPr>
                <w:rFonts w:hint="eastAsia"/>
                <w:szCs w:val="21"/>
              </w:rPr>
              <w:t>导热油炉排气筒</w:t>
            </w:r>
          </w:p>
        </w:tc>
        <w:tc>
          <w:tcPr>
            <w:tcW w:w="443" w:type="pct"/>
            <w:vAlign w:val="center"/>
          </w:tcPr>
          <w:p>
            <w:pPr>
              <w:tabs>
                <w:tab w:val="left" w:pos="7470"/>
              </w:tabs>
              <w:jc w:val="center"/>
              <w:rPr>
                <w:szCs w:val="21"/>
              </w:rPr>
            </w:pPr>
            <w:r>
              <w:rPr>
                <w:rFonts w:hint="eastAsia"/>
                <w:szCs w:val="21"/>
              </w:rPr>
              <w:t>烟尘</w:t>
            </w:r>
          </w:p>
        </w:tc>
        <w:tc>
          <w:tcPr>
            <w:tcW w:w="447" w:type="pct"/>
            <w:vAlign w:val="center"/>
          </w:tcPr>
          <w:p>
            <w:pPr>
              <w:jc w:val="center"/>
              <w:rPr>
                <w:szCs w:val="21"/>
              </w:rPr>
            </w:pPr>
            <w:r>
              <w:rPr>
                <w:rFonts w:hint="eastAsia"/>
                <w:szCs w:val="21"/>
              </w:rPr>
              <w:t>8</w:t>
            </w:r>
            <w:r>
              <w:rPr>
                <w:szCs w:val="21"/>
              </w:rPr>
              <w:t>.2 mg/Nm</w:t>
            </w:r>
            <w:r>
              <w:rPr>
                <w:szCs w:val="21"/>
                <w:vertAlign w:val="superscript"/>
              </w:rPr>
              <w:t>3</w:t>
            </w:r>
          </w:p>
        </w:tc>
        <w:tc>
          <w:tcPr>
            <w:tcW w:w="353" w:type="pct"/>
            <w:vAlign w:val="center"/>
          </w:tcPr>
          <w:p>
            <w:pPr>
              <w:jc w:val="center"/>
              <w:rPr>
                <w:szCs w:val="21"/>
              </w:rPr>
            </w:pPr>
            <w:r>
              <w:rPr>
                <w:rFonts w:hint="eastAsia"/>
                <w:szCs w:val="21"/>
              </w:rPr>
              <w:t>0</w:t>
            </w:r>
            <w:r>
              <w:rPr>
                <w:szCs w:val="21"/>
              </w:rPr>
              <w:t>.12</w:t>
            </w:r>
          </w:p>
        </w:tc>
        <w:tc>
          <w:tcPr>
            <w:tcW w:w="1023" w:type="pct"/>
            <w:vMerge w:val="restart"/>
            <w:vAlign w:val="center"/>
          </w:tcPr>
          <w:p>
            <w:pPr>
              <w:tabs>
                <w:tab w:val="left" w:pos="7470"/>
              </w:tabs>
              <w:jc w:val="center"/>
              <w:rPr>
                <w:szCs w:val="21"/>
              </w:rPr>
            </w:pPr>
            <w:r>
              <w:rPr>
                <w:rFonts w:hint="eastAsia"/>
                <w:kern w:val="0"/>
                <w:szCs w:val="21"/>
              </w:rPr>
              <w:t>燃用液化天然气（L</w:t>
            </w:r>
            <w:r>
              <w:rPr>
                <w:kern w:val="0"/>
                <w:szCs w:val="21"/>
              </w:rPr>
              <w:t>NG</w:t>
            </w:r>
            <w:r>
              <w:rPr>
                <w:rFonts w:hint="eastAsia"/>
                <w:kern w:val="0"/>
                <w:szCs w:val="21"/>
              </w:rPr>
              <w:t>），使用低氮燃烧技术</w:t>
            </w:r>
          </w:p>
        </w:tc>
        <w:tc>
          <w:tcPr>
            <w:tcW w:w="523" w:type="pct"/>
            <w:vAlign w:val="center"/>
          </w:tcPr>
          <w:p>
            <w:pPr>
              <w:jc w:val="center"/>
              <w:rPr>
                <w:szCs w:val="21"/>
              </w:rPr>
            </w:pPr>
            <w:r>
              <w:rPr>
                <w:szCs w:val="21"/>
              </w:rPr>
              <w:t>8.2mg/Nm</w:t>
            </w:r>
            <w:r>
              <w:rPr>
                <w:szCs w:val="21"/>
                <w:vertAlign w:val="superscript"/>
              </w:rPr>
              <w:t>3</w:t>
            </w:r>
          </w:p>
        </w:tc>
        <w:tc>
          <w:tcPr>
            <w:tcW w:w="390" w:type="pct"/>
            <w:vAlign w:val="center"/>
          </w:tcPr>
          <w:p>
            <w:pPr>
              <w:jc w:val="center"/>
              <w:rPr>
                <w:szCs w:val="21"/>
              </w:rPr>
            </w:pPr>
            <w:r>
              <w:rPr>
                <w:rFonts w:hint="eastAsia"/>
                <w:szCs w:val="21"/>
              </w:rPr>
              <w:t>0</w:t>
            </w:r>
            <w:r>
              <w:rPr>
                <w:szCs w:val="21"/>
              </w:rPr>
              <w:t>.12</w:t>
            </w:r>
          </w:p>
        </w:tc>
        <w:tc>
          <w:tcPr>
            <w:tcW w:w="342" w:type="pct"/>
            <w:vMerge w:val="restart"/>
            <w:vAlign w:val="center"/>
          </w:tcPr>
          <w:p>
            <w:pPr>
              <w:tabs>
                <w:tab w:val="left" w:pos="7470"/>
              </w:tabs>
              <w:spacing w:line="0" w:lineRule="atLeast"/>
              <w:jc w:val="center"/>
              <w:rPr>
                <w:szCs w:val="21"/>
              </w:rPr>
            </w:pPr>
            <w:r>
              <w:rPr>
                <w:kern w:val="0"/>
                <w:szCs w:val="21"/>
              </w:rPr>
              <w:t>3027.7</w:t>
            </w:r>
          </w:p>
        </w:tc>
        <w:tc>
          <w:tcPr>
            <w:tcW w:w="344" w:type="pct"/>
            <w:vMerge w:val="restart"/>
            <w:vAlign w:val="center"/>
          </w:tcPr>
          <w:p>
            <w:pPr>
              <w:tabs>
                <w:tab w:val="left" w:pos="7470"/>
              </w:tabs>
              <w:spacing w:line="0" w:lineRule="atLeast"/>
              <w:jc w:val="center"/>
              <w:rPr>
                <w:szCs w:val="21"/>
              </w:rPr>
            </w:pPr>
            <w:r>
              <w:rPr>
                <w:rFonts w:hint="eastAsia"/>
                <w:szCs w:val="21"/>
              </w:rPr>
              <w:t>4800</w:t>
            </w:r>
          </w:p>
        </w:tc>
        <w:tc>
          <w:tcPr>
            <w:tcW w:w="369" w:type="pct"/>
            <w:vMerge w:val="restart"/>
            <w:vAlign w:val="center"/>
          </w:tcPr>
          <w:p>
            <w:pPr>
              <w:tabs>
                <w:tab w:val="left" w:pos="7470"/>
              </w:tabs>
              <w:spacing w:line="0" w:lineRule="atLeast"/>
              <w:jc w:val="center"/>
              <w:rPr>
                <w:szCs w:val="21"/>
              </w:rPr>
            </w:pPr>
            <w:r>
              <w:rPr>
                <w:rFonts w:hint="eastAsia"/>
                <w:szCs w:val="21"/>
              </w:rPr>
              <w:t>H</w:t>
            </w:r>
            <w:r>
              <w:rPr>
                <w:szCs w:val="21"/>
              </w:rPr>
              <w:t>=20m</w:t>
            </w:r>
          </w:p>
          <w:p>
            <w:pPr>
              <w:tabs>
                <w:tab w:val="left" w:pos="7470"/>
              </w:tabs>
              <w:spacing w:line="0" w:lineRule="atLeast"/>
              <w:jc w:val="center"/>
              <w:rPr>
                <w:szCs w:val="21"/>
              </w:rPr>
            </w:pPr>
            <w:r>
              <w:rPr>
                <w:rFonts w:hint="eastAsia"/>
                <w:szCs w:val="21"/>
              </w:rPr>
              <w:t>φ=</w:t>
            </w:r>
            <w:r>
              <w:rPr>
                <w:szCs w:val="21"/>
              </w:rPr>
              <w:t>0.3</w:t>
            </w:r>
            <w:r>
              <w:rPr>
                <w:rFonts w:hint="eastAsia"/>
                <w:szCs w:val="21"/>
              </w:rPr>
              <w:t>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pPr>
              <w:tabs>
                <w:tab w:val="left" w:pos="7470"/>
              </w:tabs>
              <w:jc w:val="center"/>
              <w:rPr>
                <w:szCs w:val="21"/>
              </w:rPr>
            </w:pPr>
          </w:p>
        </w:tc>
        <w:tc>
          <w:tcPr>
            <w:tcW w:w="222" w:type="pct"/>
            <w:vMerge w:val="continue"/>
            <w:vAlign w:val="center"/>
          </w:tcPr>
          <w:p>
            <w:pPr>
              <w:tabs>
                <w:tab w:val="left" w:pos="7470"/>
              </w:tabs>
              <w:jc w:val="center"/>
              <w:rPr>
                <w:szCs w:val="21"/>
              </w:rPr>
            </w:pPr>
          </w:p>
        </w:tc>
        <w:tc>
          <w:tcPr>
            <w:tcW w:w="394" w:type="pct"/>
            <w:vMerge w:val="continue"/>
            <w:vAlign w:val="center"/>
          </w:tcPr>
          <w:p>
            <w:pPr>
              <w:tabs>
                <w:tab w:val="left" w:pos="7470"/>
              </w:tabs>
              <w:jc w:val="center"/>
              <w:rPr>
                <w:szCs w:val="21"/>
              </w:rPr>
            </w:pPr>
          </w:p>
        </w:tc>
        <w:tc>
          <w:tcPr>
            <w:tcW w:w="443" w:type="pct"/>
            <w:vAlign w:val="center"/>
          </w:tcPr>
          <w:p>
            <w:pPr>
              <w:tabs>
                <w:tab w:val="left" w:pos="7470"/>
              </w:tabs>
              <w:jc w:val="center"/>
              <w:rPr>
                <w:szCs w:val="21"/>
              </w:rPr>
            </w:pPr>
            <w:r>
              <w:rPr>
                <w:rFonts w:hint="eastAsia"/>
                <w:szCs w:val="21"/>
              </w:rPr>
              <w:t>氮氧化物</w:t>
            </w:r>
          </w:p>
        </w:tc>
        <w:tc>
          <w:tcPr>
            <w:tcW w:w="447" w:type="pct"/>
            <w:vAlign w:val="center"/>
          </w:tcPr>
          <w:p>
            <w:pPr>
              <w:jc w:val="center"/>
              <w:rPr>
                <w:szCs w:val="21"/>
              </w:rPr>
            </w:pPr>
            <w:r>
              <w:rPr>
                <w:rFonts w:hint="eastAsia"/>
                <w:szCs w:val="21"/>
              </w:rPr>
              <w:t>8</w:t>
            </w:r>
            <w:r>
              <w:rPr>
                <w:szCs w:val="21"/>
              </w:rPr>
              <w:t>2.4 mg/Nm</w:t>
            </w:r>
            <w:r>
              <w:rPr>
                <w:szCs w:val="21"/>
                <w:vertAlign w:val="superscript"/>
              </w:rPr>
              <w:t>3</w:t>
            </w:r>
          </w:p>
        </w:tc>
        <w:tc>
          <w:tcPr>
            <w:tcW w:w="353" w:type="pct"/>
            <w:vAlign w:val="center"/>
          </w:tcPr>
          <w:p>
            <w:pPr>
              <w:jc w:val="center"/>
              <w:rPr>
                <w:szCs w:val="21"/>
              </w:rPr>
            </w:pPr>
            <w:r>
              <w:rPr>
                <w:rFonts w:hint="eastAsia"/>
                <w:szCs w:val="21"/>
              </w:rPr>
              <w:t>1</w:t>
            </w:r>
            <w:r>
              <w:rPr>
                <w:szCs w:val="21"/>
              </w:rPr>
              <w:t>.2</w:t>
            </w:r>
          </w:p>
        </w:tc>
        <w:tc>
          <w:tcPr>
            <w:tcW w:w="1023" w:type="pct"/>
            <w:vMerge w:val="continue"/>
            <w:vAlign w:val="center"/>
          </w:tcPr>
          <w:p>
            <w:pPr>
              <w:tabs>
                <w:tab w:val="left" w:pos="7470"/>
              </w:tabs>
              <w:jc w:val="center"/>
              <w:rPr>
                <w:szCs w:val="21"/>
              </w:rPr>
            </w:pPr>
          </w:p>
        </w:tc>
        <w:tc>
          <w:tcPr>
            <w:tcW w:w="523" w:type="pct"/>
            <w:vAlign w:val="center"/>
          </w:tcPr>
          <w:p>
            <w:pPr>
              <w:jc w:val="center"/>
              <w:rPr>
                <w:szCs w:val="21"/>
              </w:rPr>
            </w:pPr>
            <w:r>
              <w:rPr>
                <w:szCs w:val="21"/>
              </w:rPr>
              <w:t>82.4mg/Nm</w:t>
            </w:r>
            <w:r>
              <w:rPr>
                <w:szCs w:val="21"/>
                <w:vertAlign w:val="superscript"/>
              </w:rPr>
              <w:t>3</w:t>
            </w:r>
          </w:p>
        </w:tc>
        <w:tc>
          <w:tcPr>
            <w:tcW w:w="390" w:type="pct"/>
            <w:vAlign w:val="center"/>
          </w:tcPr>
          <w:p>
            <w:pPr>
              <w:jc w:val="center"/>
              <w:rPr>
                <w:szCs w:val="21"/>
              </w:rPr>
            </w:pPr>
            <w:r>
              <w:rPr>
                <w:rFonts w:hint="eastAsia"/>
                <w:szCs w:val="21"/>
              </w:rPr>
              <w:t>1</w:t>
            </w:r>
            <w:r>
              <w:rPr>
                <w:szCs w:val="21"/>
              </w:rPr>
              <w:t>.2</w:t>
            </w:r>
          </w:p>
        </w:tc>
        <w:tc>
          <w:tcPr>
            <w:tcW w:w="342" w:type="pct"/>
            <w:vMerge w:val="continue"/>
            <w:vAlign w:val="center"/>
          </w:tcPr>
          <w:p>
            <w:pPr>
              <w:tabs>
                <w:tab w:val="left" w:pos="7470"/>
              </w:tabs>
              <w:spacing w:line="0" w:lineRule="atLeast"/>
              <w:jc w:val="center"/>
              <w:rPr>
                <w:szCs w:val="21"/>
              </w:rPr>
            </w:pPr>
          </w:p>
        </w:tc>
        <w:tc>
          <w:tcPr>
            <w:tcW w:w="344" w:type="pct"/>
            <w:vMerge w:val="continue"/>
            <w:vAlign w:val="center"/>
          </w:tcPr>
          <w:p>
            <w:pPr>
              <w:tabs>
                <w:tab w:val="left" w:pos="7470"/>
              </w:tabs>
              <w:spacing w:line="0" w:lineRule="atLeast"/>
              <w:jc w:val="center"/>
              <w:rPr>
                <w:szCs w:val="21"/>
              </w:rPr>
            </w:pPr>
          </w:p>
        </w:tc>
        <w:tc>
          <w:tcPr>
            <w:tcW w:w="369" w:type="pct"/>
            <w:vMerge w:val="continue"/>
            <w:vAlign w:val="center"/>
          </w:tcPr>
          <w:p>
            <w:pPr>
              <w:tabs>
                <w:tab w:val="left" w:pos="7470"/>
              </w:tabs>
              <w:spacing w:line="0" w:lineRule="atLeast"/>
              <w:jc w:val="center"/>
              <w:rPr>
                <w:szCs w:val="21"/>
              </w:rPr>
            </w:pPr>
          </w:p>
        </w:tc>
      </w:tr>
      <w:bookmarkEnd w:id="60"/>
    </w:tbl>
    <w:p>
      <w:pPr>
        <w:spacing w:line="480" w:lineRule="exact"/>
        <w:ind w:firstLine="480" w:firstLineChars="200"/>
        <w:rPr>
          <w:sz w:val="24"/>
        </w:rPr>
      </w:pPr>
    </w:p>
    <w:p>
      <w:pPr>
        <w:spacing w:line="480" w:lineRule="exact"/>
        <w:ind w:firstLine="480" w:firstLineChars="200"/>
        <w:rPr>
          <w:sz w:val="24"/>
        </w:rPr>
        <w:sectPr>
          <w:pgSz w:w="16838" w:h="11906" w:orient="landscape"/>
          <w:pgMar w:top="1588" w:right="1531" w:bottom="1588" w:left="1531" w:header="851" w:footer="992" w:gutter="0"/>
          <w:cols w:space="425" w:num="1"/>
          <w:docGrid w:type="linesAndChars" w:linePitch="312" w:charSpace="0"/>
        </w:sectPr>
      </w:pPr>
    </w:p>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5</w:t>
      </w:r>
      <w:r>
        <w:rPr>
          <w:rFonts w:ascii="Times New Roman" w:hAnsi="Times New Roman" w:eastAsia="宋体"/>
          <w:b/>
        </w:rPr>
        <w:t>.</w:t>
      </w:r>
      <w:r>
        <w:rPr>
          <w:rFonts w:hint="eastAsia" w:ascii="Times New Roman" w:hAnsi="Times New Roman" w:eastAsia="宋体"/>
          <w:b/>
        </w:rPr>
        <w:t>2</w:t>
      </w:r>
      <w:r>
        <w:rPr>
          <w:rFonts w:hint="eastAsia" w:ascii="宋体" w:hAnsi="宋体" w:eastAsia="宋体"/>
          <w:b/>
        </w:rPr>
        <w:t>运营期水污染影响分析</w:t>
      </w:r>
    </w:p>
    <w:p>
      <w:pPr>
        <w:autoSpaceDE w:val="0"/>
        <w:autoSpaceDN w:val="0"/>
        <w:spacing w:line="480" w:lineRule="exact"/>
        <w:ind w:firstLine="480" w:firstLineChars="200"/>
        <w:rPr>
          <w:sz w:val="24"/>
        </w:rPr>
      </w:pPr>
      <w:r>
        <w:rPr>
          <w:rFonts w:hint="eastAsia"/>
          <w:sz w:val="24"/>
        </w:rPr>
        <w:t>养殖场废水主要包括鸡舍冲洗废水、职工生活污水、锅炉定排水和软水系统排水。</w:t>
      </w:r>
    </w:p>
    <w:p>
      <w:pPr>
        <w:spacing w:line="480" w:lineRule="exact"/>
        <w:ind w:firstLine="480" w:firstLineChars="200"/>
        <w:rPr>
          <w:b/>
          <w:bCs/>
          <w:sz w:val="24"/>
        </w:rPr>
      </w:pPr>
      <w:r>
        <w:rPr>
          <w:rFonts w:hint="eastAsia"/>
          <w:sz w:val="24"/>
        </w:rPr>
        <w:t>项目排水采用雨污分流制；雨水经雨水收集管网收集后由场区路旁排水沟排出场外。锅炉定排水、软水制备系统排水、生活污水、鸡舍冲洗废水集中收集，经污水处理站处理后，用于农田灌溉，不外排。</w:t>
      </w:r>
      <w:r>
        <w:rPr>
          <w:rFonts w:hint="eastAsia"/>
          <w:kern w:val="0"/>
          <w:sz w:val="24"/>
        </w:rPr>
        <w:t>污水处理站采用“生物接触氧化+沉淀+消毒”工艺，处理能力</w:t>
      </w:r>
      <w:r>
        <w:rPr>
          <w:kern w:val="0"/>
          <w:sz w:val="24"/>
        </w:rPr>
        <w:t>2</w:t>
      </w:r>
      <w:r>
        <w:rPr>
          <w:rFonts w:hint="eastAsia"/>
          <w:kern w:val="0"/>
          <w:sz w:val="24"/>
        </w:rPr>
        <w:t>m</w:t>
      </w:r>
      <w:r>
        <w:rPr>
          <w:rFonts w:hint="eastAsia"/>
          <w:kern w:val="0"/>
          <w:sz w:val="24"/>
          <w:vertAlign w:val="superscript"/>
        </w:rPr>
        <w:t>3</w:t>
      </w:r>
      <w:r>
        <w:rPr>
          <w:rFonts w:hint="eastAsia"/>
          <w:kern w:val="0"/>
          <w:sz w:val="24"/>
        </w:rPr>
        <w:t>/d。</w:t>
      </w:r>
    </w:p>
    <w:p>
      <w:pPr>
        <w:spacing w:line="480" w:lineRule="exact"/>
        <w:rPr>
          <w:b/>
          <w:bCs/>
          <w:sz w:val="24"/>
        </w:rPr>
      </w:pPr>
      <w:r>
        <w:rPr>
          <w:rFonts w:hint="eastAsia"/>
          <w:b/>
          <w:bCs/>
          <w:sz w:val="24"/>
        </w:rPr>
        <w:t>1、设备及</w:t>
      </w:r>
      <w:r>
        <w:rPr>
          <w:rFonts w:hint="eastAsia" w:hAnsi="宋体"/>
          <w:b/>
          <w:bCs/>
          <w:sz w:val="24"/>
        </w:rPr>
        <w:t>鸡舍冲洗废水</w:t>
      </w:r>
    </w:p>
    <w:p>
      <w:pPr>
        <w:spacing w:line="480" w:lineRule="exact"/>
        <w:ind w:firstLine="480" w:firstLineChars="200"/>
        <w:rPr>
          <w:sz w:val="24"/>
          <w:szCs w:val="24"/>
        </w:rPr>
      </w:pPr>
      <w:r>
        <w:rPr>
          <w:rFonts w:hint="eastAsia"/>
          <w:kern w:val="0"/>
          <w:sz w:val="24"/>
        </w:rPr>
        <w:t>设备及鸡舍冲洗废水排水量按用水量的</w:t>
      </w:r>
      <w:r>
        <w:rPr>
          <w:kern w:val="0"/>
          <w:sz w:val="24"/>
        </w:rPr>
        <w:t>90%</w:t>
      </w:r>
      <w:r>
        <w:rPr>
          <w:rFonts w:hint="eastAsia"/>
          <w:kern w:val="0"/>
          <w:sz w:val="24"/>
        </w:rPr>
        <w:t>计，则排水量为28.9</w:t>
      </w:r>
      <w:r>
        <w:rPr>
          <w:kern w:val="0"/>
          <w:sz w:val="24"/>
        </w:rPr>
        <w:t>m</w:t>
      </w:r>
      <w:r>
        <w:rPr>
          <w:kern w:val="0"/>
          <w:sz w:val="24"/>
          <w:vertAlign w:val="superscript"/>
        </w:rPr>
        <w:t>3</w:t>
      </w:r>
      <w:r>
        <w:rPr>
          <w:kern w:val="0"/>
          <w:sz w:val="24"/>
        </w:rPr>
        <w:t>/</w:t>
      </w:r>
      <w:r>
        <w:rPr>
          <w:rFonts w:hint="eastAsia"/>
          <w:kern w:val="0"/>
          <w:sz w:val="24"/>
        </w:rPr>
        <w:t>次，173.3</w:t>
      </w:r>
      <w:r>
        <w:rPr>
          <w:kern w:val="0"/>
          <w:sz w:val="24"/>
        </w:rPr>
        <w:t>m</w:t>
      </w:r>
      <w:r>
        <w:rPr>
          <w:kern w:val="0"/>
          <w:sz w:val="24"/>
          <w:vertAlign w:val="superscript"/>
        </w:rPr>
        <w:t>3</w:t>
      </w:r>
      <w:r>
        <w:rPr>
          <w:kern w:val="0"/>
          <w:sz w:val="24"/>
        </w:rPr>
        <w:t>/a</w:t>
      </w:r>
      <w:r>
        <w:rPr>
          <w:rFonts w:hint="eastAsia"/>
          <w:kern w:val="0"/>
          <w:sz w:val="24"/>
        </w:rPr>
        <w:t>。</w:t>
      </w:r>
      <w:r>
        <w:rPr>
          <w:rFonts w:hint="eastAsia"/>
          <w:sz w:val="24"/>
          <w:szCs w:val="24"/>
        </w:rPr>
        <w:t>设备及鸡舍冲洗废水中主要水污染物为</w:t>
      </w:r>
      <w:r>
        <w:rPr>
          <w:sz w:val="24"/>
          <w:szCs w:val="24"/>
        </w:rPr>
        <w:t>COD</w:t>
      </w:r>
      <w:r>
        <w:rPr>
          <w:sz w:val="24"/>
          <w:szCs w:val="24"/>
          <w:vertAlign w:val="subscript"/>
        </w:rPr>
        <w:t>Cr</w:t>
      </w:r>
      <w:r>
        <w:rPr>
          <w:rFonts w:hint="eastAsia"/>
          <w:sz w:val="24"/>
          <w:szCs w:val="24"/>
        </w:rPr>
        <w:t>、</w:t>
      </w:r>
      <w:r>
        <w:rPr>
          <w:sz w:val="24"/>
          <w:szCs w:val="24"/>
        </w:rPr>
        <w:t>NH</w:t>
      </w:r>
      <w:r>
        <w:rPr>
          <w:sz w:val="24"/>
          <w:szCs w:val="24"/>
          <w:vertAlign w:val="subscript"/>
        </w:rPr>
        <w:t>3</w:t>
      </w:r>
      <w:r>
        <w:rPr>
          <w:sz w:val="24"/>
          <w:szCs w:val="24"/>
        </w:rPr>
        <w:t>-N</w:t>
      </w:r>
      <w:r>
        <w:rPr>
          <w:rFonts w:hint="eastAsia"/>
          <w:sz w:val="24"/>
          <w:szCs w:val="24"/>
        </w:rPr>
        <w:t>、</w:t>
      </w:r>
      <w:r>
        <w:rPr>
          <w:sz w:val="24"/>
          <w:szCs w:val="24"/>
        </w:rPr>
        <w:t>TN</w:t>
      </w:r>
      <w:r>
        <w:rPr>
          <w:rFonts w:hint="eastAsia"/>
          <w:sz w:val="24"/>
          <w:szCs w:val="24"/>
        </w:rPr>
        <w:t>和</w:t>
      </w:r>
      <w:r>
        <w:rPr>
          <w:sz w:val="24"/>
          <w:szCs w:val="24"/>
        </w:rPr>
        <w:t>TP</w:t>
      </w:r>
      <w:r>
        <w:rPr>
          <w:rFonts w:hint="eastAsia"/>
          <w:sz w:val="24"/>
          <w:szCs w:val="24"/>
        </w:rPr>
        <w:t>等。参考《畜禽养殖业污染治理工程技术规范》附录</w:t>
      </w:r>
      <w:r>
        <w:rPr>
          <w:sz w:val="24"/>
          <w:szCs w:val="24"/>
        </w:rPr>
        <w:t>A</w:t>
      </w:r>
      <w:r>
        <w:rPr>
          <w:rFonts w:hint="eastAsia"/>
          <w:sz w:val="24"/>
          <w:szCs w:val="24"/>
        </w:rPr>
        <w:t>表</w:t>
      </w:r>
      <w:r>
        <w:rPr>
          <w:sz w:val="24"/>
          <w:szCs w:val="24"/>
        </w:rPr>
        <w:t>A</w:t>
      </w:r>
      <w:r>
        <w:rPr>
          <w:rFonts w:hint="eastAsia"/>
          <w:sz w:val="24"/>
          <w:szCs w:val="24"/>
        </w:rPr>
        <w:t>.1畜禽养殖场废水中的污染物浓度和p</w:t>
      </w:r>
      <w:r>
        <w:rPr>
          <w:sz w:val="24"/>
          <w:szCs w:val="24"/>
        </w:rPr>
        <w:t>H</w:t>
      </w:r>
      <w:r>
        <w:rPr>
          <w:rFonts w:hint="eastAsia"/>
          <w:sz w:val="24"/>
          <w:szCs w:val="24"/>
        </w:rPr>
        <w:t>值，本项目类比其表A</w:t>
      </w:r>
      <w:r>
        <w:rPr>
          <w:sz w:val="24"/>
          <w:szCs w:val="24"/>
        </w:rPr>
        <w:t>.1</w:t>
      </w:r>
      <w:r>
        <w:rPr>
          <w:rFonts w:hint="eastAsia"/>
          <w:sz w:val="24"/>
          <w:szCs w:val="24"/>
        </w:rPr>
        <w:t>中鸭类干清粪废水中污染物质量浓度来核算水污源源强。</w:t>
      </w:r>
    </w:p>
    <w:p>
      <w:pPr>
        <w:spacing w:line="480" w:lineRule="exact"/>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3.5-5</w:t>
      </w:r>
      <w:r>
        <w:rPr>
          <w:rFonts w:ascii="黑体" w:hAnsi="黑体" w:eastAsia="黑体"/>
          <w:sz w:val="24"/>
          <w:szCs w:val="21"/>
        </w:rPr>
        <w:t xml:space="preserve">  </w:t>
      </w:r>
      <w:r>
        <w:rPr>
          <w:rFonts w:hint="eastAsia" w:ascii="黑体" w:hAnsi="黑体" w:eastAsia="黑体"/>
          <w:sz w:val="24"/>
          <w:szCs w:val="21"/>
        </w:rPr>
        <w:t>畜禽养殖场废水中的污染物浓度和</w:t>
      </w:r>
      <w:r>
        <w:rPr>
          <w:rFonts w:ascii="黑体" w:hAnsi="黑体" w:eastAsia="黑体"/>
          <w:sz w:val="24"/>
          <w:szCs w:val="21"/>
        </w:rPr>
        <w:t>PH</w:t>
      </w:r>
      <w:r>
        <w:rPr>
          <w:rFonts w:hint="eastAsia" w:ascii="黑体" w:hAnsi="黑体" w:eastAsia="黑体"/>
          <w:sz w:val="24"/>
          <w:szCs w:val="21"/>
        </w:rPr>
        <w:t>值</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08"/>
        <w:gridCol w:w="1208"/>
        <w:gridCol w:w="1276"/>
        <w:gridCol w:w="1491"/>
        <w:gridCol w:w="1263"/>
        <w:gridCol w:w="1260"/>
        <w:gridCol w:w="12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08" w:type="dxa"/>
          </w:tcPr>
          <w:p>
            <w:pPr>
              <w:jc w:val="center"/>
              <w:rPr>
                <w:szCs w:val="24"/>
              </w:rPr>
            </w:pPr>
            <w:r>
              <w:rPr>
                <w:rFonts w:hint="eastAsia"/>
                <w:szCs w:val="24"/>
              </w:rPr>
              <w:t>养殖种类</w:t>
            </w:r>
          </w:p>
        </w:tc>
        <w:tc>
          <w:tcPr>
            <w:tcW w:w="1208" w:type="dxa"/>
          </w:tcPr>
          <w:p>
            <w:pPr>
              <w:jc w:val="center"/>
              <w:rPr>
                <w:szCs w:val="24"/>
              </w:rPr>
            </w:pPr>
            <w:r>
              <w:rPr>
                <w:rFonts w:hint="eastAsia"/>
                <w:szCs w:val="24"/>
              </w:rPr>
              <w:t>清粪方式</w:t>
            </w:r>
          </w:p>
        </w:tc>
        <w:tc>
          <w:tcPr>
            <w:tcW w:w="1276" w:type="dxa"/>
          </w:tcPr>
          <w:p>
            <w:pPr>
              <w:jc w:val="center"/>
              <w:rPr>
                <w:szCs w:val="24"/>
              </w:rPr>
            </w:pPr>
            <w:r>
              <w:rPr>
                <w:rFonts w:hint="eastAsia"/>
                <w:szCs w:val="24"/>
              </w:rPr>
              <w:t>COD(mg/L)</w:t>
            </w:r>
          </w:p>
        </w:tc>
        <w:tc>
          <w:tcPr>
            <w:tcW w:w="1491" w:type="dxa"/>
          </w:tcPr>
          <w:p>
            <w:pPr>
              <w:jc w:val="center"/>
              <w:rPr>
                <w:szCs w:val="24"/>
              </w:rPr>
            </w:pPr>
            <w:r>
              <w:rPr>
                <w:sz w:val="24"/>
                <w:szCs w:val="24"/>
              </w:rPr>
              <w:t>NH</w:t>
            </w:r>
            <w:r>
              <w:rPr>
                <w:sz w:val="24"/>
                <w:szCs w:val="24"/>
                <w:vertAlign w:val="subscript"/>
              </w:rPr>
              <w:t>3</w:t>
            </w:r>
            <w:r>
              <w:rPr>
                <w:sz w:val="24"/>
                <w:szCs w:val="24"/>
              </w:rPr>
              <w:t>-N</w:t>
            </w:r>
            <w:r>
              <w:rPr>
                <w:rFonts w:hint="eastAsia"/>
                <w:szCs w:val="24"/>
              </w:rPr>
              <w:t>(mg/L)</w:t>
            </w:r>
          </w:p>
        </w:tc>
        <w:tc>
          <w:tcPr>
            <w:tcW w:w="1263" w:type="dxa"/>
          </w:tcPr>
          <w:p>
            <w:pPr>
              <w:jc w:val="center"/>
              <w:rPr>
                <w:szCs w:val="24"/>
              </w:rPr>
            </w:pPr>
            <w:r>
              <w:rPr>
                <w:rFonts w:hint="eastAsia"/>
                <w:szCs w:val="24"/>
              </w:rPr>
              <w:t>TN(mg/L)</w:t>
            </w:r>
          </w:p>
        </w:tc>
        <w:tc>
          <w:tcPr>
            <w:tcW w:w="1260" w:type="dxa"/>
          </w:tcPr>
          <w:p>
            <w:pPr>
              <w:jc w:val="center"/>
              <w:rPr>
                <w:szCs w:val="24"/>
              </w:rPr>
            </w:pPr>
            <w:r>
              <w:rPr>
                <w:rFonts w:hint="eastAsia"/>
                <w:szCs w:val="24"/>
              </w:rPr>
              <w:t>TP(mg/L)</w:t>
            </w:r>
          </w:p>
        </w:tc>
        <w:tc>
          <w:tcPr>
            <w:tcW w:w="1240" w:type="dxa"/>
          </w:tcPr>
          <w:p>
            <w:pPr>
              <w:jc w:val="center"/>
              <w:rPr>
                <w:szCs w:val="24"/>
              </w:rPr>
            </w:pPr>
            <w:r>
              <w:rPr>
                <w:rFonts w:hint="eastAsia"/>
                <w:szCs w:val="24"/>
              </w:rPr>
              <w:t>pH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08" w:type="dxa"/>
          </w:tcPr>
          <w:p>
            <w:pPr>
              <w:jc w:val="center"/>
              <w:rPr>
                <w:szCs w:val="24"/>
              </w:rPr>
            </w:pPr>
            <w:r>
              <w:rPr>
                <w:rFonts w:hint="eastAsia"/>
                <w:szCs w:val="24"/>
              </w:rPr>
              <w:t>鸭</w:t>
            </w:r>
          </w:p>
        </w:tc>
        <w:tc>
          <w:tcPr>
            <w:tcW w:w="1208" w:type="dxa"/>
          </w:tcPr>
          <w:p>
            <w:pPr>
              <w:jc w:val="center"/>
              <w:rPr>
                <w:szCs w:val="24"/>
              </w:rPr>
            </w:pPr>
            <w:r>
              <w:rPr>
                <w:rFonts w:hint="eastAsia"/>
                <w:szCs w:val="24"/>
              </w:rPr>
              <w:t>干清粪</w:t>
            </w:r>
          </w:p>
        </w:tc>
        <w:tc>
          <w:tcPr>
            <w:tcW w:w="1276" w:type="dxa"/>
          </w:tcPr>
          <w:p>
            <w:pPr>
              <w:jc w:val="center"/>
              <w:rPr>
                <w:szCs w:val="24"/>
              </w:rPr>
            </w:pPr>
            <w:r>
              <w:rPr>
                <w:szCs w:val="24"/>
              </w:rPr>
              <w:t>27</w:t>
            </w:r>
          </w:p>
        </w:tc>
        <w:tc>
          <w:tcPr>
            <w:tcW w:w="1491" w:type="dxa"/>
          </w:tcPr>
          <w:p>
            <w:pPr>
              <w:jc w:val="center"/>
              <w:rPr>
                <w:szCs w:val="24"/>
              </w:rPr>
            </w:pPr>
            <w:r>
              <w:rPr>
                <w:szCs w:val="24"/>
              </w:rPr>
              <w:t>1.85</w:t>
            </w:r>
          </w:p>
        </w:tc>
        <w:tc>
          <w:tcPr>
            <w:tcW w:w="1263" w:type="dxa"/>
          </w:tcPr>
          <w:p>
            <w:pPr>
              <w:jc w:val="center"/>
              <w:rPr>
                <w:szCs w:val="24"/>
              </w:rPr>
            </w:pPr>
            <w:r>
              <w:rPr>
                <w:szCs w:val="24"/>
              </w:rPr>
              <w:t>4.70</w:t>
            </w:r>
          </w:p>
        </w:tc>
        <w:tc>
          <w:tcPr>
            <w:tcW w:w="1260" w:type="dxa"/>
          </w:tcPr>
          <w:p>
            <w:pPr>
              <w:jc w:val="center"/>
              <w:rPr>
                <w:szCs w:val="24"/>
              </w:rPr>
            </w:pPr>
            <w:r>
              <w:rPr>
                <w:szCs w:val="24"/>
              </w:rPr>
              <w:t>0.139</w:t>
            </w:r>
          </w:p>
        </w:tc>
        <w:tc>
          <w:tcPr>
            <w:tcW w:w="1240" w:type="dxa"/>
          </w:tcPr>
          <w:p>
            <w:pPr>
              <w:jc w:val="center"/>
              <w:rPr>
                <w:szCs w:val="24"/>
              </w:rPr>
            </w:pPr>
            <w:r>
              <w:rPr>
                <w:szCs w:val="24"/>
              </w:rPr>
              <w:t>7.39</w:t>
            </w:r>
          </w:p>
        </w:tc>
      </w:tr>
    </w:tbl>
    <w:p>
      <w:pPr>
        <w:spacing w:line="480" w:lineRule="exact"/>
        <w:rPr>
          <w:b/>
          <w:bCs/>
          <w:sz w:val="24"/>
        </w:rPr>
      </w:pPr>
      <w:r>
        <w:rPr>
          <w:rFonts w:hint="eastAsia"/>
          <w:b/>
          <w:bCs/>
          <w:sz w:val="24"/>
        </w:rPr>
        <w:t>2、锅炉定排水和软水系统排水</w:t>
      </w:r>
    </w:p>
    <w:p>
      <w:pPr>
        <w:spacing w:line="480" w:lineRule="exact"/>
        <w:ind w:firstLine="480" w:firstLineChars="200"/>
        <w:rPr>
          <w:kern w:val="0"/>
          <w:sz w:val="24"/>
        </w:rPr>
      </w:pPr>
      <w:r>
        <w:rPr>
          <w:rFonts w:hint="eastAsia"/>
          <w:kern w:val="0"/>
          <w:sz w:val="24"/>
        </w:rPr>
        <w:t>锅炉定排水按循环水量的</w:t>
      </w:r>
      <w:r>
        <w:rPr>
          <w:kern w:val="0"/>
          <w:sz w:val="24"/>
        </w:rPr>
        <w:t>0.5%</w:t>
      </w:r>
      <w:r>
        <w:rPr>
          <w:rFonts w:hint="eastAsia"/>
          <w:kern w:val="0"/>
          <w:sz w:val="24"/>
        </w:rPr>
        <w:t>计，</w:t>
      </w:r>
      <w:r>
        <w:rPr>
          <w:rFonts w:hint="eastAsia"/>
          <w:sz w:val="24"/>
        </w:rPr>
        <w:t>则采暖期定排水为0.</w:t>
      </w:r>
      <w:r>
        <w:rPr>
          <w:sz w:val="24"/>
        </w:rPr>
        <w:t>36</w:t>
      </w:r>
      <w:r>
        <w:rPr>
          <w:rFonts w:hint="eastAsia"/>
          <w:sz w:val="24"/>
        </w:rPr>
        <w:t>m</w:t>
      </w:r>
      <w:r>
        <w:rPr>
          <w:rFonts w:hint="eastAsia"/>
          <w:sz w:val="24"/>
          <w:vertAlign w:val="superscript"/>
        </w:rPr>
        <w:t>3</w:t>
      </w:r>
      <w:r>
        <w:rPr>
          <w:rFonts w:hint="eastAsia"/>
          <w:sz w:val="24"/>
        </w:rPr>
        <w:t>/d，</w:t>
      </w:r>
      <w:r>
        <w:rPr>
          <w:sz w:val="24"/>
        </w:rPr>
        <w:t>54</w:t>
      </w:r>
      <w:r>
        <w:rPr>
          <w:rFonts w:hint="eastAsia"/>
          <w:sz w:val="24"/>
        </w:rPr>
        <w:t>m</w:t>
      </w:r>
      <w:r>
        <w:rPr>
          <w:rFonts w:hint="eastAsia"/>
          <w:sz w:val="24"/>
          <w:vertAlign w:val="superscript"/>
        </w:rPr>
        <w:t>3</w:t>
      </w:r>
      <w:r>
        <w:rPr>
          <w:rFonts w:hint="eastAsia"/>
          <w:sz w:val="24"/>
        </w:rPr>
        <w:t>/a；非采暖期定排水为0.</w:t>
      </w:r>
      <w:r>
        <w:rPr>
          <w:sz w:val="24"/>
        </w:rPr>
        <w:t>12</w:t>
      </w:r>
      <w:r>
        <w:rPr>
          <w:rFonts w:hint="eastAsia"/>
          <w:sz w:val="24"/>
        </w:rPr>
        <w:t>m</w:t>
      </w:r>
      <w:r>
        <w:rPr>
          <w:rFonts w:hint="eastAsia"/>
          <w:sz w:val="24"/>
          <w:vertAlign w:val="superscript"/>
        </w:rPr>
        <w:t>3</w:t>
      </w:r>
      <w:r>
        <w:rPr>
          <w:rFonts w:hint="eastAsia"/>
          <w:sz w:val="24"/>
        </w:rPr>
        <w:t>/d，</w:t>
      </w:r>
      <w:r>
        <w:rPr>
          <w:sz w:val="24"/>
        </w:rPr>
        <w:t>18</w:t>
      </w:r>
      <w:r>
        <w:rPr>
          <w:rFonts w:hint="eastAsia"/>
          <w:sz w:val="24"/>
        </w:rPr>
        <w:t>m</w:t>
      </w:r>
      <w:r>
        <w:rPr>
          <w:rFonts w:hint="eastAsia"/>
          <w:sz w:val="24"/>
          <w:vertAlign w:val="superscript"/>
        </w:rPr>
        <w:t>3</w:t>
      </w:r>
      <w:r>
        <w:rPr>
          <w:rFonts w:hint="eastAsia"/>
          <w:sz w:val="24"/>
        </w:rPr>
        <w:t>/a。</w:t>
      </w:r>
      <w:r>
        <w:rPr>
          <w:rFonts w:hint="eastAsia"/>
          <w:kern w:val="0"/>
          <w:sz w:val="24"/>
        </w:rPr>
        <w:t>软水制备系统浓水采暖期产生量为</w:t>
      </w:r>
      <w:r>
        <w:rPr>
          <w:rFonts w:hint="eastAsia"/>
          <w:sz w:val="24"/>
        </w:rPr>
        <w:t>0.</w:t>
      </w:r>
      <w:r>
        <w:rPr>
          <w:sz w:val="24"/>
        </w:rPr>
        <w:t>18</w:t>
      </w:r>
      <w:r>
        <w:rPr>
          <w:rFonts w:hint="eastAsia"/>
          <w:sz w:val="24"/>
        </w:rPr>
        <w:t>m</w:t>
      </w:r>
      <w:r>
        <w:rPr>
          <w:rFonts w:hint="eastAsia"/>
          <w:sz w:val="24"/>
          <w:vertAlign w:val="superscript"/>
        </w:rPr>
        <w:t>3</w:t>
      </w:r>
      <w:r>
        <w:rPr>
          <w:rFonts w:hint="eastAsia"/>
          <w:sz w:val="24"/>
        </w:rPr>
        <w:t>/d，</w:t>
      </w:r>
      <w:r>
        <w:rPr>
          <w:sz w:val="24"/>
        </w:rPr>
        <w:t>27</w:t>
      </w:r>
      <w:r>
        <w:rPr>
          <w:rFonts w:hint="eastAsia"/>
          <w:sz w:val="24"/>
        </w:rPr>
        <w:t>m</w:t>
      </w:r>
      <w:r>
        <w:rPr>
          <w:rFonts w:hint="eastAsia"/>
          <w:sz w:val="24"/>
          <w:vertAlign w:val="superscript"/>
        </w:rPr>
        <w:t>3</w:t>
      </w:r>
      <w:r>
        <w:rPr>
          <w:rFonts w:hint="eastAsia"/>
          <w:sz w:val="24"/>
        </w:rPr>
        <w:t>/a；非采暖期浓水产生量为0.</w:t>
      </w:r>
      <w:r>
        <w:rPr>
          <w:sz w:val="24"/>
        </w:rPr>
        <w:t>06</w:t>
      </w:r>
      <w:r>
        <w:rPr>
          <w:rFonts w:hint="eastAsia"/>
          <w:sz w:val="24"/>
        </w:rPr>
        <w:t>m</w:t>
      </w:r>
      <w:r>
        <w:rPr>
          <w:rFonts w:hint="eastAsia"/>
          <w:sz w:val="24"/>
          <w:vertAlign w:val="superscript"/>
        </w:rPr>
        <w:t>3</w:t>
      </w:r>
      <w:r>
        <w:rPr>
          <w:rFonts w:hint="eastAsia"/>
          <w:sz w:val="24"/>
        </w:rPr>
        <w:t>/d，</w:t>
      </w:r>
      <w:r>
        <w:rPr>
          <w:sz w:val="24"/>
        </w:rPr>
        <w:t>9</w:t>
      </w:r>
      <w:r>
        <w:rPr>
          <w:rFonts w:hint="eastAsia"/>
          <w:sz w:val="24"/>
        </w:rPr>
        <w:t>m</w:t>
      </w:r>
      <w:r>
        <w:rPr>
          <w:rFonts w:hint="eastAsia"/>
          <w:sz w:val="24"/>
          <w:vertAlign w:val="superscript"/>
        </w:rPr>
        <w:t>3</w:t>
      </w:r>
      <w:r>
        <w:rPr>
          <w:rFonts w:hint="eastAsia"/>
          <w:sz w:val="24"/>
        </w:rPr>
        <w:t>/a。</w:t>
      </w:r>
      <w:r>
        <w:rPr>
          <w:rFonts w:hint="eastAsia"/>
          <w:kern w:val="0"/>
          <w:sz w:val="24"/>
        </w:rPr>
        <w:t>上述废水均为清净下水，所含污染物主要为COD：30mg/L，SS：30mg/L。</w:t>
      </w:r>
    </w:p>
    <w:p>
      <w:pPr>
        <w:spacing w:line="480" w:lineRule="exact"/>
        <w:rPr>
          <w:b/>
          <w:bCs/>
          <w:sz w:val="24"/>
        </w:rPr>
      </w:pPr>
      <w:r>
        <w:rPr>
          <w:rFonts w:hint="eastAsia"/>
          <w:b/>
          <w:bCs/>
          <w:sz w:val="24"/>
        </w:rPr>
        <w:t>3、生活污水</w:t>
      </w:r>
    </w:p>
    <w:p>
      <w:pPr>
        <w:spacing w:line="480" w:lineRule="exact"/>
        <w:ind w:firstLine="480" w:firstLineChars="200"/>
        <w:rPr>
          <w:sz w:val="24"/>
          <w:szCs w:val="24"/>
        </w:rPr>
      </w:pPr>
      <w:r>
        <w:rPr>
          <w:rFonts w:hint="eastAsia"/>
          <w:sz w:val="24"/>
        </w:rPr>
        <w:t>生活污水排水量按用水量的</w:t>
      </w:r>
      <w:r>
        <w:rPr>
          <w:sz w:val="24"/>
        </w:rPr>
        <w:t>80%</w:t>
      </w:r>
      <w:r>
        <w:rPr>
          <w:rFonts w:hint="eastAsia"/>
          <w:sz w:val="24"/>
        </w:rPr>
        <w:t>计，则生活污水产生量为0.</w:t>
      </w:r>
      <w:r>
        <w:rPr>
          <w:sz w:val="24"/>
        </w:rPr>
        <w:t>36m</w:t>
      </w:r>
      <w:r>
        <w:rPr>
          <w:sz w:val="24"/>
          <w:vertAlign w:val="superscript"/>
        </w:rPr>
        <w:t>3</w:t>
      </w:r>
      <w:r>
        <w:rPr>
          <w:sz w:val="24"/>
        </w:rPr>
        <w:t>/d</w:t>
      </w:r>
      <w:r>
        <w:rPr>
          <w:rFonts w:hint="eastAsia"/>
          <w:sz w:val="24"/>
        </w:rPr>
        <w:t>，</w:t>
      </w:r>
      <w:r>
        <w:rPr>
          <w:sz w:val="24"/>
        </w:rPr>
        <w:t>131.4</w:t>
      </w:r>
      <w:r>
        <w:rPr>
          <w:rFonts w:hint="eastAsia"/>
          <w:sz w:val="24"/>
        </w:rPr>
        <w:t>m</w:t>
      </w:r>
      <w:r>
        <w:rPr>
          <w:rFonts w:hint="eastAsia"/>
          <w:sz w:val="24"/>
          <w:vertAlign w:val="superscript"/>
        </w:rPr>
        <w:t>3</w:t>
      </w:r>
      <w:r>
        <w:rPr>
          <w:rFonts w:hint="eastAsia"/>
          <w:sz w:val="24"/>
        </w:rPr>
        <w:t>/a（按36</w:t>
      </w:r>
      <w:r>
        <w:rPr>
          <w:sz w:val="24"/>
        </w:rPr>
        <w:t>5</w:t>
      </w:r>
      <w:r>
        <w:rPr>
          <w:rFonts w:hint="eastAsia"/>
          <w:sz w:val="24"/>
        </w:rPr>
        <w:t>d/a计）。</w:t>
      </w:r>
      <w:r>
        <w:rPr>
          <w:rFonts w:hint="eastAsia"/>
          <w:sz w:val="24"/>
          <w:szCs w:val="24"/>
        </w:rPr>
        <w:t>项目生活污水主要为盥洗废水、食堂废水；主要水污染物为</w:t>
      </w:r>
      <w:r>
        <w:rPr>
          <w:sz w:val="24"/>
          <w:szCs w:val="24"/>
        </w:rPr>
        <w:t>COD</w:t>
      </w:r>
      <w:r>
        <w:rPr>
          <w:rFonts w:hint="eastAsia"/>
          <w:sz w:val="24"/>
          <w:szCs w:val="24"/>
        </w:rPr>
        <w:t>、</w:t>
      </w:r>
      <w:r>
        <w:rPr>
          <w:sz w:val="24"/>
          <w:szCs w:val="24"/>
        </w:rPr>
        <w:t>BOD</w:t>
      </w:r>
      <w:r>
        <w:rPr>
          <w:rFonts w:hint="eastAsia"/>
          <w:sz w:val="24"/>
          <w:szCs w:val="24"/>
          <w:vertAlign w:val="subscript"/>
        </w:rPr>
        <w:t>5</w:t>
      </w:r>
      <w:r>
        <w:rPr>
          <w:rFonts w:hint="eastAsia"/>
          <w:sz w:val="24"/>
          <w:szCs w:val="24"/>
        </w:rPr>
        <w:t>、</w:t>
      </w:r>
      <w:r>
        <w:rPr>
          <w:sz w:val="24"/>
          <w:szCs w:val="24"/>
        </w:rPr>
        <w:t>NH</w:t>
      </w:r>
      <w:r>
        <w:rPr>
          <w:rFonts w:hint="eastAsia"/>
          <w:sz w:val="24"/>
          <w:szCs w:val="24"/>
          <w:vertAlign w:val="subscript"/>
        </w:rPr>
        <w:t>3</w:t>
      </w:r>
      <w:r>
        <w:rPr>
          <w:sz w:val="24"/>
          <w:szCs w:val="24"/>
        </w:rPr>
        <w:t>-N</w:t>
      </w:r>
      <w:r>
        <w:rPr>
          <w:rFonts w:hint="eastAsia"/>
          <w:sz w:val="24"/>
          <w:szCs w:val="24"/>
        </w:rPr>
        <w:t>、</w:t>
      </w:r>
      <w:r>
        <w:rPr>
          <w:sz w:val="24"/>
          <w:szCs w:val="24"/>
        </w:rPr>
        <w:t>SS</w:t>
      </w:r>
      <w:r>
        <w:rPr>
          <w:rFonts w:hint="eastAsia"/>
          <w:sz w:val="24"/>
          <w:szCs w:val="24"/>
        </w:rPr>
        <w:t>和动植物油。类比类似生活污水水质，本项目职工生活污水水质情况大体为</w:t>
      </w:r>
      <w:r>
        <w:rPr>
          <w:sz w:val="24"/>
          <w:szCs w:val="24"/>
        </w:rPr>
        <w:t>COD</w:t>
      </w:r>
      <w:r>
        <w:rPr>
          <w:rFonts w:hint="eastAsia"/>
          <w:sz w:val="24"/>
          <w:szCs w:val="24"/>
        </w:rPr>
        <w:t>：</w:t>
      </w:r>
      <w:r>
        <w:rPr>
          <w:sz w:val="24"/>
          <w:szCs w:val="24"/>
        </w:rPr>
        <w:t>350mg</w:t>
      </w:r>
      <w:r>
        <w:rPr>
          <w:rFonts w:hint="eastAsia"/>
          <w:sz w:val="24"/>
          <w:szCs w:val="24"/>
        </w:rPr>
        <w:t>/</w:t>
      </w:r>
      <w:r>
        <w:rPr>
          <w:sz w:val="24"/>
          <w:szCs w:val="24"/>
        </w:rPr>
        <w:t>L</w:t>
      </w:r>
      <w:r>
        <w:rPr>
          <w:rFonts w:hint="eastAsia"/>
          <w:sz w:val="24"/>
          <w:szCs w:val="24"/>
        </w:rPr>
        <w:t>、</w:t>
      </w:r>
      <w:r>
        <w:rPr>
          <w:sz w:val="24"/>
          <w:szCs w:val="24"/>
        </w:rPr>
        <w:t>BO</w:t>
      </w:r>
      <w:r>
        <w:rPr>
          <w:iCs/>
          <w:sz w:val="24"/>
          <w:szCs w:val="24"/>
        </w:rPr>
        <w:t>D</w:t>
      </w:r>
      <w:r>
        <w:rPr>
          <w:rFonts w:hint="eastAsia"/>
          <w:iCs/>
          <w:sz w:val="24"/>
          <w:szCs w:val="24"/>
          <w:vertAlign w:val="subscript"/>
        </w:rPr>
        <w:t>5</w:t>
      </w:r>
      <w:r>
        <w:rPr>
          <w:rFonts w:hint="eastAsia"/>
          <w:sz w:val="24"/>
          <w:szCs w:val="24"/>
        </w:rPr>
        <w:t>：</w:t>
      </w:r>
      <w:r>
        <w:rPr>
          <w:sz w:val="24"/>
          <w:szCs w:val="24"/>
        </w:rPr>
        <w:t>80mg</w:t>
      </w:r>
      <w:r>
        <w:rPr>
          <w:rFonts w:hint="eastAsia"/>
          <w:sz w:val="24"/>
          <w:szCs w:val="24"/>
        </w:rPr>
        <w:t>/</w:t>
      </w:r>
      <w:r>
        <w:rPr>
          <w:sz w:val="24"/>
          <w:szCs w:val="24"/>
        </w:rPr>
        <w:t>L</w:t>
      </w:r>
      <w:r>
        <w:rPr>
          <w:rFonts w:hint="eastAsia"/>
          <w:sz w:val="24"/>
          <w:szCs w:val="24"/>
        </w:rPr>
        <w:t>、</w:t>
      </w:r>
      <w:r>
        <w:rPr>
          <w:sz w:val="24"/>
          <w:szCs w:val="24"/>
        </w:rPr>
        <w:t>NH</w:t>
      </w:r>
      <w:r>
        <w:rPr>
          <w:sz w:val="24"/>
          <w:szCs w:val="24"/>
          <w:vertAlign w:val="subscript"/>
        </w:rPr>
        <w:t>3</w:t>
      </w:r>
      <w:r>
        <w:rPr>
          <w:sz w:val="24"/>
          <w:szCs w:val="24"/>
        </w:rPr>
        <w:t>-N</w:t>
      </w:r>
      <w:r>
        <w:rPr>
          <w:rFonts w:hint="eastAsia"/>
          <w:sz w:val="24"/>
          <w:szCs w:val="24"/>
        </w:rPr>
        <w:t>：</w:t>
      </w:r>
      <w:r>
        <w:rPr>
          <w:sz w:val="24"/>
          <w:szCs w:val="24"/>
        </w:rPr>
        <w:t>25mg</w:t>
      </w:r>
      <w:r>
        <w:rPr>
          <w:rFonts w:hint="eastAsia"/>
          <w:sz w:val="24"/>
          <w:szCs w:val="24"/>
        </w:rPr>
        <w:t>/</w:t>
      </w:r>
      <w:r>
        <w:rPr>
          <w:sz w:val="24"/>
          <w:szCs w:val="24"/>
        </w:rPr>
        <w:t>L</w:t>
      </w:r>
      <w:r>
        <w:rPr>
          <w:rFonts w:hint="eastAsia"/>
          <w:sz w:val="24"/>
          <w:szCs w:val="24"/>
        </w:rPr>
        <w:t>、</w:t>
      </w:r>
      <w:r>
        <w:rPr>
          <w:sz w:val="24"/>
          <w:szCs w:val="24"/>
        </w:rPr>
        <w:t>SS</w:t>
      </w:r>
      <w:r>
        <w:rPr>
          <w:rFonts w:hint="eastAsia"/>
          <w:sz w:val="24"/>
          <w:szCs w:val="24"/>
        </w:rPr>
        <w:t>：</w:t>
      </w:r>
      <w:r>
        <w:rPr>
          <w:sz w:val="24"/>
          <w:szCs w:val="24"/>
        </w:rPr>
        <w:t>200mg</w:t>
      </w:r>
      <w:r>
        <w:rPr>
          <w:rFonts w:hint="eastAsia"/>
          <w:sz w:val="24"/>
          <w:szCs w:val="24"/>
        </w:rPr>
        <w:t>/L。</w:t>
      </w:r>
    </w:p>
    <w:p>
      <w:pPr>
        <w:spacing w:line="480" w:lineRule="exact"/>
        <w:rPr>
          <w:b/>
          <w:bCs/>
          <w:sz w:val="24"/>
        </w:rPr>
      </w:pPr>
      <w:r>
        <w:rPr>
          <w:rFonts w:hint="eastAsia"/>
          <w:b/>
          <w:bCs/>
          <w:sz w:val="24"/>
        </w:rPr>
        <w:t>4、</w:t>
      </w:r>
      <w:r>
        <w:rPr>
          <w:rFonts w:hint="eastAsia" w:hAnsi="宋体"/>
          <w:b/>
          <w:bCs/>
          <w:sz w:val="24"/>
        </w:rPr>
        <w:t>水</w:t>
      </w:r>
      <w:r>
        <w:rPr>
          <w:rFonts w:hAnsi="宋体"/>
          <w:b/>
          <w:bCs/>
          <w:sz w:val="24"/>
        </w:rPr>
        <w:t>污染物</w:t>
      </w:r>
      <w:r>
        <w:rPr>
          <w:rFonts w:hint="eastAsia" w:hAnsi="宋体"/>
          <w:b/>
          <w:bCs/>
          <w:sz w:val="24"/>
        </w:rPr>
        <w:t>产排</w:t>
      </w:r>
      <w:r>
        <w:rPr>
          <w:rFonts w:hAnsi="宋体"/>
          <w:b/>
          <w:bCs/>
          <w:sz w:val="24"/>
        </w:rPr>
        <w:t>量</w:t>
      </w:r>
      <w:r>
        <w:rPr>
          <w:rFonts w:hint="eastAsia" w:hAnsi="宋体"/>
          <w:b/>
          <w:bCs/>
          <w:sz w:val="24"/>
        </w:rPr>
        <w:t>汇总</w:t>
      </w:r>
    </w:p>
    <w:p>
      <w:pPr>
        <w:spacing w:line="480" w:lineRule="exact"/>
        <w:ind w:firstLine="480" w:firstLineChars="200"/>
        <w:rPr>
          <w:sz w:val="24"/>
        </w:rPr>
      </w:pPr>
      <w:r>
        <w:rPr>
          <w:rFonts w:hint="eastAsia"/>
          <w:kern w:val="0"/>
          <w:sz w:val="24"/>
        </w:rPr>
        <w:t>根据本项目建成运营后污水产生情况及水质情况核算废水源强及排放情况，详见</w:t>
      </w:r>
      <w:r>
        <w:rPr>
          <w:sz w:val="24"/>
        </w:rPr>
        <w:t>表</w:t>
      </w:r>
      <w:r>
        <w:rPr>
          <w:rFonts w:hint="eastAsia"/>
          <w:sz w:val="24"/>
        </w:rPr>
        <w:t>3.5-6</w:t>
      </w:r>
      <w:r>
        <w:rPr>
          <w:sz w:val="24"/>
        </w:rPr>
        <w:t>。</w:t>
      </w:r>
    </w:p>
    <w:p>
      <w:pPr>
        <w:spacing w:line="480" w:lineRule="exact"/>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3.5-6</w:t>
      </w:r>
      <w:r>
        <w:rPr>
          <w:rFonts w:ascii="黑体" w:hAnsi="黑体" w:eastAsia="黑体"/>
          <w:sz w:val="24"/>
          <w:szCs w:val="21"/>
        </w:rPr>
        <w:t xml:space="preserve">  </w:t>
      </w:r>
      <w:r>
        <w:rPr>
          <w:rFonts w:hint="eastAsia" w:ascii="黑体" w:hAnsi="黑体" w:eastAsia="黑体"/>
          <w:sz w:val="24"/>
          <w:szCs w:val="21"/>
        </w:rPr>
        <w:t>本项目水</w:t>
      </w:r>
      <w:r>
        <w:rPr>
          <w:rFonts w:ascii="黑体" w:hAnsi="黑体" w:eastAsia="黑体"/>
          <w:sz w:val="24"/>
          <w:szCs w:val="21"/>
        </w:rPr>
        <w:t>污染物</w:t>
      </w:r>
      <w:r>
        <w:rPr>
          <w:rFonts w:hint="eastAsia" w:ascii="黑体" w:hAnsi="黑体" w:eastAsia="黑体"/>
          <w:sz w:val="24"/>
          <w:szCs w:val="21"/>
        </w:rPr>
        <w:t>产排量汇总表</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36"/>
        <w:gridCol w:w="1560"/>
        <w:gridCol w:w="1089"/>
        <w:gridCol w:w="933"/>
        <w:gridCol w:w="931"/>
        <w:gridCol w:w="933"/>
        <w:gridCol w:w="931"/>
        <w:gridCol w:w="1017"/>
        <w:gridCol w:w="9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Align w:val="center"/>
          </w:tcPr>
          <w:p>
            <w:pPr>
              <w:jc w:val="center"/>
              <w:rPr>
                <w:szCs w:val="21"/>
              </w:rPr>
            </w:pPr>
            <w:r>
              <w:rPr>
                <w:rFonts w:hAnsi="宋体"/>
                <w:szCs w:val="21"/>
              </w:rPr>
              <w:t>污染物</w:t>
            </w:r>
          </w:p>
        </w:tc>
        <w:tc>
          <w:tcPr>
            <w:tcW w:w="861" w:type="pct"/>
            <w:vAlign w:val="center"/>
          </w:tcPr>
          <w:p>
            <w:pPr>
              <w:jc w:val="center"/>
              <w:rPr>
                <w:szCs w:val="21"/>
              </w:rPr>
            </w:pPr>
          </w:p>
        </w:tc>
        <w:tc>
          <w:tcPr>
            <w:tcW w:w="601" w:type="pct"/>
            <w:vAlign w:val="center"/>
          </w:tcPr>
          <w:p>
            <w:pPr>
              <w:jc w:val="center"/>
              <w:rPr>
                <w:szCs w:val="21"/>
              </w:rPr>
            </w:pPr>
            <w:r>
              <w:rPr>
                <w:rFonts w:hAnsi="宋体"/>
                <w:szCs w:val="21"/>
              </w:rPr>
              <w:t>废水量</w:t>
            </w:r>
          </w:p>
          <w:p>
            <w:pPr>
              <w:jc w:val="center"/>
              <w:rPr>
                <w:szCs w:val="21"/>
              </w:rPr>
            </w:pPr>
            <w:r>
              <w:rPr>
                <w:szCs w:val="21"/>
              </w:rPr>
              <w:t>m</w:t>
            </w:r>
            <w:r>
              <w:rPr>
                <w:szCs w:val="21"/>
                <w:vertAlign w:val="superscript"/>
              </w:rPr>
              <w:t>3</w:t>
            </w:r>
            <w:r>
              <w:rPr>
                <w:szCs w:val="21"/>
              </w:rPr>
              <w:t>/a</w:t>
            </w:r>
          </w:p>
        </w:tc>
        <w:tc>
          <w:tcPr>
            <w:tcW w:w="515" w:type="pct"/>
            <w:vAlign w:val="center"/>
          </w:tcPr>
          <w:p>
            <w:pPr>
              <w:jc w:val="center"/>
              <w:rPr>
                <w:szCs w:val="21"/>
              </w:rPr>
            </w:pPr>
            <w:r>
              <w:rPr>
                <w:szCs w:val="21"/>
              </w:rPr>
              <w:t>COD</w:t>
            </w:r>
          </w:p>
        </w:tc>
        <w:tc>
          <w:tcPr>
            <w:tcW w:w="514" w:type="pct"/>
            <w:vAlign w:val="center"/>
          </w:tcPr>
          <w:p>
            <w:pPr>
              <w:jc w:val="center"/>
              <w:rPr>
                <w:szCs w:val="21"/>
              </w:rPr>
            </w:pPr>
            <w:r>
              <w:rPr>
                <w:szCs w:val="21"/>
              </w:rPr>
              <w:t>BOD</w:t>
            </w:r>
          </w:p>
        </w:tc>
        <w:tc>
          <w:tcPr>
            <w:tcW w:w="515" w:type="pct"/>
            <w:vAlign w:val="center"/>
          </w:tcPr>
          <w:p>
            <w:pPr>
              <w:jc w:val="center"/>
              <w:rPr>
                <w:szCs w:val="21"/>
              </w:rPr>
            </w:pPr>
            <w:r>
              <w:rPr>
                <w:szCs w:val="21"/>
              </w:rPr>
              <w:t>NH</w:t>
            </w:r>
            <w:r>
              <w:rPr>
                <w:szCs w:val="21"/>
                <w:vertAlign w:val="subscript"/>
              </w:rPr>
              <w:t>3</w:t>
            </w:r>
            <w:r>
              <w:rPr>
                <w:szCs w:val="21"/>
              </w:rPr>
              <w:t>-N</w:t>
            </w:r>
          </w:p>
        </w:tc>
        <w:tc>
          <w:tcPr>
            <w:tcW w:w="514" w:type="pct"/>
            <w:vAlign w:val="center"/>
          </w:tcPr>
          <w:p>
            <w:pPr>
              <w:jc w:val="center"/>
              <w:rPr>
                <w:szCs w:val="21"/>
              </w:rPr>
            </w:pPr>
            <w:r>
              <w:rPr>
                <w:szCs w:val="21"/>
              </w:rPr>
              <w:t>TN</w:t>
            </w:r>
          </w:p>
        </w:tc>
        <w:tc>
          <w:tcPr>
            <w:tcW w:w="561" w:type="pct"/>
            <w:vAlign w:val="center"/>
          </w:tcPr>
          <w:p>
            <w:pPr>
              <w:jc w:val="center"/>
              <w:rPr>
                <w:szCs w:val="21"/>
              </w:rPr>
            </w:pPr>
            <w:r>
              <w:rPr>
                <w:szCs w:val="21"/>
              </w:rPr>
              <w:t>TP</w:t>
            </w:r>
          </w:p>
        </w:tc>
        <w:tc>
          <w:tcPr>
            <w:tcW w:w="513" w:type="pct"/>
            <w:vAlign w:val="center"/>
          </w:tcPr>
          <w:p>
            <w:pPr>
              <w:jc w:val="center"/>
              <w:rPr>
                <w:szCs w:val="21"/>
              </w:rPr>
            </w:pPr>
            <w:r>
              <w:rPr>
                <w:szCs w:val="21"/>
              </w:rPr>
              <w:t>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restart"/>
            <w:vAlign w:val="center"/>
          </w:tcPr>
          <w:p>
            <w:pPr>
              <w:jc w:val="center"/>
              <w:rPr>
                <w:szCs w:val="21"/>
              </w:rPr>
            </w:pPr>
            <w:r>
              <w:rPr>
                <w:rFonts w:hAnsi="宋体"/>
                <w:szCs w:val="21"/>
              </w:rPr>
              <w:t>养殖废水</w:t>
            </w:r>
          </w:p>
        </w:tc>
        <w:tc>
          <w:tcPr>
            <w:tcW w:w="861" w:type="pct"/>
            <w:vAlign w:val="center"/>
          </w:tcPr>
          <w:p>
            <w:pPr>
              <w:jc w:val="center"/>
              <w:rPr>
                <w:szCs w:val="21"/>
              </w:rPr>
            </w:pPr>
            <w:r>
              <w:rPr>
                <w:rFonts w:hAnsi="宋体"/>
                <w:szCs w:val="21"/>
              </w:rPr>
              <w:t>产生浓度</w:t>
            </w:r>
            <w:r>
              <w:rPr>
                <w:szCs w:val="21"/>
              </w:rPr>
              <w:t>mg/L</w:t>
            </w:r>
          </w:p>
        </w:tc>
        <w:tc>
          <w:tcPr>
            <w:tcW w:w="601" w:type="pct"/>
            <w:vMerge w:val="restart"/>
            <w:vAlign w:val="center"/>
          </w:tcPr>
          <w:p>
            <w:pPr>
              <w:jc w:val="center"/>
              <w:rPr>
                <w:szCs w:val="21"/>
              </w:rPr>
            </w:pPr>
            <w:r>
              <w:rPr>
                <w:rFonts w:hint="eastAsia"/>
                <w:szCs w:val="21"/>
              </w:rPr>
              <w:t>173.3</w:t>
            </w:r>
          </w:p>
        </w:tc>
        <w:tc>
          <w:tcPr>
            <w:tcW w:w="515" w:type="pct"/>
            <w:vAlign w:val="center"/>
          </w:tcPr>
          <w:p>
            <w:pPr>
              <w:jc w:val="center"/>
              <w:rPr>
                <w:szCs w:val="21"/>
              </w:rPr>
            </w:pPr>
            <w:r>
              <w:rPr>
                <w:rFonts w:hint="eastAsia"/>
                <w:szCs w:val="21"/>
              </w:rPr>
              <w:t>2</w:t>
            </w:r>
            <w:r>
              <w:rPr>
                <w:szCs w:val="21"/>
              </w:rPr>
              <w:t>7</w:t>
            </w:r>
          </w:p>
        </w:tc>
        <w:tc>
          <w:tcPr>
            <w:tcW w:w="514" w:type="pct"/>
            <w:vAlign w:val="center"/>
          </w:tcPr>
          <w:p>
            <w:pPr>
              <w:jc w:val="center"/>
              <w:rPr>
                <w:szCs w:val="21"/>
              </w:rPr>
            </w:pPr>
            <w:r>
              <w:rPr>
                <w:rFonts w:hint="eastAsia"/>
                <w:szCs w:val="21"/>
              </w:rPr>
              <w:t>/</w:t>
            </w:r>
          </w:p>
        </w:tc>
        <w:tc>
          <w:tcPr>
            <w:tcW w:w="515" w:type="pct"/>
            <w:vAlign w:val="center"/>
          </w:tcPr>
          <w:p>
            <w:pPr>
              <w:jc w:val="center"/>
              <w:rPr>
                <w:szCs w:val="21"/>
              </w:rPr>
            </w:pPr>
            <w:r>
              <w:rPr>
                <w:szCs w:val="21"/>
              </w:rPr>
              <w:t>1.85</w:t>
            </w:r>
          </w:p>
        </w:tc>
        <w:tc>
          <w:tcPr>
            <w:tcW w:w="514" w:type="pct"/>
            <w:vAlign w:val="center"/>
          </w:tcPr>
          <w:p>
            <w:pPr>
              <w:jc w:val="center"/>
              <w:rPr>
                <w:szCs w:val="21"/>
              </w:rPr>
            </w:pPr>
            <w:r>
              <w:rPr>
                <w:szCs w:val="21"/>
              </w:rPr>
              <w:t>4.7</w:t>
            </w:r>
          </w:p>
        </w:tc>
        <w:tc>
          <w:tcPr>
            <w:tcW w:w="561" w:type="pct"/>
            <w:vAlign w:val="center"/>
          </w:tcPr>
          <w:p>
            <w:pPr>
              <w:jc w:val="center"/>
              <w:rPr>
                <w:szCs w:val="21"/>
              </w:rPr>
            </w:pPr>
            <w:r>
              <w:rPr>
                <w:szCs w:val="21"/>
              </w:rPr>
              <w:t>0.139</w:t>
            </w:r>
          </w:p>
        </w:tc>
        <w:tc>
          <w:tcPr>
            <w:tcW w:w="513" w:type="pct"/>
            <w:vAlign w:val="center"/>
          </w:tcPr>
          <w:p>
            <w:pPr>
              <w:jc w:val="center"/>
              <w:rPr>
                <w:szCs w:val="21"/>
              </w:rPr>
            </w:pPr>
            <w:r>
              <w:rPr>
                <w:rFonts w:hint="eastAsia"/>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continue"/>
            <w:vAlign w:val="center"/>
          </w:tcPr>
          <w:p>
            <w:pPr>
              <w:jc w:val="center"/>
              <w:rPr>
                <w:szCs w:val="21"/>
              </w:rPr>
            </w:pPr>
          </w:p>
        </w:tc>
        <w:tc>
          <w:tcPr>
            <w:tcW w:w="861" w:type="pct"/>
            <w:vAlign w:val="center"/>
          </w:tcPr>
          <w:p>
            <w:pPr>
              <w:jc w:val="center"/>
              <w:rPr>
                <w:szCs w:val="21"/>
              </w:rPr>
            </w:pPr>
            <w:r>
              <w:rPr>
                <w:rFonts w:hAnsi="宋体"/>
                <w:szCs w:val="21"/>
              </w:rPr>
              <w:t>产生量</w:t>
            </w:r>
            <w:r>
              <w:rPr>
                <w:szCs w:val="21"/>
              </w:rPr>
              <w:t>t/a</w:t>
            </w:r>
          </w:p>
        </w:tc>
        <w:tc>
          <w:tcPr>
            <w:tcW w:w="601" w:type="pct"/>
            <w:vMerge w:val="continue"/>
            <w:vAlign w:val="center"/>
          </w:tcPr>
          <w:p>
            <w:pPr>
              <w:jc w:val="center"/>
              <w:rPr>
                <w:szCs w:val="21"/>
              </w:rPr>
            </w:pPr>
          </w:p>
        </w:tc>
        <w:tc>
          <w:tcPr>
            <w:tcW w:w="515" w:type="pct"/>
            <w:vAlign w:val="center"/>
          </w:tcPr>
          <w:p>
            <w:pPr>
              <w:jc w:val="center"/>
              <w:rPr>
                <w:szCs w:val="21"/>
              </w:rPr>
            </w:pPr>
            <w:r>
              <w:rPr>
                <w:rFonts w:hint="eastAsia"/>
                <w:szCs w:val="21"/>
              </w:rPr>
              <w:t>0.0047</w:t>
            </w:r>
          </w:p>
        </w:tc>
        <w:tc>
          <w:tcPr>
            <w:tcW w:w="514" w:type="pct"/>
            <w:vAlign w:val="center"/>
          </w:tcPr>
          <w:p>
            <w:pPr>
              <w:jc w:val="center"/>
              <w:rPr>
                <w:szCs w:val="21"/>
              </w:rPr>
            </w:pPr>
            <w:r>
              <w:rPr>
                <w:rFonts w:hint="eastAsia"/>
                <w:szCs w:val="21"/>
              </w:rPr>
              <w:t>/</w:t>
            </w:r>
          </w:p>
        </w:tc>
        <w:tc>
          <w:tcPr>
            <w:tcW w:w="515" w:type="pct"/>
            <w:vAlign w:val="center"/>
          </w:tcPr>
          <w:p>
            <w:pPr>
              <w:jc w:val="center"/>
              <w:rPr>
                <w:szCs w:val="21"/>
              </w:rPr>
            </w:pPr>
            <w:r>
              <w:rPr>
                <w:rFonts w:hint="eastAsia"/>
                <w:szCs w:val="21"/>
              </w:rPr>
              <w:t>0.00032</w:t>
            </w:r>
          </w:p>
        </w:tc>
        <w:tc>
          <w:tcPr>
            <w:tcW w:w="514" w:type="pct"/>
            <w:vAlign w:val="center"/>
          </w:tcPr>
          <w:p>
            <w:pPr>
              <w:jc w:val="center"/>
              <w:rPr>
                <w:szCs w:val="21"/>
              </w:rPr>
            </w:pPr>
            <w:r>
              <w:rPr>
                <w:rFonts w:hint="eastAsia"/>
                <w:szCs w:val="21"/>
              </w:rPr>
              <w:t>0.00081</w:t>
            </w:r>
          </w:p>
        </w:tc>
        <w:tc>
          <w:tcPr>
            <w:tcW w:w="561" w:type="pct"/>
            <w:vAlign w:val="center"/>
          </w:tcPr>
          <w:p>
            <w:pPr>
              <w:jc w:val="center"/>
              <w:rPr>
                <w:szCs w:val="21"/>
              </w:rPr>
            </w:pPr>
            <w:r>
              <w:rPr>
                <w:rFonts w:hint="eastAsia"/>
                <w:szCs w:val="21"/>
              </w:rPr>
              <w:t>0.000024</w:t>
            </w:r>
          </w:p>
        </w:tc>
        <w:tc>
          <w:tcPr>
            <w:tcW w:w="513" w:type="pct"/>
            <w:vAlign w:val="center"/>
          </w:tcPr>
          <w:p>
            <w:pPr>
              <w:jc w:val="center"/>
              <w:rPr>
                <w:szCs w:val="21"/>
              </w:rPr>
            </w:pPr>
            <w:r>
              <w:rPr>
                <w:rFonts w:hint="eastAsia"/>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restart"/>
            <w:vAlign w:val="center"/>
          </w:tcPr>
          <w:p>
            <w:pPr>
              <w:jc w:val="center"/>
              <w:rPr>
                <w:szCs w:val="21"/>
              </w:rPr>
            </w:pPr>
            <w:r>
              <w:rPr>
                <w:rFonts w:hAnsi="宋体"/>
                <w:szCs w:val="21"/>
              </w:rPr>
              <w:t>锅炉排水</w:t>
            </w:r>
          </w:p>
        </w:tc>
        <w:tc>
          <w:tcPr>
            <w:tcW w:w="861" w:type="pct"/>
            <w:vAlign w:val="center"/>
          </w:tcPr>
          <w:p>
            <w:pPr>
              <w:jc w:val="center"/>
              <w:rPr>
                <w:szCs w:val="21"/>
              </w:rPr>
            </w:pPr>
            <w:r>
              <w:rPr>
                <w:rFonts w:hAnsi="宋体"/>
                <w:szCs w:val="21"/>
              </w:rPr>
              <w:t>产生浓度</w:t>
            </w:r>
            <w:r>
              <w:rPr>
                <w:szCs w:val="21"/>
              </w:rPr>
              <w:t>mg/L</w:t>
            </w:r>
          </w:p>
        </w:tc>
        <w:tc>
          <w:tcPr>
            <w:tcW w:w="601" w:type="pct"/>
            <w:vMerge w:val="restart"/>
            <w:vAlign w:val="center"/>
          </w:tcPr>
          <w:p>
            <w:pPr>
              <w:jc w:val="center"/>
              <w:rPr>
                <w:szCs w:val="21"/>
              </w:rPr>
            </w:pPr>
            <w:r>
              <w:rPr>
                <w:szCs w:val="21"/>
              </w:rPr>
              <w:t>108</w:t>
            </w:r>
          </w:p>
        </w:tc>
        <w:tc>
          <w:tcPr>
            <w:tcW w:w="515" w:type="pct"/>
            <w:vAlign w:val="center"/>
          </w:tcPr>
          <w:p>
            <w:pPr>
              <w:jc w:val="center"/>
              <w:rPr>
                <w:szCs w:val="21"/>
              </w:rPr>
            </w:pPr>
            <w:r>
              <w:rPr>
                <w:rFonts w:hint="eastAsia"/>
                <w:szCs w:val="21"/>
              </w:rPr>
              <w:t>30</w:t>
            </w:r>
          </w:p>
        </w:tc>
        <w:tc>
          <w:tcPr>
            <w:tcW w:w="514" w:type="pct"/>
            <w:vAlign w:val="center"/>
          </w:tcPr>
          <w:p>
            <w:pPr>
              <w:jc w:val="center"/>
              <w:rPr>
                <w:szCs w:val="21"/>
              </w:rPr>
            </w:pPr>
            <w:r>
              <w:rPr>
                <w:rFonts w:hint="eastAsia"/>
                <w:szCs w:val="21"/>
              </w:rPr>
              <w:t>/</w:t>
            </w:r>
          </w:p>
        </w:tc>
        <w:tc>
          <w:tcPr>
            <w:tcW w:w="515" w:type="pct"/>
            <w:vAlign w:val="center"/>
          </w:tcPr>
          <w:p>
            <w:pPr>
              <w:jc w:val="center"/>
              <w:rPr>
                <w:szCs w:val="21"/>
              </w:rPr>
            </w:pPr>
            <w:r>
              <w:rPr>
                <w:rFonts w:hint="eastAsia"/>
                <w:szCs w:val="21"/>
              </w:rPr>
              <w:t>/</w:t>
            </w:r>
          </w:p>
        </w:tc>
        <w:tc>
          <w:tcPr>
            <w:tcW w:w="514" w:type="pct"/>
            <w:vAlign w:val="center"/>
          </w:tcPr>
          <w:p>
            <w:pPr>
              <w:jc w:val="center"/>
              <w:rPr>
                <w:szCs w:val="21"/>
              </w:rPr>
            </w:pPr>
            <w:r>
              <w:rPr>
                <w:rFonts w:hint="eastAsia"/>
                <w:szCs w:val="21"/>
              </w:rPr>
              <w:t>/</w:t>
            </w:r>
          </w:p>
        </w:tc>
        <w:tc>
          <w:tcPr>
            <w:tcW w:w="561" w:type="pct"/>
            <w:vAlign w:val="center"/>
          </w:tcPr>
          <w:p>
            <w:pPr>
              <w:jc w:val="center"/>
              <w:rPr>
                <w:szCs w:val="21"/>
              </w:rPr>
            </w:pPr>
            <w:r>
              <w:rPr>
                <w:rFonts w:hint="eastAsia"/>
                <w:szCs w:val="21"/>
              </w:rPr>
              <w:t>/</w:t>
            </w:r>
          </w:p>
        </w:tc>
        <w:tc>
          <w:tcPr>
            <w:tcW w:w="513" w:type="pct"/>
            <w:vAlign w:val="center"/>
          </w:tcPr>
          <w:p>
            <w:pPr>
              <w:jc w:val="center"/>
              <w:rPr>
                <w:szCs w:val="21"/>
              </w:rPr>
            </w:pPr>
            <w:r>
              <w:rPr>
                <w:rFonts w:hint="eastAsia"/>
                <w:szCs w:val="21"/>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continue"/>
            <w:vAlign w:val="center"/>
          </w:tcPr>
          <w:p>
            <w:pPr>
              <w:jc w:val="center"/>
              <w:rPr>
                <w:szCs w:val="21"/>
              </w:rPr>
            </w:pPr>
          </w:p>
        </w:tc>
        <w:tc>
          <w:tcPr>
            <w:tcW w:w="861" w:type="pct"/>
            <w:vAlign w:val="center"/>
          </w:tcPr>
          <w:p>
            <w:pPr>
              <w:jc w:val="center"/>
              <w:rPr>
                <w:szCs w:val="21"/>
              </w:rPr>
            </w:pPr>
            <w:r>
              <w:rPr>
                <w:rFonts w:hAnsi="宋体"/>
                <w:szCs w:val="21"/>
              </w:rPr>
              <w:t>产生量</w:t>
            </w:r>
            <w:r>
              <w:rPr>
                <w:szCs w:val="21"/>
              </w:rPr>
              <w:t>t/a</w:t>
            </w:r>
          </w:p>
        </w:tc>
        <w:tc>
          <w:tcPr>
            <w:tcW w:w="601" w:type="pct"/>
            <w:vMerge w:val="continue"/>
            <w:vAlign w:val="center"/>
          </w:tcPr>
          <w:p>
            <w:pPr>
              <w:jc w:val="center"/>
              <w:rPr>
                <w:szCs w:val="21"/>
              </w:rPr>
            </w:pPr>
          </w:p>
        </w:tc>
        <w:tc>
          <w:tcPr>
            <w:tcW w:w="515" w:type="pct"/>
            <w:vAlign w:val="center"/>
          </w:tcPr>
          <w:p>
            <w:pPr>
              <w:jc w:val="center"/>
              <w:rPr>
                <w:szCs w:val="21"/>
              </w:rPr>
            </w:pPr>
            <w:r>
              <w:rPr>
                <w:rFonts w:hint="eastAsia"/>
                <w:szCs w:val="21"/>
              </w:rPr>
              <w:t>0.00</w:t>
            </w:r>
            <w:r>
              <w:rPr>
                <w:szCs w:val="21"/>
              </w:rPr>
              <w:t>33</w:t>
            </w:r>
          </w:p>
        </w:tc>
        <w:tc>
          <w:tcPr>
            <w:tcW w:w="514" w:type="pct"/>
            <w:vAlign w:val="center"/>
          </w:tcPr>
          <w:p>
            <w:pPr>
              <w:jc w:val="center"/>
              <w:rPr>
                <w:szCs w:val="21"/>
              </w:rPr>
            </w:pPr>
            <w:r>
              <w:rPr>
                <w:rFonts w:hint="eastAsia"/>
                <w:szCs w:val="21"/>
              </w:rPr>
              <w:t>/</w:t>
            </w:r>
          </w:p>
        </w:tc>
        <w:tc>
          <w:tcPr>
            <w:tcW w:w="515" w:type="pct"/>
            <w:vAlign w:val="center"/>
          </w:tcPr>
          <w:p>
            <w:pPr>
              <w:jc w:val="center"/>
              <w:rPr>
                <w:szCs w:val="21"/>
              </w:rPr>
            </w:pPr>
            <w:r>
              <w:rPr>
                <w:rFonts w:hint="eastAsia"/>
                <w:szCs w:val="21"/>
              </w:rPr>
              <w:t>/</w:t>
            </w:r>
          </w:p>
        </w:tc>
        <w:tc>
          <w:tcPr>
            <w:tcW w:w="514" w:type="pct"/>
            <w:vAlign w:val="center"/>
          </w:tcPr>
          <w:p>
            <w:pPr>
              <w:jc w:val="center"/>
              <w:rPr>
                <w:szCs w:val="21"/>
              </w:rPr>
            </w:pPr>
            <w:r>
              <w:rPr>
                <w:rFonts w:hint="eastAsia"/>
                <w:szCs w:val="21"/>
              </w:rPr>
              <w:t>/</w:t>
            </w:r>
          </w:p>
        </w:tc>
        <w:tc>
          <w:tcPr>
            <w:tcW w:w="561" w:type="pct"/>
            <w:vAlign w:val="center"/>
          </w:tcPr>
          <w:p>
            <w:pPr>
              <w:jc w:val="center"/>
              <w:rPr>
                <w:szCs w:val="21"/>
              </w:rPr>
            </w:pPr>
            <w:r>
              <w:rPr>
                <w:rFonts w:hint="eastAsia"/>
                <w:szCs w:val="21"/>
              </w:rPr>
              <w:t>/</w:t>
            </w:r>
          </w:p>
        </w:tc>
        <w:tc>
          <w:tcPr>
            <w:tcW w:w="513" w:type="pct"/>
            <w:vAlign w:val="center"/>
          </w:tcPr>
          <w:p>
            <w:pPr>
              <w:jc w:val="center"/>
              <w:rPr>
                <w:szCs w:val="21"/>
              </w:rPr>
            </w:pPr>
            <w:r>
              <w:rPr>
                <w:rFonts w:hint="eastAsia"/>
                <w:szCs w:val="21"/>
              </w:rPr>
              <w:t>0.00</w:t>
            </w:r>
            <w:r>
              <w:rPr>
                <w:szCs w:val="21"/>
              </w:rPr>
              <w:t>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restart"/>
            <w:vAlign w:val="center"/>
          </w:tcPr>
          <w:p>
            <w:pPr>
              <w:jc w:val="center"/>
              <w:rPr>
                <w:szCs w:val="21"/>
              </w:rPr>
            </w:pPr>
            <w:r>
              <w:rPr>
                <w:rFonts w:hAnsi="宋体"/>
                <w:szCs w:val="21"/>
              </w:rPr>
              <w:t>生活污水</w:t>
            </w:r>
          </w:p>
        </w:tc>
        <w:tc>
          <w:tcPr>
            <w:tcW w:w="861" w:type="pct"/>
            <w:vAlign w:val="center"/>
          </w:tcPr>
          <w:p>
            <w:pPr>
              <w:jc w:val="center"/>
              <w:rPr>
                <w:szCs w:val="21"/>
              </w:rPr>
            </w:pPr>
            <w:r>
              <w:rPr>
                <w:rFonts w:hAnsi="宋体"/>
                <w:szCs w:val="21"/>
              </w:rPr>
              <w:t>产生浓度</w:t>
            </w:r>
            <w:r>
              <w:rPr>
                <w:szCs w:val="21"/>
              </w:rPr>
              <w:t>mg/L</w:t>
            </w:r>
          </w:p>
        </w:tc>
        <w:tc>
          <w:tcPr>
            <w:tcW w:w="601" w:type="pct"/>
            <w:vMerge w:val="restart"/>
            <w:vAlign w:val="center"/>
          </w:tcPr>
          <w:p>
            <w:pPr>
              <w:jc w:val="center"/>
              <w:rPr>
                <w:szCs w:val="21"/>
              </w:rPr>
            </w:pPr>
            <w:r>
              <w:rPr>
                <w:szCs w:val="21"/>
              </w:rPr>
              <w:t>131.4</w:t>
            </w:r>
          </w:p>
        </w:tc>
        <w:tc>
          <w:tcPr>
            <w:tcW w:w="515" w:type="pct"/>
            <w:vAlign w:val="center"/>
          </w:tcPr>
          <w:p>
            <w:pPr>
              <w:jc w:val="center"/>
              <w:rPr>
                <w:szCs w:val="21"/>
              </w:rPr>
            </w:pPr>
            <w:r>
              <w:rPr>
                <w:rFonts w:hint="eastAsia"/>
                <w:szCs w:val="21"/>
              </w:rPr>
              <w:t>350</w:t>
            </w:r>
          </w:p>
        </w:tc>
        <w:tc>
          <w:tcPr>
            <w:tcW w:w="514" w:type="pct"/>
            <w:vAlign w:val="center"/>
          </w:tcPr>
          <w:p>
            <w:pPr>
              <w:jc w:val="center"/>
              <w:rPr>
                <w:szCs w:val="21"/>
              </w:rPr>
            </w:pPr>
            <w:r>
              <w:rPr>
                <w:rFonts w:hint="eastAsia"/>
                <w:szCs w:val="21"/>
              </w:rPr>
              <w:t>180</w:t>
            </w:r>
          </w:p>
        </w:tc>
        <w:tc>
          <w:tcPr>
            <w:tcW w:w="515" w:type="pct"/>
            <w:vAlign w:val="center"/>
          </w:tcPr>
          <w:p>
            <w:pPr>
              <w:jc w:val="center"/>
              <w:rPr>
                <w:szCs w:val="21"/>
              </w:rPr>
            </w:pPr>
            <w:r>
              <w:rPr>
                <w:rFonts w:hint="eastAsia"/>
                <w:szCs w:val="21"/>
              </w:rPr>
              <w:t>25</w:t>
            </w:r>
          </w:p>
        </w:tc>
        <w:tc>
          <w:tcPr>
            <w:tcW w:w="514" w:type="pct"/>
            <w:vAlign w:val="center"/>
          </w:tcPr>
          <w:p>
            <w:pPr>
              <w:jc w:val="center"/>
              <w:rPr>
                <w:szCs w:val="21"/>
              </w:rPr>
            </w:pPr>
            <w:r>
              <w:rPr>
                <w:rFonts w:hint="eastAsia"/>
                <w:szCs w:val="21"/>
              </w:rPr>
              <w:t>30</w:t>
            </w:r>
          </w:p>
        </w:tc>
        <w:tc>
          <w:tcPr>
            <w:tcW w:w="561" w:type="pct"/>
            <w:vAlign w:val="center"/>
          </w:tcPr>
          <w:p>
            <w:pPr>
              <w:jc w:val="center"/>
              <w:rPr>
                <w:szCs w:val="21"/>
              </w:rPr>
            </w:pPr>
            <w:r>
              <w:rPr>
                <w:rFonts w:hint="eastAsia"/>
                <w:szCs w:val="21"/>
              </w:rPr>
              <w:t>/</w:t>
            </w:r>
          </w:p>
        </w:tc>
        <w:tc>
          <w:tcPr>
            <w:tcW w:w="513" w:type="pct"/>
            <w:vAlign w:val="center"/>
          </w:tcPr>
          <w:p>
            <w:pPr>
              <w:jc w:val="center"/>
              <w:rPr>
                <w:szCs w:val="21"/>
              </w:rPr>
            </w:pPr>
            <w:r>
              <w:rPr>
                <w:rFonts w:hint="eastAsia"/>
                <w:szCs w:val="21"/>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continue"/>
            <w:vAlign w:val="center"/>
          </w:tcPr>
          <w:p>
            <w:pPr>
              <w:jc w:val="center"/>
              <w:rPr>
                <w:szCs w:val="21"/>
              </w:rPr>
            </w:pPr>
          </w:p>
        </w:tc>
        <w:tc>
          <w:tcPr>
            <w:tcW w:w="861" w:type="pct"/>
            <w:vAlign w:val="center"/>
          </w:tcPr>
          <w:p>
            <w:pPr>
              <w:jc w:val="center"/>
              <w:rPr>
                <w:szCs w:val="21"/>
              </w:rPr>
            </w:pPr>
            <w:r>
              <w:rPr>
                <w:rFonts w:hAnsi="宋体"/>
                <w:szCs w:val="21"/>
              </w:rPr>
              <w:t>产生量</w:t>
            </w:r>
            <w:r>
              <w:rPr>
                <w:szCs w:val="21"/>
              </w:rPr>
              <w:t>t/a</w:t>
            </w:r>
          </w:p>
        </w:tc>
        <w:tc>
          <w:tcPr>
            <w:tcW w:w="601" w:type="pct"/>
            <w:vMerge w:val="continue"/>
            <w:vAlign w:val="center"/>
          </w:tcPr>
          <w:p>
            <w:pPr>
              <w:jc w:val="center"/>
              <w:rPr>
                <w:szCs w:val="21"/>
              </w:rPr>
            </w:pPr>
          </w:p>
        </w:tc>
        <w:tc>
          <w:tcPr>
            <w:tcW w:w="515" w:type="pct"/>
            <w:vAlign w:val="center"/>
          </w:tcPr>
          <w:p>
            <w:pPr>
              <w:jc w:val="center"/>
              <w:rPr>
                <w:szCs w:val="21"/>
              </w:rPr>
            </w:pPr>
            <w:r>
              <w:rPr>
                <w:szCs w:val="21"/>
              </w:rPr>
              <w:t>0.046</w:t>
            </w:r>
          </w:p>
        </w:tc>
        <w:tc>
          <w:tcPr>
            <w:tcW w:w="514" w:type="pct"/>
            <w:vAlign w:val="center"/>
          </w:tcPr>
          <w:p>
            <w:pPr>
              <w:jc w:val="center"/>
              <w:rPr>
                <w:szCs w:val="21"/>
              </w:rPr>
            </w:pPr>
            <w:r>
              <w:rPr>
                <w:szCs w:val="21"/>
              </w:rPr>
              <w:t>0.024</w:t>
            </w:r>
          </w:p>
        </w:tc>
        <w:tc>
          <w:tcPr>
            <w:tcW w:w="515" w:type="pct"/>
            <w:vAlign w:val="center"/>
          </w:tcPr>
          <w:p>
            <w:pPr>
              <w:jc w:val="center"/>
              <w:rPr>
                <w:szCs w:val="21"/>
              </w:rPr>
            </w:pPr>
            <w:r>
              <w:rPr>
                <w:szCs w:val="21"/>
              </w:rPr>
              <w:t>0.0033</w:t>
            </w:r>
          </w:p>
        </w:tc>
        <w:tc>
          <w:tcPr>
            <w:tcW w:w="514" w:type="pct"/>
            <w:vAlign w:val="center"/>
          </w:tcPr>
          <w:p>
            <w:pPr>
              <w:jc w:val="center"/>
              <w:rPr>
                <w:szCs w:val="21"/>
              </w:rPr>
            </w:pPr>
            <w:r>
              <w:rPr>
                <w:rFonts w:hint="eastAsia"/>
                <w:szCs w:val="21"/>
              </w:rPr>
              <w:t>0</w:t>
            </w:r>
            <w:r>
              <w:rPr>
                <w:szCs w:val="21"/>
              </w:rPr>
              <w:t>.004</w:t>
            </w:r>
          </w:p>
        </w:tc>
        <w:tc>
          <w:tcPr>
            <w:tcW w:w="561" w:type="pct"/>
            <w:vAlign w:val="center"/>
          </w:tcPr>
          <w:p>
            <w:pPr>
              <w:jc w:val="center"/>
              <w:rPr>
                <w:szCs w:val="21"/>
              </w:rPr>
            </w:pPr>
          </w:p>
        </w:tc>
        <w:tc>
          <w:tcPr>
            <w:tcW w:w="513" w:type="pct"/>
            <w:vAlign w:val="center"/>
          </w:tcPr>
          <w:p>
            <w:pPr>
              <w:jc w:val="center"/>
              <w:rPr>
                <w:szCs w:val="21"/>
              </w:rPr>
            </w:pPr>
            <w:r>
              <w:rPr>
                <w:szCs w:val="21"/>
              </w:rPr>
              <w:t>0.026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restart"/>
            <w:tcBorders>
              <w:right w:val="single" w:color="auto" w:sz="4" w:space="0"/>
            </w:tcBorders>
            <w:vAlign w:val="center"/>
          </w:tcPr>
          <w:p>
            <w:pPr>
              <w:jc w:val="center"/>
              <w:rPr>
                <w:szCs w:val="21"/>
              </w:rPr>
            </w:pPr>
            <w:r>
              <w:rPr>
                <w:rFonts w:hint="eastAsia"/>
                <w:szCs w:val="21"/>
              </w:rPr>
              <w:t>合计</w:t>
            </w:r>
          </w:p>
        </w:tc>
        <w:tc>
          <w:tcPr>
            <w:tcW w:w="861" w:type="pct"/>
            <w:tcBorders>
              <w:left w:val="single" w:color="auto" w:sz="4" w:space="0"/>
            </w:tcBorders>
            <w:vAlign w:val="center"/>
          </w:tcPr>
          <w:p>
            <w:pPr>
              <w:jc w:val="center"/>
              <w:rPr>
                <w:rFonts w:hAnsi="宋体"/>
                <w:szCs w:val="21"/>
              </w:rPr>
            </w:pPr>
            <w:r>
              <w:rPr>
                <w:rFonts w:hint="eastAsia" w:hAnsi="宋体"/>
                <w:szCs w:val="21"/>
              </w:rPr>
              <w:t>混合浓度</w:t>
            </w:r>
            <w:r>
              <w:rPr>
                <w:szCs w:val="21"/>
              </w:rPr>
              <w:t>mg/L</w:t>
            </w:r>
          </w:p>
        </w:tc>
        <w:tc>
          <w:tcPr>
            <w:tcW w:w="601" w:type="pct"/>
            <w:vMerge w:val="restart"/>
            <w:vAlign w:val="center"/>
          </w:tcPr>
          <w:p>
            <w:pPr>
              <w:jc w:val="center"/>
              <w:rPr>
                <w:szCs w:val="21"/>
              </w:rPr>
            </w:pPr>
            <w:r>
              <w:rPr>
                <w:rFonts w:hint="eastAsia"/>
                <w:szCs w:val="21"/>
              </w:rPr>
              <w:t>412.7</w:t>
            </w:r>
          </w:p>
        </w:tc>
        <w:tc>
          <w:tcPr>
            <w:tcW w:w="515" w:type="pct"/>
            <w:vAlign w:val="center"/>
          </w:tcPr>
          <w:p>
            <w:pPr>
              <w:jc w:val="center"/>
              <w:rPr>
                <w:szCs w:val="21"/>
              </w:rPr>
            </w:pPr>
            <w:r>
              <w:rPr>
                <w:rFonts w:hint="eastAsia"/>
                <w:szCs w:val="21"/>
              </w:rPr>
              <w:t>130.8</w:t>
            </w:r>
          </w:p>
        </w:tc>
        <w:tc>
          <w:tcPr>
            <w:tcW w:w="514" w:type="pct"/>
            <w:vAlign w:val="center"/>
          </w:tcPr>
          <w:p>
            <w:pPr>
              <w:jc w:val="center"/>
              <w:rPr>
                <w:szCs w:val="21"/>
              </w:rPr>
            </w:pPr>
            <w:r>
              <w:rPr>
                <w:rFonts w:hint="eastAsia"/>
                <w:szCs w:val="21"/>
              </w:rPr>
              <w:t>58.2</w:t>
            </w:r>
          </w:p>
        </w:tc>
        <w:tc>
          <w:tcPr>
            <w:tcW w:w="515" w:type="pct"/>
            <w:vAlign w:val="center"/>
          </w:tcPr>
          <w:p>
            <w:pPr>
              <w:jc w:val="center"/>
              <w:rPr>
                <w:szCs w:val="21"/>
              </w:rPr>
            </w:pPr>
            <w:r>
              <w:rPr>
                <w:rFonts w:hint="eastAsia"/>
                <w:szCs w:val="21"/>
              </w:rPr>
              <w:t>8.8</w:t>
            </w:r>
          </w:p>
        </w:tc>
        <w:tc>
          <w:tcPr>
            <w:tcW w:w="514" w:type="pct"/>
            <w:vAlign w:val="center"/>
          </w:tcPr>
          <w:p>
            <w:pPr>
              <w:jc w:val="center"/>
              <w:rPr>
                <w:szCs w:val="21"/>
              </w:rPr>
            </w:pPr>
            <w:r>
              <w:rPr>
                <w:rFonts w:hint="eastAsia"/>
                <w:szCs w:val="21"/>
              </w:rPr>
              <w:t>11.6</w:t>
            </w:r>
          </w:p>
        </w:tc>
        <w:tc>
          <w:tcPr>
            <w:tcW w:w="561" w:type="pct"/>
            <w:vAlign w:val="center"/>
          </w:tcPr>
          <w:p>
            <w:pPr>
              <w:jc w:val="center"/>
              <w:rPr>
                <w:szCs w:val="21"/>
              </w:rPr>
            </w:pPr>
            <w:r>
              <w:rPr>
                <w:rFonts w:hint="eastAsia"/>
                <w:szCs w:val="21"/>
              </w:rPr>
              <w:t>0.058</w:t>
            </w:r>
          </w:p>
        </w:tc>
        <w:tc>
          <w:tcPr>
            <w:tcW w:w="513" w:type="pct"/>
            <w:vAlign w:val="center"/>
          </w:tcPr>
          <w:p>
            <w:pPr>
              <w:jc w:val="center"/>
              <w:rPr>
                <w:szCs w:val="21"/>
              </w:rPr>
            </w:pPr>
            <w:r>
              <w:rPr>
                <w:rFonts w:hint="eastAsia"/>
                <w:szCs w:val="21"/>
              </w:rPr>
              <w:t>71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continue"/>
            <w:tcBorders>
              <w:right w:val="single" w:color="auto" w:sz="4" w:space="0"/>
            </w:tcBorders>
            <w:vAlign w:val="center"/>
          </w:tcPr>
          <w:p>
            <w:pPr>
              <w:jc w:val="center"/>
              <w:rPr>
                <w:szCs w:val="21"/>
              </w:rPr>
            </w:pPr>
          </w:p>
        </w:tc>
        <w:tc>
          <w:tcPr>
            <w:tcW w:w="861" w:type="pct"/>
            <w:tcBorders>
              <w:left w:val="single" w:color="auto" w:sz="4" w:space="0"/>
            </w:tcBorders>
            <w:vAlign w:val="center"/>
          </w:tcPr>
          <w:p>
            <w:pPr>
              <w:jc w:val="center"/>
              <w:rPr>
                <w:szCs w:val="21"/>
              </w:rPr>
            </w:pPr>
            <w:r>
              <w:rPr>
                <w:rFonts w:hint="eastAsia"/>
                <w:szCs w:val="21"/>
              </w:rPr>
              <w:t>总量</w:t>
            </w:r>
          </w:p>
        </w:tc>
        <w:tc>
          <w:tcPr>
            <w:tcW w:w="601" w:type="pct"/>
            <w:vMerge w:val="continue"/>
            <w:vAlign w:val="center"/>
          </w:tcPr>
          <w:p>
            <w:pPr>
              <w:jc w:val="center"/>
              <w:rPr>
                <w:szCs w:val="21"/>
              </w:rPr>
            </w:pPr>
          </w:p>
        </w:tc>
        <w:tc>
          <w:tcPr>
            <w:tcW w:w="515" w:type="pct"/>
            <w:vAlign w:val="center"/>
          </w:tcPr>
          <w:p>
            <w:pPr>
              <w:jc w:val="center"/>
              <w:rPr>
                <w:szCs w:val="21"/>
              </w:rPr>
            </w:pPr>
            <w:r>
              <w:rPr>
                <w:rFonts w:hint="eastAsia"/>
                <w:szCs w:val="21"/>
              </w:rPr>
              <w:t>0.054</w:t>
            </w:r>
          </w:p>
        </w:tc>
        <w:tc>
          <w:tcPr>
            <w:tcW w:w="514" w:type="pct"/>
            <w:vAlign w:val="center"/>
          </w:tcPr>
          <w:p>
            <w:pPr>
              <w:jc w:val="center"/>
              <w:rPr>
                <w:szCs w:val="21"/>
              </w:rPr>
            </w:pPr>
            <w:r>
              <w:rPr>
                <w:rFonts w:hint="eastAsia"/>
                <w:szCs w:val="21"/>
              </w:rPr>
              <w:t>0.024</w:t>
            </w:r>
          </w:p>
        </w:tc>
        <w:tc>
          <w:tcPr>
            <w:tcW w:w="515" w:type="pct"/>
            <w:vAlign w:val="center"/>
          </w:tcPr>
          <w:p>
            <w:pPr>
              <w:jc w:val="center"/>
              <w:rPr>
                <w:szCs w:val="21"/>
              </w:rPr>
            </w:pPr>
            <w:r>
              <w:rPr>
                <w:rFonts w:hint="eastAsia"/>
                <w:szCs w:val="21"/>
              </w:rPr>
              <w:t>0.0036</w:t>
            </w:r>
          </w:p>
        </w:tc>
        <w:tc>
          <w:tcPr>
            <w:tcW w:w="514" w:type="pct"/>
            <w:vAlign w:val="center"/>
          </w:tcPr>
          <w:p>
            <w:pPr>
              <w:jc w:val="center"/>
              <w:rPr>
                <w:szCs w:val="21"/>
              </w:rPr>
            </w:pPr>
            <w:r>
              <w:rPr>
                <w:rFonts w:hint="eastAsia"/>
                <w:szCs w:val="21"/>
              </w:rPr>
              <w:t>0.0048</w:t>
            </w:r>
          </w:p>
        </w:tc>
        <w:tc>
          <w:tcPr>
            <w:tcW w:w="561" w:type="pct"/>
            <w:vAlign w:val="center"/>
          </w:tcPr>
          <w:p>
            <w:pPr>
              <w:jc w:val="center"/>
              <w:rPr>
                <w:szCs w:val="21"/>
              </w:rPr>
            </w:pPr>
            <w:r>
              <w:rPr>
                <w:rFonts w:hint="eastAsia"/>
                <w:szCs w:val="21"/>
              </w:rPr>
              <w:t>0.000024</w:t>
            </w:r>
          </w:p>
        </w:tc>
        <w:tc>
          <w:tcPr>
            <w:tcW w:w="513" w:type="pct"/>
            <w:vAlign w:val="center"/>
          </w:tcPr>
          <w:p>
            <w:pPr>
              <w:jc w:val="center"/>
              <w:rPr>
                <w:szCs w:val="21"/>
              </w:rPr>
            </w:pPr>
            <w:r>
              <w:rPr>
                <w:rFonts w:hint="eastAsia"/>
                <w:szCs w:val="21"/>
              </w:rPr>
              <w:t>0.0293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67" w:type="pct"/>
            <w:gridSpan w:val="2"/>
            <w:vAlign w:val="center"/>
          </w:tcPr>
          <w:p>
            <w:pPr>
              <w:jc w:val="center"/>
              <w:rPr>
                <w:szCs w:val="21"/>
              </w:rPr>
            </w:pPr>
            <w:r>
              <w:rPr>
                <w:rFonts w:hint="eastAsia"/>
                <w:szCs w:val="21"/>
              </w:rPr>
              <w:t>治理措施</w:t>
            </w:r>
          </w:p>
        </w:tc>
        <w:tc>
          <w:tcPr>
            <w:tcW w:w="3733" w:type="pct"/>
            <w:gridSpan w:val="7"/>
            <w:vAlign w:val="center"/>
          </w:tcPr>
          <w:p>
            <w:pPr>
              <w:jc w:val="center"/>
              <w:rPr>
                <w:szCs w:val="21"/>
              </w:rPr>
            </w:pPr>
            <w:r>
              <w:rPr>
                <w:rFonts w:hint="eastAsia" w:hAnsi="宋体"/>
                <w:bCs/>
                <w:szCs w:val="21"/>
              </w:rPr>
              <w:t>养殖场鸡舍冲洗废水、生活废水、锅炉定排水及软水系统排水排入场区地埋式污水处理站，处理达《农田灌溉水质标准》（</w:t>
            </w:r>
            <w:r>
              <w:rPr>
                <w:rFonts w:hAnsi="宋体"/>
                <w:bCs/>
                <w:szCs w:val="21"/>
              </w:rPr>
              <w:t>GB5084-2005</w:t>
            </w:r>
            <w:r>
              <w:rPr>
                <w:rFonts w:hint="eastAsia" w:hAnsi="宋体"/>
                <w:bCs/>
                <w:szCs w:val="21"/>
              </w:rPr>
              <w:t>）中旱作标准后回用于农田灌溉，冬储夏灌。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67" w:type="pct"/>
            <w:gridSpan w:val="2"/>
            <w:vAlign w:val="center"/>
          </w:tcPr>
          <w:p>
            <w:pPr>
              <w:jc w:val="center"/>
              <w:rPr>
                <w:szCs w:val="21"/>
              </w:rPr>
            </w:pPr>
            <w:r>
              <w:rPr>
                <w:rFonts w:hint="eastAsia"/>
                <w:szCs w:val="21"/>
              </w:rPr>
              <w:t>效率</w:t>
            </w:r>
          </w:p>
        </w:tc>
        <w:tc>
          <w:tcPr>
            <w:tcW w:w="601" w:type="pct"/>
            <w:vAlign w:val="center"/>
          </w:tcPr>
          <w:p>
            <w:pPr>
              <w:jc w:val="center"/>
              <w:rPr>
                <w:szCs w:val="21"/>
              </w:rPr>
            </w:pPr>
            <w:r>
              <w:rPr>
                <w:rFonts w:hint="eastAsia"/>
                <w:szCs w:val="21"/>
              </w:rPr>
              <w:t>/</w:t>
            </w:r>
          </w:p>
        </w:tc>
        <w:tc>
          <w:tcPr>
            <w:tcW w:w="515" w:type="pct"/>
            <w:vAlign w:val="center"/>
          </w:tcPr>
          <w:p>
            <w:pPr>
              <w:jc w:val="center"/>
              <w:rPr>
                <w:szCs w:val="21"/>
              </w:rPr>
            </w:pPr>
            <w:r>
              <w:rPr>
                <w:rFonts w:hint="eastAsia"/>
                <w:szCs w:val="21"/>
              </w:rPr>
              <w:t>60</w:t>
            </w:r>
          </w:p>
        </w:tc>
        <w:tc>
          <w:tcPr>
            <w:tcW w:w="514" w:type="pct"/>
            <w:vAlign w:val="center"/>
          </w:tcPr>
          <w:p>
            <w:pPr>
              <w:jc w:val="center"/>
              <w:rPr>
                <w:szCs w:val="21"/>
              </w:rPr>
            </w:pPr>
            <w:r>
              <w:rPr>
                <w:rFonts w:hint="eastAsia"/>
                <w:szCs w:val="21"/>
              </w:rPr>
              <w:t>60</w:t>
            </w:r>
          </w:p>
        </w:tc>
        <w:tc>
          <w:tcPr>
            <w:tcW w:w="515" w:type="pct"/>
            <w:vAlign w:val="center"/>
          </w:tcPr>
          <w:p>
            <w:pPr>
              <w:jc w:val="center"/>
              <w:rPr>
                <w:szCs w:val="21"/>
              </w:rPr>
            </w:pPr>
            <w:r>
              <w:rPr>
                <w:rFonts w:hint="eastAsia"/>
                <w:szCs w:val="21"/>
              </w:rPr>
              <w:t>30</w:t>
            </w:r>
          </w:p>
        </w:tc>
        <w:tc>
          <w:tcPr>
            <w:tcW w:w="514" w:type="pct"/>
            <w:vAlign w:val="center"/>
          </w:tcPr>
          <w:p>
            <w:pPr>
              <w:jc w:val="center"/>
              <w:rPr>
                <w:szCs w:val="21"/>
              </w:rPr>
            </w:pPr>
            <w:r>
              <w:rPr>
                <w:rFonts w:hint="eastAsia"/>
                <w:szCs w:val="21"/>
              </w:rPr>
              <w:t>30</w:t>
            </w:r>
          </w:p>
        </w:tc>
        <w:tc>
          <w:tcPr>
            <w:tcW w:w="561" w:type="pct"/>
            <w:vAlign w:val="center"/>
          </w:tcPr>
          <w:p>
            <w:pPr>
              <w:jc w:val="center"/>
              <w:rPr>
                <w:szCs w:val="21"/>
              </w:rPr>
            </w:pPr>
            <w:r>
              <w:rPr>
                <w:rFonts w:hint="eastAsia"/>
                <w:szCs w:val="21"/>
              </w:rPr>
              <w:t>10</w:t>
            </w:r>
          </w:p>
        </w:tc>
        <w:tc>
          <w:tcPr>
            <w:tcW w:w="513" w:type="pct"/>
            <w:vAlign w:val="center"/>
          </w:tcPr>
          <w:p>
            <w:pPr>
              <w:jc w:val="center"/>
              <w:rPr>
                <w:szCs w:val="21"/>
              </w:rPr>
            </w:pPr>
            <w:r>
              <w:rPr>
                <w:rFonts w:hint="eastAsia"/>
                <w:szCs w:val="21"/>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restart"/>
            <w:tcBorders>
              <w:right w:val="single" w:color="auto" w:sz="4" w:space="0"/>
            </w:tcBorders>
            <w:vAlign w:val="center"/>
          </w:tcPr>
          <w:p>
            <w:pPr>
              <w:jc w:val="center"/>
              <w:rPr>
                <w:szCs w:val="21"/>
              </w:rPr>
            </w:pPr>
            <w:r>
              <w:rPr>
                <w:rFonts w:hint="eastAsia"/>
                <w:szCs w:val="21"/>
              </w:rPr>
              <w:t>合计</w:t>
            </w:r>
          </w:p>
        </w:tc>
        <w:tc>
          <w:tcPr>
            <w:tcW w:w="861" w:type="pct"/>
            <w:tcBorders>
              <w:left w:val="single" w:color="auto" w:sz="4" w:space="0"/>
            </w:tcBorders>
            <w:vAlign w:val="center"/>
          </w:tcPr>
          <w:p>
            <w:pPr>
              <w:jc w:val="center"/>
              <w:rPr>
                <w:szCs w:val="21"/>
              </w:rPr>
            </w:pPr>
            <w:r>
              <w:rPr>
                <w:rFonts w:hint="eastAsia"/>
                <w:szCs w:val="21"/>
              </w:rPr>
              <w:t>排放浓度</w:t>
            </w:r>
            <w:r>
              <w:rPr>
                <w:szCs w:val="21"/>
              </w:rPr>
              <w:t>mg/L</w:t>
            </w:r>
          </w:p>
        </w:tc>
        <w:tc>
          <w:tcPr>
            <w:tcW w:w="601" w:type="pct"/>
            <w:vMerge w:val="restart"/>
            <w:vAlign w:val="center"/>
          </w:tcPr>
          <w:p>
            <w:pPr>
              <w:jc w:val="center"/>
              <w:rPr>
                <w:szCs w:val="21"/>
              </w:rPr>
            </w:pPr>
            <w:r>
              <w:rPr>
                <w:rFonts w:hint="eastAsia"/>
                <w:szCs w:val="21"/>
              </w:rPr>
              <w:t>412.7</w:t>
            </w:r>
          </w:p>
        </w:tc>
        <w:tc>
          <w:tcPr>
            <w:tcW w:w="515" w:type="pct"/>
            <w:vAlign w:val="center"/>
          </w:tcPr>
          <w:p>
            <w:pPr>
              <w:jc w:val="center"/>
              <w:rPr>
                <w:szCs w:val="21"/>
              </w:rPr>
            </w:pPr>
            <w:r>
              <w:rPr>
                <w:rFonts w:hint="eastAsia"/>
                <w:szCs w:val="21"/>
              </w:rPr>
              <w:t>52.3</w:t>
            </w:r>
          </w:p>
        </w:tc>
        <w:tc>
          <w:tcPr>
            <w:tcW w:w="514" w:type="pct"/>
            <w:vAlign w:val="center"/>
          </w:tcPr>
          <w:p>
            <w:pPr>
              <w:jc w:val="center"/>
              <w:rPr>
                <w:szCs w:val="21"/>
              </w:rPr>
            </w:pPr>
            <w:r>
              <w:rPr>
                <w:rFonts w:hint="eastAsia"/>
                <w:szCs w:val="21"/>
              </w:rPr>
              <w:t>23.3</w:t>
            </w:r>
          </w:p>
        </w:tc>
        <w:tc>
          <w:tcPr>
            <w:tcW w:w="515" w:type="pct"/>
            <w:vAlign w:val="center"/>
          </w:tcPr>
          <w:p>
            <w:pPr>
              <w:jc w:val="center"/>
              <w:rPr>
                <w:szCs w:val="21"/>
              </w:rPr>
            </w:pPr>
            <w:r>
              <w:rPr>
                <w:rFonts w:hint="eastAsia"/>
                <w:szCs w:val="21"/>
              </w:rPr>
              <w:t>6.1</w:t>
            </w:r>
          </w:p>
        </w:tc>
        <w:tc>
          <w:tcPr>
            <w:tcW w:w="514" w:type="pct"/>
            <w:vAlign w:val="center"/>
          </w:tcPr>
          <w:p>
            <w:pPr>
              <w:jc w:val="center"/>
              <w:rPr>
                <w:szCs w:val="21"/>
              </w:rPr>
            </w:pPr>
            <w:r>
              <w:rPr>
                <w:rFonts w:hint="eastAsia"/>
                <w:szCs w:val="21"/>
              </w:rPr>
              <w:t>8.2</w:t>
            </w:r>
          </w:p>
        </w:tc>
        <w:tc>
          <w:tcPr>
            <w:tcW w:w="561" w:type="pct"/>
            <w:vAlign w:val="center"/>
          </w:tcPr>
          <w:p>
            <w:pPr>
              <w:jc w:val="center"/>
              <w:rPr>
                <w:szCs w:val="21"/>
              </w:rPr>
            </w:pPr>
            <w:r>
              <w:rPr>
                <w:rFonts w:hint="eastAsia"/>
                <w:szCs w:val="21"/>
              </w:rPr>
              <w:t>0.05</w:t>
            </w:r>
          </w:p>
        </w:tc>
        <w:tc>
          <w:tcPr>
            <w:tcW w:w="513" w:type="pct"/>
            <w:vAlign w:val="center"/>
          </w:tcPr>
          <w:p>
            <w:pPr>
              <w:jc w:val="center"/>
              <w:rPr>
                <w:szCs w:val="21"/>
              </w:rPr>
            </w:pPr>
            <w:r>
              <w:rPr>
                <w:rFonts w:hint="eastAsia"/>
                <w:szCs w:val="21"/>
              </w:rPr>
              <w:t>28.4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06" w:type="pct"/>
            <w:vMerge w:val="continue"/>
            <w:tcBorders>
              <w:right w:val="single" w:color="auto" w:sz="4" w:space="0"/>
            </w:tcBorders>
            <w:vAlign w:val="center"/>
          </w:tcPr>
          <w:p>
            <w:pPr>
              <w:jc w:val="center"/>
              <w:rPr>
                <w:szCs w:val="21"/>
              </w:rPr>
            </w:pPr>
          </w:p>
        </w:tc>
        <w:tc>
          <w:tcPr>
            <w:tcW w:w="861" w:type="pct"/>
            <w:tcBorders>
              <w:left w:val="single" w:color="auto" w:sz="4" w:space="0"/>
            </w:tcBorders>
            <w:vAlign w:val="center"/>
          </w:tcPr>
          <w:p>
            <w:pPr>
              <w:jc w:val="center"/>
              <w:rPr>
                <w:szCs w:val="21"/>
              </w:rPr>
            </w:pPr>
            <w:r>
              <w:rPr>
                <w:rFonts w:hint="eastAsia"/>
                <w:szCs w:val="21"/>
              </w:rPr>
              <w:t>排放量</w:t>
            </w:r>
            <w:r>
              <w:rPr>
                <w:szCs w:val="21"/>
              </w:rPr>
              <w:t>t/a</w:t>
            </w:r>
          </w:p>
        </w:tc>
        <w:tc>
          <w:tcPr>
            <w:tcW w:w="601" w:type="pct"/>
            <w:vMerge w:val="continue"/>
            <w:vAlign w:val="center"/>
          </w:tcPr>
          <w:p>
            <w:pPr>
              <w:jc w:val="center"/>
              <w:rPr>
                <w:szCs w:val="21"/>
              </w:rPr>
            </w:pPr>
          </w:p>
        </w:tc>
        <w:tc>
          <w:tcPr>
            <w:tcW w:w="515" w:type="pct"/>
            <w:vAlign w:val="center"/>
          </w:tcPr>
          <w:p>
            <w:pPr>
              <w:jc w:val="center"/>
              <w:rPr>
                <w:szCs w:val="21"/>
              </w:rPr>
            </w:pPr>
            <w:r>
              <w:rPr>
                <w:rFonts w:hint="eastAsia"/>
                <w:szCs w:val="21"/>
              </w:rPr>
              <w:t>0.022</w:t>
            </w:r>
          </w:p>
        </w:tc>
        <w:tc>
          <w:tcPr>
            <w:tcW w:w="514" w:type="pct"/>
            <w:vAlign w:val="center"/>
          </w:tcPr>
          <w:p>
            <w:pPr>
              <w:jc w:val="center"/>
              <w:rPr>
                <w:szCs w:val="21"/>
              </w:rPr>
            </w:pPr>
            <w:r>
              <w:rPr>
                <w:rFonts w:hint="eastAsia"/>
                <w:szCs w:val="21"/>
              </w:rPr>
              <w:t>0.0096</w:t>
            </w:r>
          </w:p>
        </w:tc>
        <w:tc>
          <w:tcPr>
            <w:tcW w:w="515" w:type="pct"/>
            <w:vAlign w:val="center"/>
          </w:tcPr>
          <w:p>
            <w:pPr>
              <w:jc w:val="center"/>
              <w:rPr>
                <w:szCs w:val="21"/>
              </w:rPr>
            </w:pPr>
            <w:r>
              <w:rPr>
                <w:rFonts w:hint="eastAsia"/>
                <w:szCs w:val="21"/>
              </w:rPr>
              <w:t>0.0025</w:t>
            </w:r>
          </w:p>
        </w:tc>
        <w:tc>
          <w:tcPr>
            <w:tcW w:w="514" w:type="pct"/>
            <w:vAlign w:val="center"/>
          </w:tcPr>
          <w:p>
            <w:pPr>
              <w:jc w:val="center"/>
              <w:rPr>
                <w:szCs w:val="21"/>
              </w:rPr>
            </w:pPr>
            <w:r>
              <w:rPr>
                <w:rFonts w:hint="eastAsia"/>
                <w:szCs w:val="21"/>
              </w:rPr>
              <w:t>0.0034</w:t>
            </w:r>
          </w:p>
        </w:tc>
        <w:tc>
          <w:tcPr>
            <w:tcW w:w="561" w:type="pct"/>
            <w:vAlign w:val="center"/>
          </w:tcPr>
          <w:p>
            <w:pPr>
              <w:jc w:val="center"/>
              <w:rPr>
                <w:szCs w:val="21"/>
              </w:rPr>
            </w:pPr>
            <w:r>
              <w:rPr>
                <w:rFonts w:hint="eastAsia"/>
                <w:szCs w:val="21"/>
              </w:rPr>
              <w:t>0.000022</w:t>
            </w:r>
          </w:p>
        </w:tc>
        <w:tc>
          <w:tcPr>
            <w:tcW w:w="513" w:type="pct"/>
            <w:vAlign w:val="center"/>
          </w:tcPr>
          <w:p>
            <w:pPr>
              <w:jc w:val="center"/>
              <w:rPr>
                <w:szCs w:val="21"/>
              </w:rPr>
            </w:pPr>
            <w:r>
              <w:rPr>
                <w:rFonts w:hint="eastAsia"/>
                <w:szCs w:val="21"/>
              </w:rPr>
              <w:t>0.012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67" w:type="pct"/>
            <w:gridSpan w:val="2"/>
            <w:vAlign w:val="center"/>
          </w:tcPr>
          <w:p>
            <w:pPr>
              <w:jc w:val="center"/>
              <w:rPr>
                <w:szCs w:val="21"/>
              </w:rPr>
            </w:pPr>
            <w:r>
              <w:rPr>
                <w:rFonts w:hint="eastAsia"/>
              </w:rPr>
              <w:t>《农田灌溉水质标准》（</w:t>
            </w:r>
            <w:r>
              <w:t>GB5084-2005</w:t>
            </w:r>
            <w:r>
              <w:rPr>
                <w:rFonts w:hint="eastAsia"/>
              </w:rPr>
              <w:t>）旱作标准</w:t>
            </w:r>
          </w:p>
        </w:tc>
        <w:tc>
          <w:tcPr>
            <w:tcW w:w="601" w:type="pct"/>
            <w:vAlign w:val="center"/>
          </w:tcPr>
          <w:p>
            <w:pPr>
              <w:jc w:val="center"/>
              <w:rPr>
                <w:szCs w:val="21"/>
              </w:rPr>
            </w:pPr>
            <w:r>
              <w:rPr>
                <w:rFonts w:hint="eastAsia"/>
                <w:szCs w:val="21"/>
              </w:rPr>
              <w:t>/</w:t>
            </w:r>
          </w:p>
        </w:tc>
        <w:tc>
          <w:tcPr>
            <w:tcW w:w="515" w:type="pct"/>
            <w:vAlign w:val="center"/>
          </w:tcPr>
          <w:p>
            <w:pPr>
              <w:jc w:val="center"/>
              <w:rPr>
                <w:szCs w:val="21"/>
              </w:rPr>
            </w:pPr>
            <w:r>
              <w:rPr>
                <w:szCs w:val="21"/>
              </w:rPr>
              <w:t>200</w:t>
            </w:r>
          </w:p>
        </w:tc>
        <w:tc>
          <w:tcPr>
            <w:tcW w:w="514" w:type="pct"/>
            <w:vAlign w:val="center"/>
          </w:tcPr>
          <w:p>
            <w:pPr>
              <w:jc w:val="center"/>
              <w:rPr>
                <w:szCs w:val="21"/>
              </w:rPr>
            </w:pPr>
            <w:r>
              <w:rPr>
                <w:rFonts w:hint="eastAsia"/>
                <w:szCs w:val="21"/>
              </w:rPr>
              <w:t>1</w:t>
            </w:r>
            <w:r>
              <w:rPr>
                <w:szCs w:val="21"/>
              </w:rPr>
              <w:t>00</w:t>
            </w:r>
          </w:p>
        </w:tc>
        <w:tc>
          <w:tcPr>
            <w:tcW w:w="515" w:type="pct"/>
            <w:vAlign w:val="center"/>
          </w:tcPr>
          <w:p>
            <w:pPr>
              <w:jc w:val="center"/>
              <w:rPr>
                <w:szCs w:val="21"/>
              </w:rPr>
            </w:pPr>
            <w:r>
              <w:rPr>
                <w:rFonts w:hint="eastAsia"/>
                <w:szCs w:val="21"/>
              </w:rPr>
              <w:t>/</w:t>
            </w:r>
          </w:p>
        </w:tc>
        <w:tc>
          <w:tcPr>
            <w:tcW w:w="514" w:type="pct"/>
            <w:vAlign w:val="center"/>
          </w:tcPr>
          <w:p>
            <w:pPr>
              <w:jc w:val="center"/>
              <w:rPr>
                <w:szCs w:val="21"/>
              </w:rPr>
            </w:pPr>
            <w:r>
              <w:rPr>
                <w:rFonts w:hint="eastAsia"/>
                <w:szCs w:val="21"/>
              </w:rPr>
              <w:t>/</w:t>
            </w:r>
          </w:p>
        </w:tc>
        <w:tc>
          <w:tcPr>
            <w:tcW w:w="561" w:type="pct"/>
            <w:vAlign w:val="center"/>
          </w:tcPr>
          <w:p>
            <w:pPr>
              <w:jc w:val="center"/>
              <w:rPr>
                <w:szCs w:val="21"/>
              </w:rPr>
            </w:pPr>
            <w:r>
              <w:rPr>
                <w:rFonts w:hint="eastAsia"/>
                <w:szCs w:val="21"/>
              </w:rPr>
              <w:t>/</w:t>
            </w:r>
          </w:p>
        </w:tc>
        <w:tc>
          <w:tcPr>
            <w:tcW w:w="513" w:type="pct"/>
            <w:vAlign w:val="center"/>
          </w:tcPr>
          <w:p>
            <w:pPr>
              <w:jc w:val="center"/>
              <w:rPr>
                <w:szCs w:val="21"/>
              </w:rPr>
            </w:pPr>
            <w:r>
              <w:rPr>
                <w:rFonts w:hint="eastAsia"/>
                <w:szCs w:val="21"/>
              </w:rPr>
              <w:t>1</w:t>
            </w:r>
            <w:r>
              <w:rPr>
                <w:szCs w:val="21"/>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67" w:type="pct"/>
            <w:gridSpan w:val="2"/>
            <w:vAlign w:val="center"/>
          </w:tcPr>
          <w:p>
            <w:pPr>
              <w:jc w:val="center"/>
            </w:pPr>
            <w:r>
              <w:rPr>
                <w:rFonts w:hint="eastAsia"/>
              </w:rPr>
              <w:t>是否达标</w:t>
            </w:r>
          </w:p>
        </w:tc>
        <w:tc>
          <w:tcPr>
            <w:tcW w:w="601" w:type="pct"/>
            <w:vAlign w:val="center"/>
          </w:tcPr>
          <w:p>
            <w:pPr>
              <w:jc w:val="center"/>
              <w:rPr>
                <w:szCs w:val="21"/>
              </w:rPr>
            </w:pPr>
            <w:r>
              <w:rPr>
                <w:rFonts w:hint="eastAsia"/>
                <w:szCs w:val="21"/>
              </w:rPr>
              <w:t>/</w:t>
            </w:r>
          </w:p>
        </w:tc>
        <w:tc>
          <w:tcPr>
            <w:tcW w:w="515" w:type="pct"/>
            <w:vAlign w:val="center"/>
          </w:tcPr>
          <w:p>
            <w:pPr>
              <w:jc w:val="center"/>
              <w:rPr>
                <w:szCs w:val="21"/>
              </w:rPr>
            </w:pPr>
            <w:r>
              <w:rPr>
                <w:rFonts w:hint="eastAsia"/>
                <w:szCs w:val="21"/>
              </w:rPr>
              <w:t>达标</w:t>
            </w:r>
          </w:p>
        </w:tc>
        <w:tc>
          <w:tcPr>
            <w:tcW w:w="514" w:type="pct"/>
            <w:vAlign w:val="center"/>
          </w:tcPr>
          <w:p>
            <w:pPr>
              <w:jc w:val="center"/>
              <w:rPr>
                <w:szCs w:val="21"/>
              </w:rPr>
            </w:pPr>
            <w:r>
              <w:rPr>
                <w:rFonts w:hint="eastAsia"/>
                <w:szCs w:val="21"/>
              </w:rPr>
              <w:t>达标</w:t>
            </w:r>
          </w:p>
        </w:tc>
        <w:tc>
          <w:tcPr>
            <w:tcW w:w="515" w:type="pct"/>
            <w:vAlign w:val="center"/>
          </w:tcPr>
          <w:p>
            <w:pPr>
              <w:jc w:val="center"/>
              <w:rPr>
                <w:szCs w:val="21"/>
              </w:rPr>
            </w:pPr>
            <w:r>
              <w:rPr>
                <w:rFonts w:hint="eastAsia"/>
                <w:szCs w:val="21"/>
              </w:rPr>
              <w:t>/</w:t>
            </w:r>
          </w:p>
        </w:tc>
        <w:tc>
          <w:tcPr>
            <w:tcW w:w="514" w:type="pct"/>
            <w:vAlign w:val="center"/>
          </w:tcPr>
          <w:p>
            <w:pPr>
              <w:jc w:val="center"/>
              <w:rPr>
                <w:szCs w:val="21"/>
              </w:rPr>
            </w:pPr>
            <w:r>
              <w:rPr>
                <w:rFonts w:hint="eastAsia"/>
                <w:szCs w:val="21"/>
              </w:rPr>
              <w:t>/</w:t>
            </w:r>
          </w:p>
        </w:tc>
        <w:tc>
          <w:tcPr>
            <w:tcW w:w="561" w:type="pct"/>
            <w:vAlign w:val="center"/>
          </w:tcPr>
          <w:p>
            <w:pPr>
              <w:jc w:val="center"/>
              <w:rPr>
                <w:szCs w:val="21"/>
              </w:rPr>
            </w:pPr>
            <w:r>
              <w:rPr>
                <w:rFonts w:hint="eastAsia"/>
                <w:szCs w:val="21"/>
              </w:rPr>
              <w:t>/</w:t>
            </w:r>
          </w:p>
        </w:tc>
        <w:tc>
          <w:tcPr>
            <w:tcW w:w="513" w:type="pct"/>
            <w:vAlign w:val="center"/>
          </w:tcPr>
          <w:p>
            <w:pPr>
              <w:jc w:val="center"/>
              <w:rPr>
                <w:szCs w:val="21"/>
              </w:rPr>
            </w:pPr>
            <w:r>
              <w:rPr>
                <w:rFonts w:hint="eastAsia"/>
                <w:szCs w:val="21"/>
              </w:rPr>
              <w:t>达标</w:t>
            </w:r>
          </w:p>
        </w:tc>
      </w:tr>
    </w:tbl>
    <w:p>
      <w:pPr>
        <w:spacing w:line="480" w:lineRule="exact"/>
        <w:ind w:firstLine="480" w:firstLineChars="200"/>
        <w:rPr>
          <w:bCs/>
          <w:kern w:val="0"/>
          <w:sz w:val="24"/>
        </w:rPr>
      </w:pPr>
      <w:r>
        <w:rPr>
          <w:rFonts w:hint="eastAsia"/>
          <w:sz w:val="24"/>
        </w:rPr>
        <w:t>综上所述，本项目产生的</w:t>
      </w:r>
      <w:r>
        <w:rPr>
          <w:rFonts w:hint="eastAsia"/>
          <w:kern w:val="0"/>
          <w:sz w:val="24"/>
        </w:rPr>
        <w:t>鸡舍冲洗废水、职工生活污水、锅炉定排水和软水系统排水经污水收集池收集后由污水处理站处理达《农田灌溉水质标准》（GB5084-2005）中旱作标准后回用于农田灌溉；污水处理站采取</w:t>
      </w:r>
      <w:r>
        <w:rPr>
          <w:rFonts w:hint="eastAsia"/>
          <w:bCs/>
          <w:kern w:val="0"/>
          <w:sz w:val="24"/>
        </w:rPr>
        <w:t>地埋式污水处理设备，处理工艺为“生物接触氧化</w:t>
      </w:r>
      <w:r>
        <w:rPr>
          <w:bCs/>
          <w:kern w:val="0"/>
          <w:sz w:val="24"/>
        </w:rPr>
        <w:t>+</w:t>
      </w:r>
      <w:r>
        <w:rPr>
          <w:rFonts w:hint="eastAsia"/>
          <w:bCs/>
          <w:kern w:val="0"/>
          <w:sz w:val="24"/>
        </w:rPr>
        <w:t>沉淀</w:t>
      </w:r>
      <w:r>
        <w:rPr>
          <w:bCs/>
          <w:kern w:val="0"/>
          <w:sz w:val="24"/>
        </w:rPr>
        <w:t>+</w:t>
      </w:r>
      <w:r>
        <w:rPr>
          <w:rFonts w:hint="eastAsia"/>
          <w:bCs/>
          <w:kern w:val="0"/>
          <w:sz w:val="24"/>
        </w:rPr>
        <w:t>消毒”，消毒方式为紫外线消毒，处理能力为</w:t>
      </w:r>
      <w:r>
        <w:rPr>
          <w:bCs/>
          <w:kern w:val="0"/>
          <w:sz w:val="24"/>
        </w:rPr>
        <w:t>2m</w:t>
      </w:r>
      <w:r>
        <w:rPr>
          <w:bCs/>
          <w:kern w:val="0"/>
          <w:sz w:val="24"/>
          <w:vertAlign w:val="superscript"/>
        </w:rPr>
        <w:t>3</w:t>
      </w:r>
      <w:r>
        <w:rPr>
          <w:bCs/>
          <w:kern w:val="0"/>
          <w:sz w:val="24"/>
        </w:rPr>
        <w:t>/d</w:t>
      </w:r>
      <w:r>
        <w:rPr>
          <w:rFonts w:hint="eastAsia"/>
          <w:bCs/>
          <w:kern w:val="0"/>
          <w:sz w:val="24"/>
        </w:rPr>
        <w:t>，可以满足污水处理及回用要求。</w:t>
      </w:r>
    </w:p>
    <w:p>
      <w:pPr>
        <w:spacing w:line="480" w:lineRule="exact"/>
        <w:ind w:firstLine="480" w:firstLineChars="200"/>
        <w:rPr>
          <w:sz w:val="24"/>
        </w:rPr>
      </w:pPr>
      <w:r>
        <w:rPr>
          <w:rFonts w:hint="eastAsia"/>
          <w:sz w:val="24"/>
        </w:rPr>
        <w:t>本项目采暖期废水产生量=28.9×3（鸡舍冲洗废水）+</w:t>
      </w:r>
      <w:r>
        <w:rPr>
          <w:sz w:val="24"/>
        </w:rPr>
        <w:t>54</w:t>
      </w:r>
      <w:r>
        <w:rPr>
          <w:rFonts w:hint="eastAsia"/>
          <w:sz w:val="24"/>
        </w:rPr>
        <w:t>（锅炉定排水）+</w:t>
      </w:r>
      <w:r>
        <w:rPr>
          <w:sz w:val="24"/>
        </w:rPr>
        <w:t>27</w:t>
      </w:r>
      <w:r>
        <w:rPr>
          <w:rFonts w:hint="eastAsia"/>
          <w:sz w:val="24"/>
        </w:rPr>
        <w:t>（软水制备系统）+</w:t>
      </w:r>
      <w:r>
        <w:rPr>
          <w:sz w:val="24"/>
        </w:rPr>
        <w:t>65.7</w:t>
      </w:r>
      <w:r>
        <w:rPr>
          <w:rFonts w:hint="eastAsia"/>
          <w:sz w:val="24"/>
        </w:rPr>
        <w:t>（生活废水）=233.4m</w:t>
      </w:r>
      <w:r>
        <w:rPr>
          <w:rFonts w:hint="eastAsia"/>
          <w:sz w:val="24"/>
          <w:vertAlign w:val="superscript"/>
        </w:rPr>
        <w:t>3</w:t>
      </w:r>
      <w:r>
        <w:rPr>
          <w:rFonts w:hint="eastAsia"/>
          <w:sz w:val="24"/>
        </w:rPr>
        <w:t>；采暖期产生的废水</w:t>
      </w:r>
      <w:r>
        <w:rPr>
          <w:rFonts w:hint="eastAsia"/>
          <w:kern w:val="0"/>
          <w:sz w:val="24"/>
        </w:rPr>
        <w:t>由污水处理站处理达《农田灌溉水质标准》（GB5084-2005）中旱作标准后储存于出水收集池（</w:t>
      </w:r>
      <w:r>
        <w:rPr>
          <w:kern w:val="0"/>
          <w:sz w:val="24"/>
        </w:rPr>
        <w:t>250</w:t>
      </w:r>
      <w:r>
        <w:rPr>
          <w:rFonts w:hint="eastAsia"/>
          <w:kern w:val="0"/>
          <w:sz w:val="24"/>
        </w:rPr>
        <w:t>m</w:t>
      </w:r>
      <w:r>
        <w:rPr>
          <w:rFonts w:hint="eastAsia"/>
          <w:kern w:val="0"/>
          <w:sz w:val="24"/>
          <w:vertAlign w:val="superscript"/>
        </w:rPr>
        <w:t>3</w:t>
      </w:r>
      <w:r>
        <w:rPr>
          <w:rFonts w:hint="eastAsia"/>
          <w:kern w:val="0"/>
          <w:sz w:val="24"/>
        </w:rPr>
        <w:t>），待非采暖期用于农田灌溉。</w:t>
      </w:r>
    </w:p>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5</w:t>
      </w:r>
      <w:r>
        <w:rPr>
          <w:rFonts w:ascii="Times New Roman" w:hAnsi="Times New Roman" w:eastAsia="宋体"/>
          <w:b/>
        </w:rPr>
        <w:t>.</w:t>
      </w:r>
      <w:r>
        <w:rPr>
          <w:rFonts w:hint="eastAsia" w:ascii="Times New Roman" w:hAnsi="Times New Roman" w:eastAsia="宋体"/>
          <w:b/>
        </w:rPr>
        <w:t>3</w:t>
      </w:r>
      <w:r>
        <w:rPr>
          <w:rFonts w:hint="eastAsia" w:ascii="宋体" w:hAnsi="宋体" w:eastAsia="宋体"/>
          <w:b/>
        </w:rPr>
        <w:t>运营期固废环境污染影响分析</w:t>
      </w:r>
    </w:p>
    <w:p>
      <w:pPr>
        <w:spacing w:line="480" w:lineRule="exact"/>
        <w:ind w:firstLine="480" w:firstLineChars="200"/>
        <w:rPr>
          <w:b/>
          <w:bCs/>
          <w:sz w:val="24"/>
        </w:rPr>
      </w:pPr>
      <w:r>
        <w:rPr>
          <w:rFonts w:hint="eastAsia"/>
          <w:bCs/>
          <w:sz w:val="24"/>
          <w:szCs w:val="24"/>
        </w:rPr>
        <w:t>本项目生产过程中产生的固体废物主要为鸡粪，饲料残渣，病死鸡尸体，废弃包装袋，疾病防疫、消毒产生的医疗废物、消毒废物，污水处理站污泥，</w:t>
      </w:r>
      <w:r>
        <w:rPr>
          <w:rFonts w:hint="eastAsia"/>
          <w:sz w:val="24"/>
          <w:szCs w:val="24"/>
        </w:rPr>
        <w:t>以及生活办公产生的</w:t>
      </w:r>
      <w:r>
        <w:rPr>
          <w:rFonts w:hint="eastAsia"/>
          <w:bCs/>
          <w:sz w:val="24"/>
          <w:szCs w:val="24"/>
        </w:rPr>
        <w:t>生活垃圾等</w:t>
      </w:r>
      <w:r>
        <w:rPr>
          <w:bCs/>
          <w:sz w:val="24"/>
          <w:szCs w:val="24"/>
        </w:rPr>
        <w:t>。</w:t>
      </w:r>
    </w:p>
    <w:p>
      <w:pPr>
        <w:spacing w:line="480" w:lineRule="exact"/>
        <w:rPr>
          <w:b/>
          <w:bCs/>
          <w:sz w:val="24"/>
        </w:rPr>
      </w:pPr>
      <w:r>
        <w:rPr>
          <w:rFonts w:hint="eastAsia"/>
          <w:b/>
          <w:bCs/>
          <w:spacing w:val="6"/>
          <w:sz w:val="24"/>
        </w:rPr>
        <w:t>1、干清</w:t>
      </w:r>
      <w:r>
        <w:rPr>
          <w:rFonts w:hint="eastAsia"/>
          <w:b/>
          <w:sz w:val="24"/>
          <w:szCs w:val="24"/>
        </w:rPr>
        <w:t>鸡粪</w:t>
      </w:r>
    </w:p>
    <w:p>
      <w:pPr>
        <w:spacing w:line="480" w:lineRule="exact"/>
        <w:ind w:firstLine="480" w:firstLineChars="200"/>
        <w:rPr>
          <w:rFonts w:hAnsi="宋体"/>
          <w:bCs/>
          <w:sz w:val="24"/>
          <w:szCs w:val="24"/>
        </w:rPr>
      </w:pPr>
      <w:r>
        <w:rPr>
          <w:rFonts w:hint="eastAsia" w:hAnsi="宋体"/>
          <w:bCs/>
          <w:sz w:val="24"/>
          <w:szCs w:val="24"/>
        </w:rPr>
        <w:t>根据《排污许可申请与核发技术规范 畜禽养殖行业》（H</w:t>
      </w:r>
      <w:r>
        <w:rPr>
          <w:rFonts w:hAnsi="宋体"/>
          <w:bCs/>
          <w:sz w:val="24"/>
          <w:szCs w:val="24"/>
        </w:rPr>
        <w:t>J1029-2019</w:t>
      </w:r>
      <w:r>
        <w:rPr>
          <w:rFonts w:hint="eastAsia" w:hAnsi="宋体"/>
          <w:bCs/>
          <w:sz w:val="24"/>
          <w:szCs w:val="24"/>
        </w:rPr>
        <w:t>）中表9各类畜禽污染物产生量中肉鸡粪便产生量为0</w:t>
      </w:r>
      <w:r>
        <w:rPr>
          <w:rFonts w:hAnsi="宋体"/>
          <w:bCs/>
          <w:sz w:val="24"/>
          <w:szCs w:val="24"/>
        </w:rPr>
        <w:t>.11</w:t>
      </w:r>
      <w:r>
        <w:rPr>
          <w:rFonts w:hint="eastAsia" w:hAnsi="宋体"/>
          <w:bCs/>
          <w:sz w:val="24"/>
          <w:szCs w:val="24"/>
        </w:rPr>
        <w:t>kg</w:t>
      </w:r>
      <w:r>
        <w:rPr>
          <w:rFonts w:hAnsi="宋体"/>
          <w:bCs/>
          <w:sz w:val="24"/>
          <w:szCs w:val="24"/>
        </w:rPr>
        <w:t>/d</w:t>
      </w:r>
      <w:r>
        <w:rPr>
          <w:rFonts w:hint="eastAsia" w:hAnsi="宋体"/>
          <w:bCs/>
          <w:sz w:val="24"/>
          <w:szCs w:val="24"/>
        </w:rPr>
        <w:t>·只。本项目</w:t>
      </w:r>
      <w:r>
        <w:rPr>
          <w:rFonts w:hAnsi="宋体"/>
          <w:bCs/>
          <w:sz w:val="24"/>
          <w:szCs w:val="24"/>
        </w:rPr>
        <w:t>每栋鸡舍每批次可养殖肉鸡</w:t>
      </w:r>
      <w:r>
        <w:rPr>
          <w:rFonts w:hint="eastAsia" w:hAnsi="宋体"/>
          <w:bCs/>
          <w:sz w:val="24"/>
          <w:szCs w:val="24"/>
        </w:rPr>
        <w:t>约3</w:t>
      </w:r>
      <w:r>
        <w:rPr>
          <w:rFonts w:hAnsi="宋体"/>
          <w:bCs/>
          <w:sz w:val="24"/>
          <w:szCs w:val="24"/>
        </w:rPr>
        <w:t>.</w:t>
      </w:r>
      <w:r>
        <w:rPr>
          <w:rFonts w:hint="eastAsia" w:hAnsi="宋体"/>
          <w:bCs/>
          <w:sz w:val="24"/>
          <w:szCs w:val="24"/>
        </w:rPr>
        <w:t>4</w:t>
      </w:r>
      <w:r>
        <w:rPr>
          <w:rFonts w:hAnsi="宋体"/>
          <w:bCs/>
          <w:sz w:val="24"/>
          <w:szCs w:val="24"/>
        </w:rPr>
        <w:t>万只，</w:t>
      </w:r>
      <w:r>
        <w:rPr>
          <w:rFonts w:hint="eastAsia" w:hAnsi="宋体"/>
          <w:bCs/>
          <w:sz w:val="24"/>
          <w:szCs w:val="24"/>
        </w:rPr>
        <w:t>项目达产后可年出栏</w:t>
      </w:r>
      <w:r>
        <w:rPr>
          <w:rFonts w:hAnsi="宋体"/>
          <w:bCs/>
          <w:sz w:val="24"/>
          <w:szCs w:val="24"/>
        </w:rPr>
        <w:t>6</w:t>
      </w:r>
      <w:r>
        <w:rPr>
          <w:rFonts w:hint="eastAsia" w:hAnsi="宋体"/>
          <w:bCs/>
          <w:sz w:val="24"/>
          <w:szCs w:val="24"/>
        </w:rPr>
        <w:t>个批次，每批次饲养4</w:t>
      </w:r>
      <w:r>
        <w:rPr>
          <w:rFonts w:hAnsi="宋体"/>
          <w:bCs/>
          <w:sz w:val="24"/>
          <w:szCs w:val="24"/>
        </w:rPr>
        <w:t>5</w:t>
      </w:r>
      <w:r>
        <w:rPr>
          <w:rFonts w:hint="eastAsia" w:hAnsi="宋体"/>
          <w:bCs/>
          <w:sz w:val="24"/>
          <w:szCs w:val="24"/>
        </w:rPr>
        <w:t>d，年出栏肉鸡约</w:t>
      </w:r>
      <w:r>
        <w:rPr>
          <w:rFonts w:hAnsi="宋体"/>
          <w:bCs/>
          <w:sz w:val="24"/>
          <w:szCs w:val="24"/>
        </w:rPr>
        <w:t>140</w:t>
      </w:r>
      <w:r>
        <w:rPr>
          <w:rFonts w:hint="eastAsia" w:hAnsi="宋体"/>
          <w:bCs/>
          <w:sz w:val="24"/>
          <w:szCs w:val="24"/>
        </w:rPr>
        <w:t>万羽。则本项目粪便产生量为</w:t>
      </w:r>
      <w:r>
        <w:rPr>
          <w:rFonts w:hAnsi="宋体"/>
          <w:bCs/>
          <w:sz w:val="24"/>
          <w:szCs w:val="24"/>
        </w:rPr>
        <w:t>6930t/a</w:t>
      </w:r>
      <w:r>
        <w:rPr>
          <w:rFonts w:hint="eastAsia" w:hAnsi="宋体"/>
          <w:bCs/>
          <w:sz w:val="24"/>
          <w:szCs w:val="24"/>
        </w:rPr>
        <w:t>。本项目鸡粪日产日清，经发酵罐熟化后外运有机肥厂进一步处理以综合利用。</w:t>
      </w:r>
    </w:p>
    <w:p>
      <w:pPr>
        <w:spacing w:line="480" w:lineRule="exact"/>
        <w:rPr>
          <w:b/>
          <w:bCs/>
          <w:sz w:val="24"/>
        </w:rPr>
      </w:pPr>
      <w:r>
        <w:rPr>
          <w:rFonts w:hint="eastAsia"/>
          <w:b/>
          <w:bCs/>
          <w:spacing w:val="6"/>
          <w:sz w:val="24"/>
        </w:rPr>
        <w:t>2、</w:t>
      </w:r>
      <w:r>
        <w:rPr>
          <w:rFonts w:hint="eastAsia"/>
          <w:b/>
          <w:bCs/>
          <w:sz w:val="24"/>
          <w:szCs w:val="24"/>
        </w:rPr>
        <w:t>饲料残渣</w:t>
      </w:r>
    </w:p>
    <w:p>
      <w:pPr>
        <w:spacing w:line="480" w:lineRule="exact"/>
        <w:ind w:firstLine="480" w:firstLineChars="200"/>
        <w:rPr>
          <w:rFonts w:hAnsi="宋体"/>
          <w:bCs/>
          <w:sz w:val="24"/>
          <w:szCs w:val="24"/>
        </w:rPr>
      </w:pPr>
      <w:r>
        <w:rPr>
          <w:rFonts w:hint="eastAsia" w:hAnsi="宋体"/>
          <w:bCs/>
          <w:sz w:val="24"/>
          <w:szCs w:val="24"/>
        </w:rPr>
        <w:t>本项目饲养的肉鸡饲料用量约为5.65kg/只，年出栏商品肉鸡约为140万只，则饲料总用量为7910t/a，在对牲畜进行喂食过程中产生的食物残渣约占饲料用量的0.5%，产生的饲料残渣量约为40t/a。饲料残渣与鸡粪同时外运有机肥厂，用作有机肥料，综合利用。</w:t>
      </w:r>
    </w:p>
    <w:p>
      <w:pPr>
        <w:spacing w:line="480" w:lineRule="exact"/>
        <w:rPr>
          <w:b/>
          <w:bCs/>
          <w:sz w:val="24"/>
        </w:rPr>
      </w:pPr>
      <w:r>
        <w:rPr>
          <w:rFonts w:hint="eastAsia"/>
          <w:b/>
          <w:bCs/>
          <w:spacing w:val="6"/>
          <w:sz w:val="24"/>
        </w:rPr>
        <w:t>3、</w:t>
      </w:r>
      <w:r>
        <w:rPr>
          <w:rFonts w:hint="eastAsia"/>
          <w:b/>
          <w:bCs/>
          <w:sz w:val="24"/>
          <w:szCs w:val="24"/>
        </w:rPr>
        <w:t>病死鸡尸体</w:t>
      </w:r>
    </w:p>
    <w:p>
      <w:pPr>
        <w:spacing w:line="480" w:lineRule="exact"/>
        <w:ind w:firstLine="480" w:firstLineChars="200"/>
        <w:rPr>
          <w:kern w:val="0"/>
          <w:sz w:val="24"/>
          <w:szCs w:val="24"/>
        </w:rPr>
      </w:pPr>
      <w:r>
        <w:rPr>
          <w:rFonts w:hint="eastAsia"/>
          <w:kern w:val="0"/>
          <w:sz w:val="24"/>
          <w:szCs w:val="24"/>
        </w:rPr>
        <w:t>根据《畜禽规模养殖污染防治条例》（中华人民共和国国务院令第</w:t>
      </w:r>
      <w:r>
        <w:rPr>
          <w:kern w:val="0"/>
          <w:sz w:val="24"/>
          <w:szCs w:val="24"/>
        </w:rPr>
        <w:t xml:space="preserve"> 643 </w:t>
      </w:r>
      <w:r>
        <w:rPr>
          <w:rFonts w:hint="eastAsia"/>
          <w:kern w:val="0"/>
          <w:sz w:val="24"/>
          <w:szCs w:val="24"/>
        </w:rPr>
        <w:t>号）的有关内容，染疫畜禽以及染疫畜禽排泄物、染疫畜禽产品、病死或者死因不明的畜禽尸体等病害畜禽养殖废弃物，应当按照有关法律、法规和国务院农牧主管部门的规定，进行深埋、化制、焚烧等无害化处理，不得随意处置；国家鼓励和支持对染疫畜禽、病死或者死因不明畜禽尸体进行集中无害化处理，并按照国家有关规定对处理费用、养殖损失给予适当补助。</w:t>
      </w:r>
    </w:p>
    <w:p>
      <w:pPr>
        <w:spacing w:line="480" w:lineRule="exact"/>
        <w:ind w:firstLine="480" w:firstLineChars="200"/>
        <w:rPr>
          <w:kern w:val="0"/>
          <w:sz w:val="24"/>
          <w:szCs w:val="24"/>
        </w:rPr>
      </w:pPr>
      <w:r>
        <w:rPr>
          <w:rFonts w:hint="eastAsia"/>
          <w:kern w:val="0"/>
          <w:sz w:val="24"/>
          <w:szCs w:val="24"/>
        </w:rPr>
        <w:t>规模化养鸡场病死鸡控制在</w:t>
      </w:r>
      <w:r>
        <w:rPr>
          <w:kern w:val="0"/>
          <w:sz w:val="24"/>
          <w:szCs w:val="24"/>
        </w:rPr>
        <w:t>0.1%~0.2%</w:t>
      </w:r>
      <w:r>
        <w:rPr>
          <w:rFonts w:hint="eastAsia"/>
          <w:kern w:val="0"/>
          <w:sz w:val="24"/>
          <w:szCs w:val="24"/>
        </w:rPr>
        <w:t>，由于项目采用科学化管理与养殖，病死鸡产生量较小，本项目取</w:t>
      </w:r>
      <w:r>
        <w:rPr>
          <w:kern w:val="0"/>
          <w:sz w:val="24"/>
          <w:szCs w:val="24"/>
        </w:rPr>
        <w:t>0.1%</w:t>
      </w:r>
      <w:r>
        <w:rPr>
          <w:rFonts w:hint="eastAsia"/>
          <w:kern w:val="0"/>
          <w:sz w:val="24"/>
          <w:szCs w:val="24"/>
        </w:rPr>
        <w:t>，本项目年出栏140万只肉鸡，则每年病死鸡约有1400只。本项目鸡拟培育体重为</w:t>
      </w:r>
      <w:r>
        <w:rPr>
          <w:kern w:val="0"/>
          <w:sz w:val="24"/>
          <w:szCs w:val="24"/>
        </w:rPr>
        <w:t>2.</w:t>
      </w:r>
      <w:r>
        <w:rPr>
          <w:rFonts w:hint="eastAsia"/>
          <w:kern w:val="0"/>
          <w:sz w:val="24"/>
          <w:szCs w:val="24"/>
        </w:rPr>
        <w:t>6</w:t>
      </w:r>
      <w:r>
        <w:rPr>
          <w:kern w:val="0"/>
          <w:sz w:val="24"/>
          <w:szCs w:val="24"/>
        </w:rPr>
        <w:t>kg</w:t>
      </w:r>
      <w:r>
        <w:rPr>
          <w:rFonts w:hint="eastAsia"/>
          <w:kern w:val="0"/>
          <w:sz w:val="24"/>
          <w:szCs w:val="24"/>
        </w:rPr>
        <w:t>（平均），则病死鸡年产生量为</w:t>
      </w:r>
      <w:bookmarkStart w:id="61" w:name="_Hlk482077123"/>
      <w:r>
        <w:rPr>
          <w:rFonts w:hint="eastAsia"/>
          <w:kern w:val="0"/>
          <w:sz w:val="24"/>
          <w:szCs w:val="24"/>
        </w:rPr>
        <w:t>3.64</w:t>
      </w:r>
      <w:r>
        <w:rPr>
          <w:kern w:val="0"/>
          <w:sz w:val="24"/>
          <w:szCs w:val="24"/>
        </w:rPr>
        <w:t>t/a</w:t>
      </w:r>
      <w:r>
        <w:rPr>
          <w:rFonts w:hint="eastAsia"/>
          <w:kern w:val="0"/>
          <w:sz w:val="24"/>
          <w:szCs w:val="24"/>
        </w:rPr>
        <w:t>。</w:t>
      </w:r>
      <w:bookmarkEnd w:id="61"/>
    </w:p>
    <w:p>
      <w:pPr>
        <w:spacing w:line="480" w:lineRule="exact"/>
        <w:ind w:firstLine="480" w:firstLineChars="200"/>
        <w:rPr>
          <w:kern w:val="0"/>
          <w:sz w:val="24"/>
          <w:szCs w:val="24"/>
        </w:rPr>
      </w:pPr>
      <w:r>
        <w:rPr>
          <w:rFonts w:hint="eastAsia"/>
          <w:kern w:val="0"/>
          <w:sz w:val="24"/>
          <w:szCs w:val="24"/>
        </w:rPr>
        <w:t>本项目设置两个安全填埋井，填埋井为混凝土结构，深度大于</w:t>
      </w:r>
      <w:r>
        <w:rPr>
          <w:kern w:val="0"/>
          <w:sz w:val="24"/>
          <w:szCs w:val="24"/>
        </w:rPr>
        <w:t>6m</w:t>
      </w:r>
      <w:r>
        <w:rPr>
          <w:rFonts w:hint="eastAsia"/>
          <w:kern w:val="0"/>
          <w:sz w:val="24"/>
          <w:szCs w:val="24"/>
        </w:rPr>
        <w:t>，直径</w:t>
      </w:r>
      <w:r>
        <w:rPr>
          <w:kern w:val="0"/>
          <w:sz w:val="24"/>
          <w:szCs w:val="24"/>
        </w:rPr>
        <w:t>4m</w:t>
      </w:r>
      <w:r>
        <w:rPr>
          <w:rFonts w:hint="eastAsia"/>
          <w:kern w:val="0"/>
          <w:sz w:val="24"/>
          <w:szCs w:val="24"/>
        </w:rPr>
        <w:t>，井口加盖密封。进行填埋时，在每次投入畜禽尸体后，覆盖一层厚度大于</w:t>
      </w:r>
      <w:r>
        <w:rPr>
          <w:kern w:val="0"/>
          <w:sz w:val="24"/>
          <w:szCs w:val="24"/>
        </w:rPr>
        <w:t>10cm</w:t>
      </w:r>
      <w:r>
        <w:rPr>
          <w:rFonts w:hint="eastAsia"/>
          <w:kern w:val="0"/>
          <w:sz w:val="24"/>
          <w:szCs w:val="24"/>
        </w:rPr>
        <w:t>的熟石灰，井填满后，用粘土填埋压实并封口。</w:t>
      </w:r>
    </w:p>
    <w:p>
      <w:pPr>
        <w:spacing w:line="480" w:lineRule="exact"/>
        <w:rPr>
          <w:b/>
          <w:bCs/>
          <w:sz w:val="24"/>
        </w:rPr>
      </w:pPr>
      <w:r>
        <w:rPr>
          <w:b/>
          <w:bCs/>
          <w:sz w:val="24"/>
        </w:rPr>
        <w:t>4</w:t>
      </w:r>
      <w:r>
        <w:rPr>
          <w:rFonts w:hint="eastAsia"/>
          <w:b/>
          <w:bCs/>
          <w:sz w:val="24"/>
        </w:rPr>
        <w:t>、污泥</w:t>
      </w:r>
    </w:p>
    <w:p>
      <w:pPr>
        <w:spacing w:line="480" w:lineRule="exact"/>
        <w:ind w:firstLine="480" w:firstLineChars="200"/>
        <w:rPr>
          <w:rFonts w:hAnsi="宋体"/>
          <w:bCs/>
          <w:sz w:val="24"/>
          <w:szCs w:val="24"/>
        </w:rPr>
      </w:pPr>
      <w:r>
        <w:rPr>
          <w:rFonts w:hint="eastAsia" w:hAnsi="宋体"/>
          <w:bCs/>
          <w:kern w:val="0"/>
          <w:sz w:val="24"/>
          <w:szCs w:val="24"/>
        </w:rPr>
        <w:t>项目运行后污泥产生量约为</w:t>
      </w:r>
      <w:r>
        <w:rPr>
          <w:rFonts w:hAnsi="宋体"/>
          <w:bCs/>
          <w:kern w:val="0"/>
          <w:sz w:val="24"/>
          <w:szCs w:val="24"/>
        </w:rPr>
        <w:t>2.3t/a</w:t>
      </w:r>
      <w:r>
        <w:rPr>
          <w:rFonts w:hint="eastAsia" w:hAnsi="宋体"/>
          <w:bCs/>
          <w:kern w:val="0"/>
          <w:sz w:val="24"/>
          <w:szCs w:val="24"/>
        </w:rPr>
        <w:t>，污泥固化消毒后与鸡粪同时外运有机肥厂，用作有机肥料，综合利用。</w:t>
      </w:r>
    </w:p>
    <w:p>
      <w:pPr>
        <w:spacing w:line="480" w:lineRule="exact"/>
        <w:rPr>
          <w:b/>
          <w:bCs/>
          <w:sz w:val="24"/>
        </w:rPr>
      </w:pPr>
      <w:r>
        <w:rPr>
          <w:rFonts w:hint="eastAsia"/>
          <w:b/>
          <w:bCs/>
          <w:sz w:val="24"/>
        </w:rPr>
        <w:t>5、</w:t>
      </w:r>
      <w:r>
        <w:rPr>
          <w:rFonts w:hint="eastAsia"/>
          <w:b/>
          <w:bCs/>
          <w:sz w:val="24"/>
          <w:szCs w:val="24"/>
        </w:rPr>
        <w:t>疾病防疫、消毒产生的医疗废物、消毒废物</w:t>
      </w:r>
    </w:p>
    <w:p>
      <w:pPr>
        <w:spacing w:line="480" w:lineRule="exact"/>
        <w:ind w:firstLine="480" w:firstLineChars="200"/>
        <w:rPr>
          <w:kern w:val="0"/>
          <w:sz w:val="24"/>
          <w:szCs w:val="24"/>
        </w:rPr>
      </w:pPr>
      <w:r>
        <w:rPr>
          <w:rFonts w:hint="eastAsia"/>
          <w:kern w:val="0"/>
          <w:sz w:val="24"/>
          <w:szCs w:val="24"/>
        </w:rPr>
        <w:t>在营运过程中，肉鸡需要使用营养药和预防疾病用药，用药方式主要为饮水等，使用药</w:t>
      </w:r>
      <w:r>
        <w:rPr>
          <w:kern w:val="0"/>
          <w:sz w:val="24"/>
          <w:szCs w:val="24"/>
        </w:rPr>
        <w:t>6360</w:t>
      </w:r>
      <w:r>
        <w:rPr>
          <w:rFonts w:hint="eastAsia"/>
          <w:kern w:val="0"/>
          <w:sz w:val="24"/>
          <w:szCs w:val="24"/>
        </w:rPr>
        <w:t>瓶、</w:t>
      </w:r>
      <w:r>
        <w:rPr>
          <w:kern w:val="0"/>
          <w:sz w:val="24"/>
          <w:szCs w:val="24"/>
        </w:rPr>
        <w:t>1160</w:t>
      </w:r>
      <w:r>
        <w:rPr>
          <w:rFonts w:hint="eastAsia"/>
          <w:kern w:val="0"/>
          <w:sz w:val="24"/>
          <w:szCs w:val="24"/>
        </w:rPr>
        <w:t>袋，营药瓶重量约为</w:t>
      </w:r>
      <w:r>
        <w:rPr>
          <w:kern w:val="0"/>
          <w:sz w:val="24"/>
          <w:szCs w:val="24"/>
        </w:rPr>
        <w:t>0.02kg/</w:t>
      </w:r>
      <w:r>
        <w:rPr>
          <w:rFonts w:hint="eastAsia"/>
          <w:kern w:val="0"/>
          <w:sz w:val="24"/>
          <w:szCs w:val="24"/>
        </w:rPr>
        <w:t>个，用药包装袋重量约为</w:t>
      </w:r>
      <w:r>
        <w:rPr>
          <w:kern w:val="0"/>
          <w:sz w:val="24"/>
          <w:szCs w:val="24"/>
        </w:rPr>
        <w:t>0.01kg/</w:t>
      </w:r>
      <w:r>
        <w:rPr>
          <w:rFonts w:hint="eastAsia"/>
          <w:kern w:val="0"/>
          <w:sz w:val="24"/>
          <w:szCs w:val="24"/>
        </w:rPr>
        <w:t>个，经计算，医疗废物废物总产生量约为</w:t>
      </w:r>
      <w:r>
        <w:rPr>
          <w:kern w:val="0"/>
          <w:sz w:val="24"/>
          <w:szCs w:val="24"/>
        </w:rPr>
        <w:t>0.14t/a</w:t>
      </w:r>
      <w:r>
        <w:rPr>
          <w:rFonts w:hint="eastAsia"/>
          <w:kern w:val="0"/>
          <w:sz w:val="24"/>
          <w:szCs w:val="24"/>
        </w:rPr>
        <w:t>。</w:t>
      </w:r>
    </w:p>
    <w:p>
      <w:pPr>
        <w:spacing w:line="480" w:lineRule="exact"/>
        <w:ind w:firstLine="480" w:firstLineChars="200"/>
        <w:rPr>
          <w:kern w:val="0"/>
          <w:sz w:val="24"/>
          <w:szCs w:val="24"/>
        </w:rPr>
      </w:pPr>
      <w:r>
        <w:rPr>
          <w:rFonts w:hint="eastAsia" w:hAnsi="宋体"/>
          <w:bCs/>
          <w:sz w:val="24"/>
          <w:szCs w:val="24"/>
        </w:rPr>
        <w:t>进入养殖区的车辆、人员需要进行消毒，养殖区需要定期消毒，消毒过程产生使用消毒剂及消毒器材，产生消毒剂包装袋、废消毒器材，消毒液年用</w:t>
      </w:r>
      <w:r>
        <w:rPr>
          <w:rFonts w:hAnsi="宋体"/>
          <w:bCs/>
          <w:sz w:val="24"/>
          <w:szCs w:val="24"/>
        </w:rPr>
        <w:t>570</w:t>
      </w:r>
      <w:r>
        <w:rPr>
          <w:rFonts w:hint="eastAsia" w:hAnsi="宋体"/>
          <w:bCs/>
          <w:sz w:val="24"/>
          <w:szCs w:val="24"/>
        </w:rPr>
        <w:t>瓶</w:t>
      </w:r>
      <w:r>
        <w:rPr>
          <w:rFonts w:hAnsi="宋体"/>
          <w:bCs/>
          <w:sz w:val="24"/>
          <w:szCs w:val="24"/>
        </w:rPr>
        <w:t>/a</w:t>
      </w:r>
      <w:r>
        <w:rPr>
          <w:rFonts w:hint="eastAsia" w:hAnsi="宋体"/>
          <w:bCs/>
          <w:sz w:val="24"/>
          <w:szCs w:val="24"/>
        </w:rPr>
        <w:t>、</w:t>
      </w:r>
      <w:r>
        <w:rPr>
          <w:rFonts w:hAnsi="宋体"/>
          <w:bCs/>
          <w:sz w:val="24"/>
          <w:szCs w:val="24"/>
        </w:rPr>
        <w:t>20</w:t>
      </w:r>
      <w:r>
        <w:rPr>
          <w:rFonts w:hint="eastAsia" w:hAnsi="宋体"/>
          <w:bCs/>
          <w:sz w:val="24"/>
          <w:szCs w:val="24"/>
        </w:rPr>
        <w:t>袋，瓶重量约为</w:t>
      </w:r>
      <w:r>
        <w:rPr>
          <w:rFonts w:hAnsi="宋体"/>
          <w:bCs/>
          <w:sz w:val="24"/>
          <w:szCs w:val="24"/>
        </w:rPr>
        <w:t>0.03kg/</w:t>
      </w:r>
      <w:r>
        <w:rPr>
          <w:rFonts w:hint="eastAsia" w:hAnsi="宋体"/>
          <w:bCs/>
          <w:sz w:val="24"/>
          <w:szCs w:val="24"/>
        </w:rPr>
        <w:t>个、袋重量约为</w:t>
      </w:r>
      <w:r>
        <w:rPr>
          <w:rFonts w:hAnsi="宋体"/>
          <w:bCs/>
          <w:sz w:val="24"/>
          <w:szCs w:val="24"/>
        </w:rPr>
        <w:t>0.01kg/</w:t>
      </w:r>
      <w:r>
        <w:rPr>
          <w:rFonts w:hint="eastAsia" w:hAnsi="宋体"/>
          <w:bCs/>
          <w:sz w:val="24"/>
          <w:szCs w:val="24"/>
        </w:rPr>
        <w:t>个，消毒废物产生量为</w:t>
      </w:r>
      <w:r>
        <w:rPr>
          <w:rFonts w:hAnsi="宋体"/>
          <w:bCs/>
          <w:sz w:val="24"/>
          <w:szCs w:val="24"/>
        </w:rPr>
        <w:t>0.02t/a</w:t>
      </w:r>
      <w:r>
        <w:rPr>
          <w:rFonts w:hint="eastAsia" w:hAnsi="宋体"/>
          <w:bCs/>
          <w:sz w:val="24"/>
          <w:szCs w:val="24"/>
        </w:rPr>
        <w:t>。</w:t>
      </w:r>
    </w:p>
    <w:p>
      <w:pPr>
        <w:spacing w:line="480" w:lineRule="exact"/>
        <w:ind w:firstLine="480" w:firstLineChars="200"/>
        <w:rPr>
          <w:rFonts w:hAnsi="宋体"/>
          <w:bCs/>
          <w:sz w:val="24"/>
          <w:szCs w:val="24"/>
        </w:rPr>
      </w:pPr>
      <w:r>
        <w:rPr>
          <w:rFonts w:hint="eastAsia"/>
          <w:kern w:val="0"/>
          <w:sz w:val="24"/>
          <w:szCs w:val="24"/>
        </w:rPr>
        <w:t>企业拟在检疫室内建危废暂存间，为单独隔间，地面防渗处理，同时制定危险废物管理制度，医疗废物、消毒废物交由有资质单位处置。</w:t>
      </w:r>
    </w:p>
    <w:p>
      <w:pPr>
        <w:spacing w:line="480" w:lineRule="exact"/>
        <w:ind w:firstLine="480" w:firstLineChars="200"/>
        <w:rPr>
          <w:rFonts w:hAnsi="宋体"/>
          <w:bCs/>
          <w:sz w:val="24"/>
          <w:szCs w:val="24"/>
        </w:rPr>
      </w:pPr>
      <w:r>
        <w:rPr>
          <w:rFonts w:hint="eastAsia" w:hAnsi="宋体"/>
          <w:bCs/>
          <w:sz w:val="24"/>
          <w:szCs w:val="24"/>
        </w:rPr>
        <w:t>本项目危险废物汇总表见表3.5-7。</w:t>
      </w:r>
    </w:p>
    <w:p>
      <w:pPr>
        <w:pStyle w:val="132"/>
        <w:rPr>
          <w:rFonts w:ascii="Times New Roman" w:hAnsi="Times New Roman"/>
          <w:sz w:val="24"/>
        </w:rPr>
      </w:pPr>
      <w:r>
        <w:rPr>
          <w:rFonts w:hint="eastAsia" w:ascii="Times New Roman" w:hAnsi="Times New Roman"/>
          <w:sz w:val="24"/>
        </w:rPr>
        <w:t>表3.5-7  危险废物汇总表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723"/>
        <w:gridCol w:w="866"/>
        <w:gridCol w:w="1211"/>
        <w:gridCol w:w="857"/>
        <w:gridCol w:w="879"/>
        <w:gridCol w:w="616"/>
        <w:gridCol w:w="718"/>
        <w:gridCol w:w="596"/>
        <w:gridCol w:w="658"/>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Align w:val="center"/>
          </w:tcPr>
          <w:p>
            <w:pPr>
              <w:pStyle w:val="128"/>
              <w:rPr>
                <w:rFonts w:ascii="Times New Roman" w:hAnsi="Times New Roman"/>
              </w:rPr>
            </w:pPr>
            <w:r>
              <w:rPr>
                <w:rFonts w:hint="eastAsia" w:ascii="Times New Roman" w:hAnsi="Times New Roman"/>
              </w:rPr>
              <w:t>序号</w:t>
            </w:r>
          </w:p>
        </w:tc>
        <w:tc>
          <w:tcPr>
            <w:tcW w:w="399" w:type="pct"/>
            <w:vAlign w:val="center"/>
          </w:tcPr>
          <w:p>
            <w:pPr>
              <w:pStyle w:val="128"/>
              <w:rPr>
                <w:rFonts w:ascii="Times New Roman" w:hAnsi="Times New Roman"/>
              </w:rPr>
            </w:pPr>
            <w:r>
              <w:rPr>
                <w:rFonts w:hint="eastAsia" w:ascii="Times New Roman" w:hAnsi="Times New Roman"/>
              </w:rPr>
              <w:t>危险废物名称</w:t>
            </w:r>
          </w:p>
        </w:tc>
        <w:tc>
          <w:tcPr>
            <w:tcW w:w="478" w:type="pct"/>
            <w:vAlign w:val="center"/>
          </w:tcPr>
          <w:p>
            <w:pPr>
              <w:pStyle w:val="128"/>
              <w:rPr>
                <w:rFonts w:ascii="Times New Roman" w:hAnsi="Times New Roman"/>
              </w:rPr>
            </w:pPr>
            <w:r>
              <w:rPr>
                <w:rFonts w:hint="eastAsia" w:ascii="Times New Roman" w:hAnsi="Times New Roman"/>
              </w:rPr>
              <w:t>危险废物类别</w:t>
            </w:r>
          </w:p>
        </w:tc>
        <w:tc>
          <w:tcPr>
            <w:tcW w:w="668" w:type="pct"/>
            <w:vAlign w:val="center"/>
          </w:tcPr>
          <w:p>
            <w:pPr>
              <w:pStyle w:val="128"/>
              <w:rPr>
                <w:rFonts w:ascii="Times New Roman" w:hAnsi="Times New Roman"/>
              </w:rPr>
            </w:pPr>
            <w:r>
              <w:rPr>
                <w:rFonts w:hint="eastAsia" w:ascii="Times New Roman" w:hAnsi="Times New Roman"/>
              </w:rPr>
              <w:t>危险废物代码</w:t>
            </w:r>
          </w:p>
        </w:tc>
        <w:tc>
          <w:tcPr>
            <w:tcW w:w="473" w:type="pct"/>
            <w:vAlign w:val="center"/>
          </w:tcPr>
          <w:p>
            <w:pPr>
              <w:pStyle w:val="128"/>
              <w:rPr>
                <w:rFonts w:ascii="Times New Roman" w:hAnsi="Times New Roman"/>
              </w:rPr>
            </w:pPr>
            <w:r>
              <w:rPr>
                <w:rFonts w:hint="eastAsia" w:ascii="Times New Roman" w:hAnsi="Times New Roman"/>
              </w:rPr>
              <w:t>产生量（</w:t>
            </w:r>
            <w:r>
              <w:rPr>
                <w:rFonts w:ascii="Times New Roman" w:hAnsi="Times New Roman"/>
              </w:rPr>
              <w:t>t/a</w:t>
            </w:r>
            <w:r>
              <w:rPr>
                <w:rFonts w:hint="eastAsia" w:ascii="Times New Roman" w:hAnsi="Times New Roman"/>
              </w:rPr>
              <w:t>）</w:t>
            </w:r>
          </w:p>
        </w:tc>
        <w:tc>
          <w:tcPr>
            <w:tcW w:w="485" w:type="pct"/>
            <w:vAlign w:val="center"/>
          </w:tcPr>
          <w:p>
            <w:pPr>
              <w:pStyle w:val="128"/>
              <w:rPr>
                <w:rFonts w:ascii="Times New Roman" w:hAnsi="Times New Roman"/>
                <w:spacing w:val="-11"/>
              </w:rPr>
            </w:pPr>
            <w:r>
              <w:rPr>
                <w:rFonts w:hint="eastAsia" w:ascii="Times New Roman" w:hAnsi="Times New Roman"/>
                <w:spacing w:val="-11"/>
              </w:rPr>
              <w:t>产生工序及装置</w:t>
            </w:r>
          </w:p>
        </w:tc>
        <w:tc>
          <w:tcPr>
            <w:tcW w:w="340" w:type="pct"/>
            <w:vAlign w:val="center"/>
          </w:tcPr>
          <w:p>
            <w:pPr>
              <w:pStyle w:val="128"/>
              <w:rPr>
                <w:rFonts w:ascii="Times New Roman" w:hAnsi="Times New Roman"/>
                <w:spacing w:val="-11"/>
              </w:rPr>
            </w:pPr>
            <w:r>
              <w:rPr>
                <w:rFonts w:hint="eastAsia" w:ascii="Times New Roman" w:hAnsi="Times New Roman"/>
                <w:spacing w:val="-11"/>
              </w:rPr>
              <w:t>形态</w:t>
            </w:r>
          </w:p>
        </w:tc>
        <w:tc>
          <w:tcPr>
            <w:tcW w:w="396" w:type="pct"/>
            <w:vAlign w:val="center"/>
          </w:tcPr>
          <w:p>
            <w:pPr>
              <w:pStyle w:val="128"/>
              <w:rPr>
                <w:rFonts w:ascii="Times New Roman" w:hAnsi="Times New Roman"/>
                <w:spacing w:val="-11"/>
              </w:rPr>
            </w:pPr>
            <w:r>
              <w:rPr>
                <w:rFonts w:hint="eastAsia" w:ascii="Times New Roman" w:hAnsi="Times New Roman"/>
                <w:spacing w:val="-11"/>
              </w:rPr>
              <w:t>有害成分</w:t>
            </w:r>
          </w:p>
        </w:tc>
        <w:tc>
          <w:tcPr>
            <w:tcW w:w="329" w:type="pct"/>
            <w:vAlign w:val="center"/>
          </w:tcPr>
          <w:p>
            <w:pPr>
              <w:pStyle w:val="128"/>
              <w:rPr>
                <w:rFonts w:ascii="Times New Roman" w:hAnsi="Times New Roman"/>
                <w:spacing w:val="-11"/>
              </w:rPr>
            </w:pPr>
            <w:r>
              <w:rPr>
                <w:rFonts w:hint="eastAsia" w:ascii="Times New Roman" w:hAnsi="Times New Roman"/>
                <w:spacing w:val="-11"/>
              </w:rPr>
              <w:t>产废周期</w:t>
            </w:r>
          </w:p>
        </w:tc>
        <w:tc>
          <w:tcPr>
            <w:tcW w:w="363" w:type="pct"/>
            <w:vAlign w:val="center"/>
          </w:tcPr>
          <w:p>
            <w:pPr>
              <w:pStyle w:val="128"/>
              <w:rPr>
                <w:rFonts w:ascii="Times New Roman" w:hAnsi="Times New Roman" w:eastAsia="宋体" w:cs="Times New Roman"/>
                <w:spacing w:val="-11"/>
              </w:rPr>
            </w:pPr>
            <w:r>
              <w:rPr>
                <w:rFonts w:hint="eastAsia" w:ascii="Times New Roman" w:hAnsi="Times New Roman"/>
                <w:spacing w:val="-11"/>
              </w:rPr>
              <w:t>危险</w:t>
            </w:r>
          </w:p>
          <w:p>
            <w:pPr>
              <w:pStyle w:val="128"/>
              <w:rPr>
                <w:rFonts w:ascii="Times New Roman" w:hAnsi="Times New Roman"/>
                <w:spacing w:val="-11"/>
              </w:rPr>
            </w:pPr>
            <w:r>
              <w:rPr>
                <w:rFonts w:hint="eastAsia" w:ascii="Times New Roman" w:hAnsi="Times New Roman"/>
                <w:spacing w:val="-11"/>
              </w:rPr>
              <w:t>特性</w:t>
            </w:r>
          </w:p>
        </w:tc>
        <w:tc>
          <w:tcPr>
            <w:tcW w:w="803" w:type="pct"/>
            <w:vAlign w:val="center"/>
          </w:tcPr>
          <w:p>
            <w:pPr>
              <w:pStyle w:val="128"/>
              <w:rPr>
                <w:rFonts w:ascii="Times New Roman" w:hAnsi="Times New Roman"/>
              </w:rPr>
            </w:pPr>
            <w:r>
              <w:rPr>
                <w:rFonts w:hint="eastAsia" w:ascii="Times New Roman" w:hAnsi="Times New Roman"/>
              </w:rPr>
              <w:t>污染防治措施</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Align w:val="center"/>
          </w:tcPr>
          <w:p>
            <w:pPr>
              <w:pStyle w:val="128"/>
              <w:rPr>
                <w:rFonts w:ascii="Times New Roman" w:hAnsi="Times New Roman"/>
              </w:rPr>
            </w:pPr>
            <w:r>
              <w:rPr>
                <w:rFonts w:ascii="Times New Roman" w:hAnsi="Times New Roman"/>
              </w:rPr>
              <w:t>1</w:t>
            </w:r>
          </w:p>
        </w:tc>
        <w:tc>
          <w:tcPr>
            <w:tcW w:w="399" w:type="pct"/>
            <w:vAlign w:val="center"/>
          </w:tcPr>
          <w:p>
            <w:pPr>
              <w:pStyle w:val="128"/>
              <w:rPr>
                <w:rFonts w:ascii="Times New Roman" w:hAnsi="Times New Roman"/>
              </w:rPr>
            </w:pPr>
            <w:r>
              <w:rPr>
                <w:rFonts w:hint="eastAsia" w:ascii="Times New Roman" w:hAnsi="Times New Roman"/>
              </w:rPr>
              <w:t>医疗废物</w:t>
            </w:r>
          </w:p>
        </w:tc>
        <w:tc>
          <w:tcPr>
            <w:tcW w:w="478" w:type="pct"/>
            <w:vAlign w:val="center"/>
          </w:tcPr>
          <w:p>
            <w:pPr>
              <w:pStyle w:val="128"/>
              <w:rPr>
                <w:rFonts w:ascii="Times New Roman" w:hAnsi="Times New Roman"/>
              </w:rPr>
            </w:pPr>
            <w:r>
              <w:rPr>
                <w:rFonts w:ascii="Times New Roman" w:hAnsi="Times New Roman"/>
              </w:rPr>
              <w:t>HW01</w:t>
            </w:r>
          </w:p>
        </w:tc>
        <w:tc>
          <w:tcPr>
            <w:tcW w:w="668" w:type="pct"/>
            <w:vAlign w:val="center"/>
          </w:tcPr>
          <w:p>
            <w:pPr>
              <w:pStyle w:val="128"/>
              <w:rPr>
                <w:rFonts w:ascii="Times New Roman" w:hAnsi="Times New Roman"/>
              </w:rPr>
            </w:pPr>
            <w:r>
              <w:rPr>
                <w:rFonts w:ascii="Times New Roman" w:hAnsi="Times New Roman"/>
              </w:rPr>
              <w:t>900-001-01</w:t>
            </w:r>
          </w:p>
        </w:tc>
        <w:tc>
          <w:tcPr>
            <w:tcW w:w="473" w:type="pct"/>
            <w:vAlign w:val="center"/>
          </w:tcPr>
          <w:p>
            <w:pPr>
              <w:pStyle w:val="128"/>
              <w:rPr>
                <w:rFonts w:ascii="Times New Roman" w:hAnsi="Times New Roman"/>
                <w:lang w:val="en-US"/>
              </w:rPr>
            </w:pPr>
            <w:r>
              <w:rPr>
                <w:rFonts w:ascii="Times New Roman" w:hAnsi="Times New Roman"/>
                <w:lang w:val="en-US"/>
              </w:rPr>
              <w:t>0.14</w:t>
            </w:r>
          </w:p>
        </w:tc>
        <w:tc>
          <w:tcPr>
            <w:tcW w:w="485" w:type="pct"/>
            <w:vAlign w:val="center"/>
          </w:tcPr>
          <w:p>
            <w:pPr>
              <w:pStyle w:val="128"/>
              <w:rPr>
                <w:rFonts w:ascii="Times New Roman" w:hAnsi="Times New Roman" w:eastAsia="宋体" w:cs="Times New Roman"/>
              </w:rPr>
            </w:pPr>
            <w:r>
              <w:rPr>
                <w:rFonts w:hint="eastAsia" w:ascii="Times New Roman" w:hAnsi="Times New Roman"/>
              </w:rPr>
              <w:t>动物</w:t>
            </w:r>
          </w:p>
          <w:p>
            <w:pPr>
              <w:pStyle w:val="128"/>
              <w:rPr>
                <w:rFonts w:ascii="Times New Roman" w:hAnsi="Times New Roman"/>
              </w:rPr>
            </w:pPr>
            <w:r>
              <w:rPr>
                <w:rFonts w:hint="eastAsia" w:ascii="Times New Roman" w:hAnsi="Times New Roman"/>
              </w:rPr>
              <w:t>防疫</w:t>
            </w:r>
          </w:p>
        </w:tc>
        <w:tc>
          <w:tcPr>
            <w:tcW w:w="340" w:type="pct"/>
            <w:vAlign w:val="center"/>
          </w:tcPr>
          <w:p>
            <w:pPr>
              <w:pStyle w:val="128"/>
              <w:rPr>
                <w:rFonts w:ascii="Times New Roman" w:hAnsi="Times New Roman"/>
              </w:rPr>
            </w:pPr>
            <w:r>
              <w:rPr>
                <w:rFonts w:hint="eastAsia" w:ascii="Times New Roman" w:hAnsi="Times New Roman"/>
              </w:rPr>
              <w:t>固态</w:t>
            </w:r>
          </w:p>
        </w:tc>
        <w:tc>
          <w:tcPr>
            <w:tcW w:w="396" w:type="pct"/>
            <w:vAlign w:val="center"/>
          </w:tcPr>
          <w:p>
            <w:pPr>
              <w:pStyle w:val="128"/>
              <w:rPr>
                <w:rFonts w:ascii="Times New Roman" w:hAnsi="Times New Roman"/>
              </w:rPr>
            </w:pPr>
            <w:r>
              <w:rPr>
                <w:rFonts w:hint="eastAsia" w:ascii="Times New Roman" w:hAnsi="Times New Roman"/>
                <w:spacing w:val="-11"/>
              </w:rPr>
              <w:t>有机物</w:t>
            </w:r>
          </w:p>
        </w:tc>
        <w:tc>
          <w:tcPr>
            <w:tcW w:w="329" w:type="pct"/>
            <w:vAlign w:val="center"/>
          </w:tcPr>
          <w:p>
            <w:pPr>
              <w:pStyle w:val="128"/>
              <w:rPr>
                <w:rFonts w:ascii="Times New Roman" w:hAnsi="Times New Roman"/>
              </w:rPr>
            </w:pPr>
            <w:r>
              <w:rPr>
                <w:rFonts w:hint="eastAsia" w:ascii="Times New Roman" w:hAnsi="Times New Roman"/>
              </w:rPr>
              <w:t>每天</w:t>
            </w:r>
          </w:p>
        </w:tc>
        <w:tc>
          <w:tcPr>
            <w:tcW w:w="363" w:type="pct"/>
            <w:vAlign w:val="center"/>
          </w:tcPr>
          <w:p>
            <w:pPr>
              <w:pStyle w:val="128"/>
              <w:rPr>
                <w:rFonts w:ascii="Times New Roman" w:hAnsi="Times New Roman"/>
              </w:rPr>
            </w:pPr>
            <w:r>
              <w:rPr>
                <w:rFonts w:hint="eastAsia" w:ascii="Times New Roman" w:hAnsi="Times New Roman"/>
              </w:rPr>
              <w:t>感染性</w:t>
            </w:r>
          </w:p>
        </w:tc>
        <w:tc>
          <w:tcPr>
            <w:tcW w:w="803" w:type="pct"/>
            <w:vMerge w:val="restart"/>
            <w:vAlign w:val="center"/>
          </w:tcPr>
          <w:p>
            <w:pPr>
              <w:pStyle w:val="128"/>
              <w:rPr>
                <w:rFonts w:ascii="Times New Roman" w:hAnsi="Times New Roman" w:eastAsia="宋体" w:cs="Times New Roman"/>
              </w:rPr>
            </w:pPr>
            <w:r>
              <w:rPr>
                <w:rFonts w:hint="eastAsia" w:ascii="Times New Roman" w:hAnsi="Times New Roman"/>
              </w:rPr>
              <w:t>贮存：专用容器桶进行收集后暂存于危废暂存间；</w:t>
            </w:r>
          </w:p>
          <w:p>
            <w:pPr>
              <w:pStyle w:val="128"/>
              <w:rPr>
                <w:rFonts w:ascii="Times New Roman" w:hAnsi="Times New Roman"/>
              </w:rPr>
            </w:pPr>
            <w:r>
              <w:rPr>
                <w:rFonts w:hint="eastAsia" w:ascii="Times New Roman" w:hAnsi="Times New Roman"/>
              </w:rPr>
              <w:t>处置：定期交有资质单位处理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Align w:val="center"/>
          </w:tcPr>
          <w:p>
            <w:pPr>
              <w:pStyle w:val="128"/>
              <w:rPr>
                <w:rFonts w:ascii="Times New Roman" w:hAnsi="Times New Roman"/>
                <w:lang w:val="en-US"/>
              </w:rPr>
            </w:pPr>
            <w:r>
              <w:rPr>
                <w:rFonts w:ascii="Times New Roman" w:hAnsi="Times New Roman"/>
                <w:lang w:val="en-US"/>
              </w:rPr>
              <w:t>2</w:t>
            </w:r>
          </w:p>
        </w:tc>
        <w:tc>
          <w:tcPr>
            <w:tcW w:w="399" w:type="pct"/>
            <w:vAlign w:val="center"/>
          </w:tcPr>
          <w:p>
            <w:pPr>
              <w:pStyle w:val="128"/>
              <w:rPr>
                <w:rFonts w:ascii="Times New Roman" w:hAnsi="Times New Roman"/>
              </w:rPr>
            </w:pPr>
            <w:r>
              <w:rPr>
                <w:rFonts w:hint="eastAsia" w:ascii="Times New Roman" w:hAnsi="Times New Roman"/>
              </w:rPr>
              <w:t>其他废物</w:t>
            </w:r>
          </w:p>
        </w:tc>
        <w:tc>
          <w:tcPr>
            <w:tcW w:w="478" w:type="pct"/>
            <w:vAlign w:val="center"/>
          </w:tcPr>
          <w:p>
            <w:pPr>
              <w:pStyle w:val="128"/>
              <w:rPr>
                <w:rFonts w:ascii="Times New Roman" w:hAnsi="Times New Roman"/>
              </w:rPr>
            </w:pPr>
            <w:r>
              <w:rPr>
                <w:rFonts w:ascii="Times New Roman" w:hAnsi="Times New Roman"/>
              </w:rPr>
              <w:t>HW49</w:t>
            </w:r>
          </w:p>
        </w:tc>
        <w:tc>
          <w:tcPr>
            <w:tcW w:w="668" w:type="pct"/>
            <w:vAlign w:val="center"/>
          </w:tcPr>
          <w:p>
            <w:pPr>
              <w:pStyle w:val="128"/>
              <w:rPr>
                <w:rFonts w:ascii="Times New Roman" w:hAnsi="Times New Roman"/>
              </w:rPr>
            </w:pPr>
            <w:r>
              <w:rPr>
                <w:rFonts w:ascii="Times New Roman" w:hAnsi="Times New Roman"/>
              </w:rPr>
              <w:t>900-041-49</w:t>
            </w:r>
          </w:p>
        </w:tc>
        <w:tc>
          <w:tcPr>
            <w:tcW w:w="473" w:type="pct"/>
            <w:vAlign w:val="center"/>
          </w:tcPr>
          <w:p>
            <w:pPr>
              <w:pStyle w:val="128"/>
              <w:rPr>
                <w:rFonts w:ascii="Times New Roman" w:hAnsi="Times New Roman"/>
                <w:lang w:val="en-US"/>
              </w:rPr>
            </w:pPr>
            <w:r>
              <w:rPr>
                <w:rFonts w:ascii="Times New Roman" w:hAnsi="Times New Roman"/>
                <w:lang w:val="en-US"/>
              </w:rPr>
              <w:t>0.02</w:t>
            </w:r>
          </w:p>
        </w:tc>
        <w:tc>
          <w:tcPr>
            <w:tcW w:w="485" w:type="pct"/>
            <w:vAlign w:val="center"/>
          </w:tcPr>
          <w:p>
            <w:pPr>
              <w:pStyle w:val="128"/>
              <w:rPr>
                <w:rFonts w:ascii="Times New Roman" w:hAnsi="Times New Roman" w:eastAsia="宋体" w:cs="Times New Roman"/>
              </w:rPr>
            </w:pPr>
            <w:r>
              <w:rPr>
                <w:rFonts w:hint="eastAsia" w:ascii="Times New Roman" w:hAnsi="Times New Roman"/>
              </w:rPr>
              <w:t>场区</w:t>
            </w:r>
          </w:p>
          <w:p>
            <w:pPr>
              <w:pStyle w:val="128"/>
              <w:rPr>
                <w:rFonts w:ascii="Times New Roman" w:hAnsi="Times New Roman"/>
              </w:rPr>
            </w:pPr>
            <w:r>
              <w:rPr>
                <w:rFonts w:hint="eastAsia" w:ascii="Times New Roman" w:hAnsi="Times New Roman"/>
              </w:rPr>
              <w:t>消毒</w:t>
            </w:r>
          </w:p>
        </w:tc>
        <w:tc>
          <w:tcPr>
            <w:tcW w:w="340" w:type="pct"/>
            <w:vAlign w:val="center"/>
          </w:tcPr>
          <w:p>
            <w:pPr>
              <w:pStyle w:val="128"/>
              <w:rPr>
                <w:rFonts w:ascii="Times New Roman" w:hAnsi="Times New Roman"/>
              </w:rPr>
            </w:pPr>
            <w:r>
              <w:rPr>
                <w:rFonts w:hint="eastAsia" w:ascii="Times New Roman" w:hAnsi="Times New Roman"/>
              </w:rPr>
              <w:t>固体</w:t>
            </w:r>
          </w:p>
        </w:tc>
        <w:tc>
          <w:tcPr>
            <w:tcW w:w="396" w:type="pct"/>
            <w:vAlign w:val="center"/>
          </w:tcPr>
          <w:p>
            <w:pPr>
              <w:pStyle w:val="128"/>
              <w:rPr>
                <w:rFonts w:ascii="Times New Roman" w:hAnsi="Times New Roman"/>
                <w:spacing w:val="-11"/>
              </w:rPr>
            </w:pPr>
            <w:r>
              <w:rPr>
                <w:rFonts w:hint="eastAsia" w:ascii="Times New Roman" w:hAnsi="Times New Roman"/>
                <w:spacing w:val="-11"/>
              </w:rPr>
              <w:t>有机物</w:t>
            </w:r>
          </w:p>
        </w:tc>
        <w:tc>
          <w:tcPr>
            <w:tcW w:w="329" w:type="pct"/>
            <w:vAlign w:val="center"/>
          </w:tcPr>
          <w:p>
            <w:pPr>
              <w:pStyle w:val="128"/>
              <w:rPr>
                <w:rFonts w:ascii="Times New Roman" w:hAnsi="Times New Roman"/>
              </w:rPr>
            </w:pPr>
            <w:r>
              <w:rPr>
                <w:rFonts w:hint="eastAsia" w:ascii="Times New Roman" w:hAnsi="Times New Roman"/>
              </w:rPr>
              <w:t>每天</w:t>
            </w:r>
          </w:p>
        </w:tc>
        <w:tc>
          <w:tcPr>
            <w:tcW w:w="363" w:type="pct"/>
            <w:vAlign w:val="center"/>
          </w:tcPr>
          <w:p>
            <w:pPr>
              <w:pStyle w:val="128"/>
              <w:rPr>
                <w:rFonts w:ascii="Times New Roman" w:hAnsi="Times New Roman"/>
              </w:rPr>
            </w:pPr>
            <w:r>
              <w:rPr>
                <w:rFonts w:hint="eastAsia" w:ascii="Times New Roman" w:hAnsi="Times New Roman"/>
              </w:rPr>
              <w:t>感染性</w:t>
            </w:r>
          </w:p>
        </w:tc>
        <w:tc>
          <w:tcPr>
            <w:tcW w:w="803" w:type="pct"/>
            <w:vMerge w:val="continue"/>
            <w:vAlign w:val="center"/>
          </w:tcPr>
          <w:p>
            <w:pPr>
              <w:rPr>
                <w:szCs w:val="22"/>
                <w:lang w:val="zh-CN"/>
              </w:rPr>
            </w:pPr>
          </w:p>
        </w:tc>
      </w:tr>
    </w:tbl>
    <w:p>
      <w:pPr>
        <w:spacing w:line="480" w:lineRule="exact"/>
        <w:rPr>
          <w:b/>
          <w:bCs/>
          <w:sz w:val="24"/>
        </w:rPr>
      </w:pPr>
      <w:r>
        <w:rPr>
          <w:b/>
          <w:bCs/>
          <w:spacing w:val="6"/>
          <w:sz w:val="24"/>
        </w:rPr>
        <w:t>6</w:t>
      </w:r>
      <w:r>
        <w:rPr>
          <w:rFonts w:hint="eastAsia"/>
          <w:b/>
          <w:bCs/>
          <w:spacing w:val="6"/>
          <w:sz w:val="24"/>
        </w:rPr>
        <w:t>、</w:t>
      </w:r>
      <w:r>
        <w:rPr>
          <w:rFonts w:hint="eastAsia"/>
          <w:b/>
          <w:bCs/>
          <w:sz w:val="24"/>
          <w:szCs w:val="24"/>
        </w:rPr>
        <w:t>废弃包装袋</w:t>
      </w:r>
    </w:p>
    <w:p>
      <w:pPr>
        <w:spacing w:line="480" w:lineRule="exact"/>
        <w:ind w:firstLine="480" w:firstLineChars="200"/>
        <w:rPr>
          <w:kern w:val="0"/>
          <w:sz w:val="24"/>
          <w:szCs w:val="24"/>
        </w:rPr>
      </w:pPr>
      <w:r>
        <w:rPr>
          <w:rFonts w:hint="eastAsia"/>
          <w:kern w:val="0"/>
          <w:sz w:val="24"/>
          <w:szCs w:val="24"/>
        </w:rPr>
        <w:t>废弃包装袋、防疫药、消毒药外包装产生量约为2t/a；废弃包装袋</w:t>
      </w:r>
      <w:r>
        <w:rPr>
          <w:rFonts w:hint="eastAsia"/>
          <w:bCs/>
          <w:kern w:val="0"/>
          <w:sz w:val="24"/>
          <w:szCs w:val="24"/>
        </w:rPr>
        <w:t>收集后外售或返回厂家回收利用。</w:t>
      </w:r>
    </w:p>
    <w:p>
      <w:pPr>
        <w:spacing w:line="480" w:lineRule="exact"/>
        <w:rPr>
          <w:b/>
          <w:bCs/>
          <w:sz w:val="24"/>
        </w:rPr>
      </w:pPr>
      <w:r>
        <w:rPr>
          <w:rFonts w:hint="eastAsia"/>
          <w:b/>
          <w:bCs/>
          <w:sz w:val="24"/>
        </w:rPr>
        <w:t>7、生活垃圾</w:t>
      </w:r>
    </w:p>
    <w:p>
      <w:pPr>
        <w:spacing w:line="480" w:lineRule="exact"/>
        <w:ind w:firstLine="480" w:firstLineChars="200"/>
        <w:rPr>
          <w:rFonts w:hAnsi="宋体"/>
          <w:bCs/>
          <w:sz w:val="24"/>
          <w:szCs w:val="24"/>
        </w:rPr>
      </w:pPr>
      <w:r>
        <w:rPr>
          <w:rFonts w:hint="eastAsia"/>
          <w:bCs/>
          <w:sz w:val="24"/>
        </w:rPr>
        <w:t>项目</w:t>
      </w:r>
      <w:r>
        <w:rPr>
          <w:bCs/>
          <w:sz w:val="24"/>
        </w:rPr>
        <w:t>运营期间的生活垃圾产生系数为</w:t>
      </w:r>
      <w:r>
        <w:rPr>
          <w:rFonts w:hint="eastAsia"/>
          <w:bCs/>
          <w:sz w:val="24"/>
        </w:rPr>
        <w:t>按</w:t>
      </w:r>
      <w:r>
        <w:rPr>
          <w:bCs/>
          <w:sz w:val="24"/>
        </w:rPr>
        <w:t>0.</w:t>
      </w:r>
      <w:r>
        <w:rPr>
          <w:rFonts w:hint="eastAsia"/>
          <w:bCs/>
          <w:sz w:val="24"/>
        </w:rPr>
        <w:t>5</w:t>
      </w:r>
      <w:r>
        <w:rPr>
          <w:bCs/>
          <w:sz w:val="24"/>
        </w:rPr>
        <w:t>kg/（d•人）</w:t>
      </w:r>
      <w:r>
        <w:rPr>
          <w:rFonts w:hint="eastAsia"/>
          <w:bCs/>
          <w:sz w:val="24"/>
        </w:rPr>
        <w:t>计，</w:t>
      </w:r>
      <w:r>
        <w:rPr>
          <w:bCs/>
          <w:sz w:val="24"/>
        </w:rPr>
        <w:t>项目劳动定员</w:t>
      </w:r>
      <w:r>
        <w:rPr>
          <w:rFonts w:hint="eastAsia"/>
          <w:bCs/>
          <w:sz w:val="24"/>
        </w:rPr>
        <w:t>15</w:t>
      </w:r>
      <w:r>
        <w:rPr>
          <w:bCs/>
          <w:sz w:val="24"/>
        </w:rPr>
        <w:t>人，则生活垃圾产生量为</w:t>
      </w:r>
      <w:r>
        <w:rPr>
          <w:rFonts w:hint="eastAsia"/>
          <w:bCs/>
          <w:sz w:val="24"/>
        </w:rPr>
        <w:t>2.7</w:t>
      </w:r>
      <w:r>
        <w:rPr>
          <w:bCs/>
          <w:sz w:val="24"/>
        </w:rPr>
        <w:t>t/a。本项目在</w:t>
      </w:r>
      <w:r>
        <w:rPr>
          <w:rFonts w:hint="eastAsia"/>
          <w:bCs/>
          <w:sz w:val="24"/>
        </w:rPr>
        <w:t>车间内、办公</w:t>
      </w:r>
      <w:r>
        <w:rPr>
          <w:bCs/>
          <w:sz w:val="24"/>
        </w:rPr>
        <w:t>区均设置垃圾筒，垃圾</w:t>
      </w:r>
      <w:r>
        <w:rPr>
          <w:rFonts w:hint="eastAsia"/>
          <w:bCs/>
          <w:sz w:val="24"/>
        </w:rPr>
        <w:t>经收集后运至市政部门指定的地点统一处理；</w:t>
      </w:r>
      <w:r>
        <w:rPr>
          <w:bCs/>
          <w:sz w:val="24"/>
        </w:rPr>
        <w:t>垃圾在运输过程中应注意遮盖、封闭，防止造成二次污染。</w:t>
      </w:r>
    </w:p>
    <w:p>
      <w:pPr>
        <w:spacing w:line="480" w:lineRule="exact"/>
        <w:rPr>
          <w:b/>
          <w:bCs/>
          <w:sz w:val="24"/>
        </w:rPr>
      </w:pPr>
      <w:r>
        <w:rPr>
          <w:rFonts w:hint="eastAsia"/>
          <w:b/>
          <w:bCs/>
          <w:sz w:val="24"/>
        </w:rPr>
        <w:t>8、固废</w:t>
      </w:r>
      <w:r>
        <w:rPr>
          <w:rFonts w:hAnsi="宋体"/>
          <w:b/>
          <w:bCs/>
          <w:sz w:val="24"/>
        </w:rPr>
        <w:t>污染物</w:t>
      </w:r>
      <w:r>
        <w:rPr>
          <w:rFonts w:hint="eastAsia" w:hAnsi="宋体"/>
          <w:b/>
          <w:bCs/>
          <w:sz w:val="24"/>
        </w:rPr>
        <w:t>产排</w:t>
      </w:r>
      <w:r>
        <w:rPr>
          <w:rFonts w:hAnsi="宋体"/>
          <w:b/>
          <w:bCs/>
          <w:sz w:val="24"/>
        </w:rPr>
        <w:t>量</w:t>
      </w:r>
      <w:r>
        <w:rPr>
          <w:rFonts w:hint="eastAsia" w:hAnsi="宋体"/>
          <w:b/>
          <w:bCs/>
          <w:sz w:val="24"/>
        </w:rPr>
        <w:t>汇总</w:t>
      </w:r>
    </w:p>
    <w:p>
      <w:pPr>
        <w:spacing w:line="480" w:lineRule="exact"/>
        <w:ind w:firstLine="480" w:firstLineChars="200"/>
      </w:pPr>
      <w:r>
        <w:rPr>
          <w:kern w:val="0"/>
          <w:sz w:val="24"/>
        </w:rPr>
        <w:t>项目固废产生及处理情况见表</w:t>
      </w:r>
      <w:r>
        <w:rPr>
          <w:rFonts w:hint="eastAsia"/>
          <w:kern w:val="0"/>
          <w:sz w:val="24"/>
        </w:rPr>
        <w:t>3.5-8</w:t>
      </w:r>
      <w:r>
        <w:rPr>
          <w:kern w:val="0"/>
          <w:sz w:val="24"/>
        </w:rPr>
        <w:t>。</w:t>
      </w:r>
    </w:p>
    <w:p>
      <w:pPr>
        <w:spacing w:line="480" w:lineRule="exact"/>
        <w:jc w:val="center"/>
        <w:rPr>
          <w:rFonts w:ascii="黑体" w:hAnsi="黑体" w:eastAsia="黑体"/>
          <w:kern w:val="0"/>
          <w:sz w:val="24"/>
          <w:szCs w:val="24"/>
        </w:rPr>
      </w:pPr>
      <w:r>
        <w:rPr>
          <w:rFonts w:ascii="黑体" w:hAnsi="黑体" w:eastAsia="黑体"/>
          <w:kern w:val="0"/>
          <w:sz w:val="24"/>
          <w:szCs w:val="24"/>
        </w:rPr>
        <w:t>表3</w:t>
      </w:r>
      <w:r>
        <w:rPr>
          <w:rFonts w:hint="eastAsia" w:ascii="黑体" w:hAnsi="黑体" w:eastAsia="黑体"/>
          <w:kern w:val="0"/>
          <w:sz w:val="24"/>
          <w:szCs w:val="24"/>
        </w:rPr>
        <w:t>.5-8</w:t>
      </w:r>
      <w:r>
        <w:rPr>
          <w:rFonts w:ascii="黑体" w:hAnsi="黑体" w:eastAsia="黑体"/>
          <w:kern w:val="0"/>
          <w:sz w:val="24"/>
          <w:szCs w:val="24"/>
        </w:rPr>
        <w:t xml:space="preserve">  固废产生及处理情况表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450"/>
        <w:gridCol w:w="1192"/>
        <w:gridCol w:w="2511"/>
        <w:gridCol w:w="1147"/>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Merge w:val="restart"/>
            <w:vAlign w:val="center"/>
          </w:tcPr>
          <w:p>
            <w:pPr>
              <w:pStyle w:val="128"/>
              <w:rPr>
                <w:rFonts w:ascii="Times New Roman" w:hAnsi="Times New Roman"/>
                <w:kern w:val="0"/>
                <w:szCs w:val="21"/>
              </w:rPr>
            </w:pPr>
            <w:r>
              <w:rPr>
                <w:rFonts w:hint="eastAsia" w:ascii="Times New Roman" w:hAnsi="Times New Roman"/>
                <w:kern w:val="0"/>
                <w:szCs w:val="21"/>
              </w:rPr>
              <w:t>固体废物名称</w:t>
            </w:r>
          </w:p>
        </w:tc>
        <w:tc>
          <w:tcPr>
            <w:tcW w:w="800" w:type="pct"/>
            <w:vMerge w:val="restart"/>
            <w:vAlign w:val="center"/>
          </w:tcPr>
          <w:p>
            <w:pPr>
              <w:pStyle w:val="128"/>
              <w:rPr>
                <w:rFonts w:ascii="Times New Roman" w:hAnsi="Times New Roman"/>
                <w:kern w:val="0"/>
                <w:szCs w:val="21"/>
              </w:rPr>
            </w:pPr>
            <w:r>
              <w:rPr>
                <w:rFonts w:hint="eastAsia" w:ascii="Times New Roman" w:hAnsi="Times New Roman"/>
                <w:kern w:val="0"/>
                <w:szCs w:val="21"/>
              </w:rPr>
              <w:t>固废属性</w:t>
            </w:r>
          </w:p>
        </w:tc>
        <w:tc>
          <w:tcPr>
            <w:tcW w:w="658" w:type="pct"/>
            <w:vMerge w:val="restart"/>
            <w:vAlign w:val="center"/>
          </w:tcPr>
          <w:p>
            <w:pPr>
              <w:pStyle w:val="128"/>
              <w:rPr>
                <w:rFonts w:ascii="Times New Roman" w:hAnsi="Times New Roman" w:eastAsia="宋体" w:cs="Times New Roman"/>
                <w:kern w:val="0"/>
                <w:szCs w:val="21"/>
              </w:rPr>
            </w:pPr>
            <w:r>
              <w:rPr>
                <w:rFonts w:hint="eastAsia" w:ascii="Times New Roman" w:hAnsi="Times New Roman"/>
                <w:kern w:val="0"/>
                <w:szCs w:val="21"/>
              </w:rPr>
              <w:t>产生量</w:t>
            </w:r>
          </w:p>
          <w:p>
            <w:pPr>
              <w:pStyle w:val="128"/>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t/a</w:t>
            </w:r>
            <w:r>
              <w:rPr>
                <w:rFonts w:hint="eastAsia" w:ascii="Times New Roman" w:hAnsi="Times New Roman"/>
                <w:kern w:val="0"/>
                <w:szCs w:val="21"/>
              </w:rPr>
              <w:t>）</w:t>
            </w:r>
          </w:p>
        </w:tc>
        <w:tc>
          <w:tcPr>
            <w:tcW w:w="2019" w:type="pct"/>
            <w:gridSpan w:val="2"/>
            <w:vAlign w:val="center"/>
          </w:tcPr>
          <w:p>
            <w:pPr>
              <w:pStyle w:val="128"/>
              <w:rPr>
                <w:rFonts w:ascii="Times New Roman" w:hAnsi="Times New Roman"/>
                <w:kern w:val="0"/>
                <w:szCs w:val="21"/>
              </w:rPr>
            </w:pPr>
            <w:r>
              <w:rPr>
                <w:rFonts w:hint="eastAsia" w:ascii="Times New Roman" w:hAnsi="Times New Roman"/>
                <w:kern w:val="0"/>
                <w:szCs w:val="21"/>
              </w:rPr>
              <w:t>处置措施</w:t>
            </w:r>
          </w:p>
        </w:tc>
        <w:tc>
          <w:tcPr>
            <w:tcW w:w="660" w:type="pct"/>
            <w:vMerge w:val="restart"/>
            <w:vAlign w:val="center"/>
          </w:tcPr>
          <w:p>
            <w:pPr>
              <w:pStyle w:val="128"/>
              <w:rPr>
                <w:rFonts w:ascii="Times New Roman" w:hAnsi="Times New Roman"/>
                <w:kern w:val="0"/>
                <w:szCs w:val="21"/>
              </w:rPr>
            </w:pPr>
            <w:r>
              <w:rPr>
                <w:rFonts w:hint="eastAsia" w:ascii="Times New Roman" w:hAnsi="Times New Roman"/>
                <w:kern w:val="0"/>
                <w:szCs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Merge w:val="continue"/>
            <w:vAlign w:val="center"/>
          </w:tcPr>
          <w:p>
            <w:pPr>
              <w:jc w:val="center"/>
              <w:rPr>
                <w:szCs w:val="21"/>
                <w:lang w:val="zh-CN"/>
              </w:rPr>
            </w:pPr>
          </w:p>
        </w:tc>
        <w:tc>
          <w:tcPr>
            <w:tcW w:w="800" w:type="pct"/>
            <w:vMerge w:val="continue"/>
            <w:vAlign w:val="center"/>
          </w:tcPr>
          <w:p>
            <w:pPr>
              <w:jc w:val="center"/>
              <w:rPr>
                <w:szCs w:val="21"/>
                <w:lang w:val="zh-CN"/>
              </w:rPr>
            </w:pPr>
          </w:p>
        </w:tc>
        <w:tc>
          <w:tcPr>
            <w:tcW w:w="658" w:type="pct"/>
            <w:vMerge w:val="continue"/>
            <w:vAlign w:val="center"/>
          </w:tcPr>
          <w:p>
            <w:pPr>
              <w:jc w:val="center"/>
              <w:rPr>
                <w:szCs w:val="21"/>
                <w:lang w:val="zh-CN"/>
              </w:rPr>
            </w:pPr>
          </w:p>
        </w:tc>
        <w:tc>
          <w:tcPr>
            <w:tcW w:w="1386" w:type="pct"/>
            <w:vAlign w:val="center"/>
          </w:tcPr>
          <w:p>
            <w:pPr>
              <w:pStyle w:val="128"/>
              <w:rPr>
                <w:rFonts w:ascii="Times New Roman" w:hAnsi="Times New Roman"/>
                <w:kern w:val="0"/>
                <w:szCs w:val="21"/>
              </w:rPr>
            </w:pPr>
            <w:r>
              <w:rPr>
                <w:rFonts w:hint="eastAsia" w:ascii="Times New Roman" w:hAnsi="Times New Roman"/>
                <w:kern w:val="0"/>
                <w:szCs w:val="21"/>
              </w:rPr>
              <w:t>工艺</w:t>
            </w:r>
          </w:p>
        </w:tc>
        <w:tc>
          <w:tcPr>
            <w:tcW w:w="633" w:type="pct"/>
            <w:vAlign w:val="center"/>
          </w:tcPr>
          <w:p>
            <w:pPr>
              <w:pStyle w:val="128"/>
              <w:rPr>
                <w:rFonts w:ascii="Times New Roman" w:hAnsi="Times New Roman"/>
                <w:kern w:val="0"/>
                <w:szCs w:val="21"/>
              </w:rPr>
            </w:pPr>
            <w:r>
              <w:rPr>
                <w:rFonts w:hint="eastAsia" w:ascii="Times New Roman" w:hAnsi="Times New Roman"/>
                <w:kern w:val="0"/>
                <w:szCs w:val="21"/>
              </w:rPr>
              <w:t>处置量（</w:t>
            </w:r>
            <w:r>
              <w:rPr>
                <w:rFonts w:ascii="Times New Roman" w:hAnsi="Times New Roman"/>
                <w:kern w:val="0"/>
                <w:szCs w:val="21"/>
              </w:rPr>
              <w:t>t/a</w:t>
            </w:r>
            <w:r>
              <w:rPr>
                <w:rFonts w:hint="eastAsia" w:ascii="Times New Roman" w:hAnsi="Times New Roman"/>
                <w:kern w:val="0"/>
                <w:szCs w:val="21"/>
              </w:rPr>
              <w:t>）</w:t>
            </w:r>
          </w:p>
        </w:tc>
        <w:tc>
          <w:tcPr>
            <w:tcW w:w="660" w:type="pct"/>
            <w:vMerge w:val="continue"/>
            <w:vAlign w:val="center"/>
          </w:tcPr>
          <w:p>
            <w:pPr>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Align w:val="center"/>
          </w:tcPr>
          <w:p>
            <w:pPr>
              <w:jc w:val="center"/>
              <w:rPr>
                <w:szCs w:val="21"/>
              </w:rPr>
            </w:pPr>
            <w:r>
              <w:rPr>
                <w:rFonts w:hint="eastAsia"/>
                <w:szCs w:val="21"/>
              </w:rPr>
              <w:t>干清鸡粪</w:t>
            </w:r>
          </w:p>
        </w:tc>
        <w:tc>
          <w:tcPr>
            <w:tcW w:w="800" w:type="pct"/>
            <w:vAlign w:val="center"/>
          </w:tcPr>
          <w:p>
            <w:pPr>
              <w:jc w:val="center"/>
              <w:rPr>
                <w:szCs w:val="21"/>
              </w:rPr>
            </w:pPr>
            <w:r>
              <w:rPr>
                <w:rFonts w:hint="eastAsia"/>
                <w:szCs w:val="21"/>
              </w:rPr>
              <w:t>一般固废</w:t>
            </w:r>
          </w:p>
        </w:tc>
        <w:tc>
          <w:tcPr>
            <w:tcW w:w="658" w:type="pct"/>
            <w:vAlign w:val="center"/>
          </w:tcPr>
          <w:p>
            <w:pPr>
              <w:jc w:val="center"/>
              <w:rPr>
                <w:szCs w:val="21"/>
              </w:rPr>
            </w:pPr>
            <w:r>
              <w:rPr>
                <w:szCs w:val="21"/>
              </w:rPr>
              <w:t>6930</w:t>
            </w:r>
          </w:p>
        </w:tc>
        <w:tc>
          <w:tcPr>
            <w:tcW w:w="1386" w:type="pct"/>
            <w:vMerge w:val="restart"/>
            <w:vAlign w:val="center"/>
          </w:tcPr>
          <w:p>
            <w:pPr>
              <w:pStyle w:val="128"/>
              <w:rPr>
                <w:rFonts w:ascii="Times New Roman" w:hAnsi="Times New Roman"/>
                <w:kern w:val="0"/>
                <w:szCs w:val="21"/>
              </w:rPr>
            </w:pPr>
            <w:r>
              <w:rPr>
                <w:rFonts w:hint="eastAsia" w:ascii="Times New Roman" w:hAnsi="Times New Roman"/>
                <w:bCs/>
                <w:kern w:val="0"/>
                <w:szCs w:val="21"/>
                <w:lang w:val="en-US"/>
              </w:rPr>
              <w:t>经发酵罐熟化后外运有机肥厂进一步处理以综合利用</w:t>
            </w:r>
          </w:p>
        </w:tc>
        <w:tc>
          <w:tcPr>
            <w:tcW w:w="633" w:type="pct"/>
            <w:vAlign w:val="center"/>
          </w:tcPr>
          <w:p>
            <w:pPr>
              <w:jc w:val="center"/>
              <w:rPr>
                <w:szCs w:val="21"/>
              </w:rPr>
            </w:pPr>
            <w:r>
              <w:rPr>
                <w:rFonts w:hint="eastAsia"/>
                <w:szCs w:val="21"/>
              </w:rPr>
              <w:t>6930</w:t>
            </w:r>
          </w:p>
        </w:tc>
        <w:tc>
          <w:tcPr>
            <w:tcW w:w="660" w:type="pct"/>
            <w:vMerge w:val="restart"/>
            <w:vAlign w:val="center"/>
          </w:tcPr>
          <w:p>
            <w:pPr>
              <w:jc w:val="center"/>
              <w:rPr>
                <w:szCs w:val="21"/>
              </w:rPr>
            </w:pPr>
            <w:r>
              <w:rPr>
                <w:rFonts w:hint="eastAsia"/>
                <w:szCs w:val="21"/>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Align w:val="center"/>
          </w:tcPr>
          <w:p>
            <w:pPr>
              <w:jc w:val="center"/>
              <w:rPr>
                <w:szCs w:val="21"/>
              </w:rPr>
            </w:pPr>
            <w:r>
              <w:rPr>
                <w:rFonts w:hint="eastAsia"/>
                <w:szCs w:val="21"/>
              </w:rPr>
              <w:t>饲料残渣</w:t>
            </w:r>
          </w:p>
        </w:tc>
        <w:tc>
          <w:tcPr>
            <w:tcW w:w="800" w:type="pct"/>
            <w:vAlign w:val="center"/>
          </w:tcPr>
          <w:p>
            <w:pPr>
              <w:jc w:val="center"/>
              <w:rPr>
                <w:szCs w:val="21"/>
              </w:rPr>
            </w:pPr>
            <w:r>
              <w:rPr>
                <w:rFonts w:hint="eastAsia"/>
                <w:szCs w:val="21"/>
              </w:rPr>
              <w:t>一般固废</w:t>
            </w:r>
          </w:p>
        </w:tc>
        <w:tc>
          <w:tcPr>
            <w:tcW w:w="658" w:type="pct"/>
            <w:vAlign w:val="center"/>
          </w:tcPr>
          <w:p>
            <w:pPr>
              <w:jc w:val="center"/>
              <w:rPr>
                <w:szCs w:val="21"/>
              </w:rPr>
            </w:pPr>
            <w:r>
              <w:rPr>
                <w:rFonts w:hint="eastAsia"/>
                <w:szCs w:val="21"/>
              </w:rPr>
              <w:t>40</w:t>
            </w:r>
          </w:p>
        </w:tc>
        <w:tc>
          <w:tcPr>
            <w:tcW w:w="1386" w:type="pct"/>
            <w:vMerge w:val="continue"/>
            <w:vAlign w:val="center"/>
          </w:tcPr>
          <w:p>
            <w:pPr>
              <w:pStyle w:val="128"/>
              <w:rPr>
                <w:rFonts w:ascii="Times New Roman" w:hAnsi="Times New Roman"/>
                <w:bCs/>
                <w:kern w:val="0"/>
                <w:szCs w:val="21"/>
                <w:lang w:val="en-US"/>
              </w:rPr>
            </w:pPr>
          </w:p>
        </w:tc>
        <w:tc>
          <w:tcPr>
            <w:tcW w:w="633" w:type="pct"/>
            <w:vAlign w:val="center"/>
          </w:tcPr>
          <w:p>
            <w:pPr>
              <w:jc w:val="center"/>
              <w:rPr>
                <w:szCs w:val="21"/>
              </w:rPr>
            </w:pPr>
            <w:r>
              <w:rPr>
                <w:rFonts w:hint="eastAsia"/>
                <w:szCs w:val="21"/>
              </w:rPr>
              <w:t>40</w:t>
            </w:r>
          </w:p>
        </w:tc>
        <w:tc>
          <w:tcPr>
            <w:tcW w:w="660"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Align w:val="center"/>
          </w:tcPr>
          <w:p>
            <w:pPr>
              <w:pStyle w:val="128"/>
              <w:rPr>
                <w:rFonts w:ascii="Times New Roman" w:hAnsi="Times New Roman"/>
                <w:snapToGrid w:val="0"/>
                <w:kern w:val="0"/>
                <w:szCs w:val="21"/>
              </w:rPr>
            </w:pPr>
            <w:r>
              <w:rPr>
                <w:rFonts w:hint="eastAsia" w:ascii="Times New Roman" w:hAnsi="Times New Roman"/>
                <w:snapToGrid w:val="0"/>
                <w:kern w:val="0"/>
                <w:szCs w:val="21"/>
              </w:rPr>
              <w:t>污泥</w:t>
            </w:r>
          </w:p>
        </w:tc>
        <w:tc>
          <w:tcPr>
            <w:tcW w:w="800" w:type="pct"/>
            <w:vAlign w:val="center"/>
          </w:tcPr>
          <w:p>
            <w:pPr>
              <w:jc w:val="center"/>
              <w:rPr>
                <w:szCs w:val="21"/>
              </w:rPr>
            </w:pPr>
            <w:r>
              <w:rPr>
                <w:rFonts w:hint="eastAsia"/>
                <w:szCs w:val="21"/>
              </w:rPr>
              <w:t>一般固废</w:t>
            </w:r>
          </w:p>
        </w:tc>
        <w:tc>
          <w:tcPr>
            <w:tcW w:w="658" w:type="pct"/>
            <w:vAlign w:val="center"/>
          </w:tcPr>
          <w:p>
            <w:pPr>
              <w:jc w:val="center"/>
              <w:rPr>
                <w:szCs w:val="21"/>
              </w:rPr>
            </w:pPr>
            <w:r>
              <w:rPr>
                <w:szCs w:val="21"/>
              </w:rPr>
              <w:t>2.3</w:t>
            </w:r>
          </w:p>
        </w:tc>
        <w:tc>
          <w:tcPr>
            <w:tcW w:w="1386" w:type="pct"/>
            <w:vMerge w:val="continue"/>
            <w:vAlign w:val="center"/>
          </w:tcPr>
          <w:p>
            <w:pPr>
              <w:pStyle w:val="128"/>
              <w:rPr>
                <w:rFonts w:ascii="Times New Roman" w:hAnsi="Times New Roman"/>
                <w:bCs/>
                <w:kern w:val="0"/>
                <w:szCs w:val="21"/>
                <w:lang w:val="en-US"/>
              </w:rPr>
            </w:pPr>
          </w:p>
        </w:tc>
        <w:tc>
          <w:tcPr>
            <w:tcW w:w="633" w:type="pct"/>
            <w:vAlign w:val="center"/>
          </w:tcPr>
          <w:p>
            <w:pPr>
              <w:jc w:val="center"/>
              <w:rPr>
                <w:rFonts w:hint="eastAsia"/>
                <w:szCs w:val="21"/>
              </w:rPr>
            </w:pPr>
            <w:r>
              <w:rPr>
                <w:rFonts w:hint="eastAsia"/>
                <w:szCs w:val="21"/>
              </w:rPr>
              <w:t>2</w:t>
            </w:r>
            <w:r>
              <w:rPr>
                <w:szCs w:val="21"/>
              </w:rPr>
              <w:t>.3</w:t>
            </w:r>
          </w:p>
        </w:tc>
        <w:tc>
          <w:tcPr>
            <w:tcW w:w="660"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Align w:val="center"/>
          </w:tcPr>
          <w:p>
            <w:pPr>
              <w:jc w:val="center"/>
              <w:rPr>
                <w:szCs w:val="21"/>
              </w:rPr>
            </w:pPr>
            <w:r>
              <w:rPr>
                <w:rFonts w:hint="eastAsia"/>
                <w:snapToGrid w:val="0"/>
                <w:szCs w:val="21"/>
              </w:rPr>
              <w:t>病死鸡尸体</w:t>
            </w:r>
          </w:p>
        </w:tc>
        <w:tc>
          <w:tcPr>
            <w:tcW w:w="800" w:type="pct"/>
            <w:vAlign w:val="center"/>
          </w:tcPr>
          <w:p>
            <w:pPr>
              <w:jc w:val="center"/>
              <w:rPr>
                <w:szCs w:val="21"/>
              </w:rPr>
            </w:pPr>
            <w:r>
              <w:rPr>
                <w:rFonts w:hint="eastAsia"/>
                <w:szCs w:val="21"/>
              </w:rPr>
              <w:t>一般固废</w:t>
            </w:r>
          </w:p>
        </w:tc>
        <w:tc>
          <w:tcPr>
            <w:tcW w:w="658" w:type="pct"/>
            <w:vAlign w:val="center"/>
          </w:tcPr>
          <w:p>
            <w:pPr>
              <w:jc w:val="center"/>
              <w:rPr>
                <w:szCs w:val="21"/>
              </w:rPr>
            </w:pPr>
            <w:r>
              <w:rPr>
                <w:rFonts w:hint="eastAsia"/>
                <w:szCs w:val="21"/>
              </w:rPr>
              <w:t>3.64</w:t>
            </w:r>
          </w:p>
        </w:tc>
        <w:tc>
          <w:tcPr>
            <w:tcW w:w="1386" w:type="pct"/>
            <w:vAlign w:val="center"/>
          </w:tcPr>
          <w:p>
            <w:pPr>
              <w:pStyle w:val="128"/>
              <w:rPr>
                <w:rFonts w:ascii="Times New Roman" w:hAnsi="Times New Roman"/>
                <w:kern w:val="0"/>
                <w:szCs w:val="21"/>
              </w:rPr>
            </w:pPr>
            <w:r>
              <w:rPr>
                <w:rFonts w:hint="eastAsia" w:ascii="Times New Roman" w:hAnsi="Times New Roman"/>
                <w:kern w:val="0"/>
                <w:szCs w:val="21"/>
              </w:rPr>
              <w:t>安全填埋</w:t>
            </w:r>
          </w:p>
        </w:tc>
        <w:tc>
          <w:tcPr>
            <w:tcW w:w="633" w:type="pct"/>
            <w:vAlign w:val="center"/>
          </w:tcPr>
          <w:p>
            <w:pPr>
              <w:jc w:val="center"/>
              <w:rPr>
                <w:szCs w:val="21"/>
              </w:rPr>
            </w:pPr>
            <w:r>
              <w:rPr>
                <w:rFonts w:hint="eastAsia"/>
                <w:szCs w:val="21"/>
              </w:rPr>
              <w:t>3.64</w:t>
            </w:r>
          </w:p>
        </w:tc>
        <w:tc>
          <w:tcPr>
            <w:tcW w:w="660" w:type="pct"/>
            <w:vAlign w:val="center"/>
          </w:tcPr>
          <w:p>
            <w:pPr>
              <w:jc w:val="center"/>
              <w:rPr>
                <w:szCs w:val="21"/>
              </w:rPr>
            </w:pPr>
            <w:r>
              <w:rPr>
                <w:rFonts w:hint="eastAsia"/>
                <w:szCs w:val="21"/>
              </w:rPr>
              <w:t>填埋井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Align w:val="center"/>
          </w:tcPr>
          <w:p>
            <w:pPr>
              <w:jc w:val="center"/>
              <w:rPr>
                <w:szCs w:val="21"/>
                <w:lang w:val="zh-CN"/>
              </w:rPr>
            </w:pPr>
            <w:r>
              <w:rPr>
                <w:rFonts w:hint="eastAsia"/>
                <w:snapToGrid w:val="0"/>
                <w:szCs w:val="21"/>
              </w:rPr>
              <w:t>医疗废物、消毒废物</w:t>
            </w:r>
          </w:p>
        </w:tc>
        <w:tc>
          <w:tcPr>
            <w:tcW w:w="800" w:type="pct"/>
            <w:vAlign w:val="center"/>
          </w:tcPr>
          <w:p>
            <w:pPr>
              <w:jc w:val="center"/>
              <w:rPr>
                <w:szCs w:val="21"/>
              </w:rPr>
            </w:pPr>
            <w:r>
              <w:rPr>
                <w:rFonts w:hint="eastAsia"/>
                <w:szCs w:val="21"/>
              </w:rPr>
              <w:t>危险废物</w:t>
            </w:r>
          </w:p>
        </w:tc>
        <w:tc>
          <w:tcPr>
            <w:tcW w:w="658" w:type="pct"/>
            <w:vAlign w:val="center"/>
          </w:tcPr>
          <w:p>
            <w:pPr>
              <w:jc w:val="center"/>
              <w:rPr>
                <w:szCs w:val="21"/>
              </w:rPr>
            </w:pPr>
            <w:r>
              <w:rPr>
                <w:rFonts w:hint="eastAsia"/>
                <w:szCs w:val="21"/>
              </w:rPr>
              <w:t>0.16</w:t>
            </w:r>
          </w:p>
        </w:tc>
        <w:tc>
          <w:tcPr>
            <w:tcW w:w="1386" w:type="pct"/>
            <w:vAlign w:val="center"/>
          </w:tcPr>
          <w:p>
            <w:pPr>
              <w:pStyle w:val="128"/>
              <w:rPr>
                <w:rFonts w:ascii="Times New Roman" w:hAnsi="Times New Roman"/>
                <w:kern w:val="0"/>
                <w:szCs w:val="21"/>
              </w:rPr>
            </w:pPr>
            <w:r>
              <w:rPr>
                <w:rFonts w:hint="eastAsia" w:ascii="Times New Roman" w:hAnsi="Times New Roman"/>
                <w:kern w:val="0"/>
                <w:szCs w:val="21"/>
              </w:rPr>
              <w:t>委托有资质单位处理</w:t>
            </w:r>
          </w:p>
        </w:tc>
        <w:tc>
          <w:tcPr>
            <w:tcW w:w="633" w:type="pct"/>
            <w:vAlign w:val="center"/>
          </w:tcPr>
          <w:p>
            <w:pPr>
              <w:jc w:val="center"/>
              <w:rPr>
                <w:szCs w:val="21"/>
              </w:rPr>
            </w:pPr>
            <w:r>
              <w:rPr>
                <w:rFonts w:hint="eastAsia"/>
                <w:szCs w:val="21"/>
              </w:rPr>
              <w:t>0.16</w:t>
            </w:r>
          </w:p>
        </w:tc>
        <w:tc>
          <w:tcPr>
            <w:tcW w:w="660" w:type="pct"/>
            <w:vAlign w:val="center"/>
          </w:tcPr>
          <w:p>
            <w:pPr>
              <w:jc w:val="center"/>
              <w:rPr>
                <w:szCs w:val="21"/>
              </w:rPr>
            </w:pPr>
            <w:r>
              <w:rPr>
                <w:rFonts w:hint="eastAsia"/>
                <w:szCs w:val="21"/>
              </w:rPr>
              <w:t>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Align w:val="center"/>
          </w:tcPr>
          <w:p>
            <w:pPr>
              <w:jc w:val="center"/>
              <w:rPr>
                <w:snapToGrid w:val="0"/>
                <w:szCs w:val="21"/>
              </w:rPr>
            </w:pPr>
            <w:r>
              <w:rPr>
                <w:rFonts w:hint="eastAsia"/>
                <w:snapToGrid w:val="0"/>
                <w:szCs w:val="21"/>
              </w:rPr>
              <w:t>废弃包装袋</w:t>
            </w:r>
          </w:p>
        </w:tc>
        <w:tc>
          <w:tcPr>
            <w:tcW w:w="800" w:type="pct"/>
            <w:vAlign w:val="center"/>
          </w:tcPr>
          <w:p>
            <w:pPr>
              <w:jc w:val="center"/>
              <w:rPr>
                <w:szCs w:val="21"/>
              </w:rPr>
            </w:pPr>
            <w:r>
              <w:rPr>
                <w:rFonts w:hint="eastAsia"/>
                <w:szCs w:val="21"/>
              </w:rPr>
              <w:t>一般固废</w:t>
            </w:r>
          </w:p>
        </w:tc>
        <w:tc>
          <w:tcPr>
            <w:tcW w:w="658" w:type="pct"/>
            <w:vAlign w:val="center"/>
          </w:tcPr>
          <w:p>
            <w:pPr>
              <w:jc w:val="center"/>
              <w:rPr>
                <w:szCs w:val="21"/>
              </w:rPr>
            </w:pPr>
            <w:r>
              <w:rPr>
                <w:rFonts w:hint="eastAsia"/>
                <w:szCs w:val="21"/>
              </w:rPr>
              <w:t>2</w:t>
            </w:r>
          </w:p>
        </w:tc>
        <w:tc>
          <w:tcPr>
            <w:tcW w:w="1386" w:type="pct"/>
            <w:vAlign w:val="center"/>
          </w:tcPr>
          <w:p>
            <w:pPr>
              <w:pStyle w:val="128"/>
              <w:rPr>
                <w:rFonts w:ascii="Times New Roman" w:hAnsi="Times New Roman"/>
                <w:kern w:val="0"/>
                <w:szCs w:val="21"/>
                <w:lang w:val="en-US"/>
              </w:rPr>
            </w:pPr>
            <w:r>
              <w:rPr>
                <w:rFonts w:hint="eastAsia" w:ascii="Times New Roman" w:hAnsi="Times New Roman"/>
                <w:kern w:val="0"/>
                <w:szCs w:val="21"/>
                <w:lang w:val="en-US"/>
              </w:rPr>
              <w:t>外售或返回厂家回收利用</w:t>
            </w:r>
          </w:p>
        </w:tc>
        <w:tc>
          <w:tcPr>
            <w:tcW w:w="633" w:type="pct"/>
            <w:vAlign w:val="center"/>
          </w:tcPr>
          <w:p>
            <w:pPr>
              <w:jc w:val="center"/>
              <w:rPr>
                <w:szCs w:val="21"/>
              </w:rPr>
            </w:pPr>
            <w:r>
              <w:rPr>
                <w:rFonts w:hint="eastAsia"/>
                <w:szCs w:val="21"/>
              </w:rPr>
              <w:t>2</w:t>
            </w:r>
          </w:p>
        </w:tc>
        <w:tc>
          <w:tcPr>
            <w:tcW w:w="660" w:type="pct"/>
            <w:vAlign w:val="center"/>
          </w:tcPr>
          <w:p>
            <w:pPr>
              <w:jc w:val="center"/>
              <w:rPr>
                <w:szCs w:val="21"/>
              </w:rPr>
            </w:pPr>
            <w:r>
              <w:rPr>
                <w:rFonts w:hint="eastAsia"/>
                <w:szCs w:val="21"/>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Align w:val="center"/>
          </w:tcPr>
          <w:p>
            <w:pPr>
              <w:pStyle w:val="128"/>
              <w:rPr>
                <w:rFonts w:ascii="Times New Roman" w:hAnsi="Times New Roman"/>
                <w:snapToGrid w:val="0"/>
                <w:kern w:val="0"/>
                <w:szCs w:val="21"/>
              </w:rPr>
            </w:pPr>
            <w:r>
              <w:rPr>
                <w:rFonts w:hint="eastAsia" w:ascii="Times New Roman" w:hAnsi="Times New Roman"/>
                <w:snapToGrid w:val="0"/>
                <w:kern w:val="0"/>
                <w:szCs w:val="21"/>
              </w:rPr>
              <w:t>生活垃圾</w:t>
            </w:r>
          </w:p>
        </w:tc>
        <w:tc>
          <w:tcPr>
            <w:tcW w:w="800" w:type="pct"/>
            <w:vAlign w:val="center"/>
          </w:tcPr>
          <w:p>
            <w:pPr>
              <w:jc w:val="center"/>
              <w:rPr>
                <w:szCs w:val="21"/>
              </w:rPr>
            </w:pPr>
            <w:r>
              <w:rPr>
                <w:rFonts w:hint="eastAsia"/>
                <w:szCs w:val="21"/>
              </w:rPr>
              <w:t>生活垃圾</w:t>
            </w:r>
          </w:p>
        </w:tc>
        <w:tc>
          <w:tcPr>
            <w:tcW w:w="658" w:type="pct"/>
            <w:vAlign w:val="center"/>
          </w:tcPr>
          <w:p>
            <w:pPr>
              <w:jc w:val="center"/>
              <w:rPr>
                <w:szCs w:val="21"/>
              </w:rPr>
            </w:pPr>
            <w:r>
              <w:rPr>
                <w:rFonts w:hint="eastAsia"/>
                <w:szCs w:val="21"/>
              </w:rPr>
              <w:t>2.7</w:t>
            </w:r>
          </w:p>
        </w:tc>
        <w:tc>
          <w:tcPr>
            <w:tcW w:w="1386" w:type="pct"/>
            <w:vAlign w:val="center"/>
          </w:tcPr>
          <w:p>
            <w:pPr>
              <w:pStyle w:val="128"/>
              <w:rPr>
                <w:rFonts w:ascii="Times New Roman" w:hAnsi="Times New Roman"/>
                <w:bCs/>
                <w:kern w:val="0"/>
                <w:szCs w:val="21"/>
                <w:lang w:val="en-US"/>
              </w:rPr>
            </w:pPr>
            <w:r>
              <w:rPr>
                <w:rFonts w:hint="eastAsia" w:ascii="Times New Roman" w:hAnsi="Times New Roman"/>
                <w:bCs/>
                <w:kern w:val="0"/>
                <w:szCs w:val="21"/>
                <w:lang w:val="en-US"/>
              </w:rPr>
              <w:t>收集后运至市政部门指定的地点统一处理</w:t>
            </w:r>
          </w:p>
        </w:tc>
        <w:tc>
          <w:tcPr>
            <w:tcW w:w="633" w:type="pct"/>
            <w:vAlign w:val="center"/>
          </w:tcPr>
          <w:p>
            <w:pPr>
              <w:jc w:val="center"/>
              <w:rPr>
                <w:szCs w:val="21"/>
              </w:rPr>
            </w:pPr>
            <w:r>
              <w:rPr>
                <w:rFonts w:hint="eastAsia"/>
                <w:szCs w:val="21"/>
              </w:rPr>
              <w:t>2.7</w:t>
            </w:r>
          </w:p>
        </w:tc>
        <w:tc>
          <w:tcPr>
            <w:tcW w:w="660" w:type="pct"/>
            <w:vAlign w:val="center"/>
          </w:tcPr>
          <w:p>
            <w:pPr>
              <w:jc w:val="center"/>
              <w:rPr>
                <w:szCs w:val="21"/>
              </w:rPr>
            </w:pPr>
            <w:r>
              <w:rPr>
                <w:rFonts w:hint="eastAsia"/>
                <w:szCs w:val="21"/>
              </w:rPr>
              <w:t>综合利用</w:t>
            </w:r>
          </w:p>
        </w:tc>
      </w:tr>
    </w:tbl>
    <w:p>
      <w:pPr>
        <w:spacing w:line="480" w:lineRule="exact"/>
        <w:rPr>
          <w:bCs/>
          <w:sz w:val="24"/>
        </w:rPr>
      </w:pPr>
      <w:r>
        <w:rPr>
          <w:rFonts w:hint="eastAsia"/>
          <w:b/>
          <w:bCs/>
          <w:sz w:val="24"/>
        </w:rPr>
        <w:t>9、危险废物贮存和处置要求</w:t>
      </w:r>
    </w:p>
    <w:p>
      <w:pPr>
        <w:spacing w:line="480" w:lineRule="exact"/>
        <w:ind w:firstLine="480" w:firstLineChars="200"/>
        <w:rPr>
          <w:sz w:val="24"/>
        </w:rPr>
      </w:pPr>
      <w:r>
        <w:rPr>
          <w:rFonts w:hint="eastAsia"/>
          <w:sz w:val="24"/>
        </w:rPr>
        <w:t>危险废物贮存和处置要求：</w:t>
      </w:r>
    </w:p>
    <w:p>
      <w:pPr>
        <w:spacing w:line="480" w:lineRule="exact"/>
        <w:ind w:firstLine="480" w:firstLineChars="200"/>
        <w:rPr>
          <w:sz w:val="24"/>
        </w:rPr>
      </w:pPr>
      <w:r>
        <w:rPr>
          <w:sz w:val="24"/>
        </w:rPr>
        <w:t>项目</w:t>
      </w:r>
      <w:r>
        <w:rPr>
          <w:rFonts w:hint="eastAsia"/>
          <w:sz w:val="24"/>
        </w:rPr>
        <w:t>拟在防疫室内</w:t>
      </w:r>
      <w:r>
        <w:rPr>
          <w:sz w:val="24"/>
        </w:rPr>
        <w:t>设一个</w:t>
      </w:r>
      <w:r>
        <w:rPr>
          <w:rFonts w:hint="eastAsia"/>
          <w:sz w:val="24"/>
        </w:rPr>
        <w:t>20</w:t>
      </w:r>
      <w:r>
        <w:rPr>
          <w:sz w:val="24"/>
        </w:rPr>
        <w:t>m</w:t>
      </w:r>
      <w:r>
        <w:rPr>
          <w:sz w:val="24"/>
          <w:vertAlign w:val="superscript"/>
        </w:rPr>
        <w:t>2</w:t>
      </w:r>
      <w:r>
        <w:rPr>
          <w:sz w:val="24"/>
        </w:rPr>
        <w:t>危废暂存间，</w:t>
      </w:r>
      <w:r>
        <w:rPr>
          <w:rFonts w:hint="eastAsia"/>
          <w:sz w:val="24"/>
        </w:rPr>
        <w:t>危险废物</w:t>
      </w:r>
      <w:r>
        <w:rPr>
          <w:sz w:val="24"/>
        </w:rPr>
        <w:t>在危废暂存间内暂存处理后定期委托有资质单位清运、处置。危险废物暂存间贮存场所基本情况见表3.6-10。</w:t>
      </w:r>
    </w:p>
    <w:p>
      <w:pPr>
        <w:spacing w:line="480" w:lineRule="exact"/>
        <w:jc w:val="center"/>
        <w:rPr>
          <w:rFonts w:ascii="黑体" w:hAnsi="黑体" w:eastAsia="黑体"/>
          <w:sz w:val="24"/>
          <w:szCs w:val="24"/>
        </w:rPr>
      </w:pPr>
      <w:r>
        <w:rPr>
          <w:rFonts w:ascii="黑体" w:hAnsi="黑体" w:eastAsia="黑体"/>
          <w:sz w:val="24"/>
          <w:szCs w:val="24"/>
        </w:rPr>
        <w:t>表3.</w:t>
      </w:r>
      <w:r>
        <w:rPr>
          <w:rFonts w:hint="eastAsia" w:ascii="黑体" w:hAnsi="黑体" w:eastAsia="黑体"/>
          <w:sz w:val="24"/>
          <w:szCs w:val="24"/>
        </w:rPr>
        <w:t>5-9</w:t>
      </w:r>
      <w:r>
        <w:rPr>
          <w:rFonts w:ascii="黑体" w:hAnsi="黑体" w:eastAsia="黑体"/>
          <w:sz w:val="24"/>
          <w:szCs w:val="24"/>
        </w:rPr>
        <w:t xml:space="preserve">  建设项目危险废物贮存场所（设施）基本情况一览表</w:t>
      </w:r>
    </w:p>
    <w:tbl>
      <w:tblPr>
        <w:tblStyle w:val="3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980"/>
        <w:gridCol w:w="1040"/>
        <w:gridCol w:w="1381"/>
        <w:gridCol w:w="1020"/>
        <w:gridCol w:w="705"/>
        <w:gridCol w:w="1033"/>
        <w:gridCol w:w="805"/>
        <w:gridCol w:w="9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29" w:type="pct"/>
            <w:tcBorders>
              <w:top w:val="single" w:color="auto" w:sz="8" w:space="0"/>
              <w:left w:val="single" w:color="auto" w:sz="8"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kern w:val="0"/>
                <w:szCs w:val="21"/>
              </w:rPr>
              <w:t>贮存场所（设施）</w:t>
            </w:r>
          </w:p>
          <w:p>
            <w:pPr>
              <w:topLinePunct/>
              <w:adjustRightInd w:val="0"/>
              <w:snapToGrid w:val="0"/>
              <w:jc w:val="center"/>
              <w:rPr>
                <w:szCs w:val="21"/>
              </w:rPr>
            </w:pPr>
            <w:r>
              <w:rPr>
                <w:kern w:val="0"/>
                <w:szCs w:val="21"/>
              </w:rPr>
              <w:t>名称</w:t>
            </w:r>
          </w:p>
        </w:tc>
        <w:tc>
          <w:tcPr>
            <w:tcW w:w="541" w:type="pct"/>
            <w:tcBorders>
              <w:top w:val="single" w:color="auto" w:sz="8"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kern w:val="0"/>
                <w:szCs w:val="21"/>
              </w:rPr>
              <w:t>危险废物名称</w:t>
            </w:r>
          </w:p>
        </w:tc>
        <w:tc>
          <w:tcPr>
            <w:tcW w:w="574" w:type="pct"/>
            <w:tcBorders>
              <w:top w:val="single" w:color="auto" w:sz="8"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kern w:val="0"/>
                <w:szCs w:val="21"/>
              </w:rPr>
              <w:t>危险废物类别</w:t>
            </w:r>
          </w:p>
        </w:tc>
        <w:tc>
          <w:tcPr>
            <w:tcW w:w="762" w:type="pct"/>
            <w:tcBorders>
              <w:top w:val="single" w:color="auto" w:sz="8"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kern w:val="0"/>
                <w:szCs w:val="21"/>
              </w:rPr>
              <w:t>危险废物代码</w:t>
            </w:r>
          </w:p>
        </w:tc>
        <w:tc>
          <w:tcPr>
            <w:tcW w:w="563" w:type="pct"/>
            <w:tcBorders>
              <w:top w:val="single" w:color="auto" w:sz="8"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kern w:val="0"/>
                <w:szCs w:val="21"/>
              </w:rPr>
              <w:t>位置</w:t>
            </w:r>
          </w:p>
        </w:tc>
        <w:tc>
          <w:tcPr>
            <w:tcW w:w="389" w:type="pct"/>
            <w:tcBorders>
              <w:top w:val="single" w:color="auto" w:sz="8"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kern w:val="0"/>
                <w:szCs w:val="21"/>
              </w:rPr>
              <w:t>占地面积</w:t>
            </w:r>
          </w:p>
        </w:tc>
        <w:tc>
          <w:tcPr>
            <w:tcW w:w="570" w:type="pct"/>
            <w:tcBorders>
              <w:top w:val="single" w:color="auto" w:sz="8"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kern w:val="0"/>
                <w:szCs w:val="21"/>
              </w:rPr>
              <w:t>贮存方式</w:t>
            </w:r>
          </w:p>
        </w:tc>
        <w:tc>
          <w:tcPr>
            <w:tcW w:w="444" w:type="pct"/>
            <w:tcBorders>
              <w:top w:val="single" w:color="auto" w:sz="8"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kern w:val="0"/>
                <w:szCs w:val="21"/>
              </w:rPr>
              <w:t>贮存</w:t>
            </w:r>
          </w:p>
          <w:p>
            <w:pPr>
              <w:topLinePunct/>
              <w:adjustRightInd w:val="0"/>
              <w:snapToGrid w:val="0"/>
              <w:jc w:val="center"/>
              <w:rPr>
                <w:szCs w:val="21"/>
              </w:rPr>
            </w:pPr>
            <w:r>
              <w:rPr>
                <w:kern w:val="0"/>
                <w:szCs w:val="21"/>
              </w:rPr>
              <w:t>能力</w:t>
            </w:r>
          </w:p>
        </w:tc>
        <w:tc>
          <w:tcPr>
            <w:tcW w:w="528" w:type="pct"/>
            <w:tcBorders>
              <w:top w:val="single" w:color="auto" w:sz="8" w:space="0"/>
              <w:left w:val="single" w:color="auto" w:sz="4" w:space="0"/>
              <w:bottom w:val="single" w:color="auto" w:sz="4" w:space="0"/>
              <w:right w:val="single" w:color="auto" w:sz="8" w:space="0"/>
            </w:tcBorders>
            <w:shd w:val="clear" w:color="auto" w:fill="auto"/>
            <w:vAlign w:val="center"/>
          </w:tcPr>
          <w:p>
            <w:pPr>
              <w:topLinePunct/>
              <w:adjustRightInd w:val="0"/>
              <w:snapToGrid w:val="0"/>
              <w:jc w:val="center"/>
              <w:rPr>
                <w:szCs w:val="21"/>
              </w:rPr>
            </w:pPr>
            <w:r>
              <w:rPr>
                <w:kern w:val="0"/>
                <w:szCs w:val="21"/>
              </w:rPr>
              <w:t>贮存</w:t>
            </w:r>
          </w:p>
          <w:p>
            <w:pPr>
              <w:topLinePunct/>
              <w:adjustRightInd w:val="0"/>
              <w:snapToGrid w:val="0"/>
              <w:jc w:val="center"/>
              <w:rPr>
                <w:szCs w:val="21"/>
              </w:rPr>
            </w:pPr>
            <w:r>
              <w:rPr>
                <w:kern w:val="0"/>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pct"/>
            <w:vMerge w:val="restart"/>
            <w:tcBorders>
              <w:top w:val="single" w:color="auto" w:sz="4" w:space="0"/>
              <w:left w:val="single" w:color="auto" w:sz="8" w:space="0"/>
              <w:right w:val="single" w:color="auto" w:sz="4" w:space="0"/>
            </w:tcBorders>
            <w:shd w:val="clear" w:color="auto" w:fill="auto"/>
            <w:vAlign w:val="center"/>
          </w:tcPr>
          <w:p>
            <w:pPr>
              <w:topLinePunct/>
              <w:adjustRightInd w:val="0"/>
              <w:snapToGrid w:val="0"/>
              <w:jc w:val="center"/>
              <w:rPr>
                <w:szCs w:val="21"/>
              </w:rPr>
            </w:pPr>
            <w:r>
              <w:rPr>
                <w:kern w:val="0"/>
                <w:szCs w:val="21"/>
              </w:rPr>
              <w:t>危险废物暂存间</w:t>
            </w: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rPr>
            </w:pPr>
            <w:r>
              <w:rPr>
                <w:rFonts w:hint="eastAsia" w:ascii="Times New Roman" w:hAnsi="Times New Roman"/>
              </w:rPr>
              <w:t>医疗废物</w:t>
            </w: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rPr>
            </w:pPr>
            <w:r>
              <w:rPr>
                <w:rFonts w:ascii="Times New Roman" w:hAnsi="Times New Roman"/>
              </w:rPr>
              <w:t>HW01</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rPr>
            </w:pPr>
            <w:r>
              <w:rPr>
                <w:rFonts w:ascii="Times New Roman" w:hAnsi="Times New Roman"/>
              </w:rPr>
              <w:t>900-001-01</w:t>
            </w:r>
          </w:p>
        </w:tc>
        <w:tc>
          <w:tcPr>
            <w:tcW w:w="563" w:type="pct"/>
            <w:vMerge w:val="restart"/>
            <w:tcBorders>
              <w:top w:val="single" w:color="auto" w:sz="4" w:space="0"/>
              <w:left w:val="single" w:color="auto" w:sz="4" w:space="0"/>
              <w:right w:val="single" w:color="auto" w:sz="4" w:space="0"/>
            </w:tcBorders>
            <w:shd w:val="clear" w:color="auto" w:fill="auto"/>
            <w:vAlign w:val="center"/>
          </w:tcPr>
          <w:p>
            <w:pPr>
              <w:topLinePunct/>
              <w:adjustRightInd w:val="0"/>
              <w:snapToGrid w:val="0"/>
              <w:jc w:val="center"/>
              <w:rPr>
                <w:szCs w:val="21"/>
              </w:rPr>
            </w:pPr>
            <w:r>
              <w:rPr>
                <w:rFonts w:hint="eastAsia"/>
                <w:szCs w:val="21"/>
              </w:rPr>
              <w:t>防疫室内</w:t>
            </w:r>
            <w:r>
              <w:rPr>
                <w:rFonts w:hint="eastAsia"/>
                <w:bCs/>
                <w:szCs w:val="21"/>
              </w:rPr>
              <w:t>单独隔间</w:t>
            </w:r>
          </w:p>
        </w:tc>
        <w:tc>
          <w:tcPr>
            <w:tcW w:w="389" w:type="pct"/>
            <w:vMerge w:val="restart"/>
            <w:tcBorders>
              <w:top w:val="single" w:color="auto" w:sz="4" w:space="0"/>
              <w:left w:val="single" w:color="auto" w:sz="4" w:space="0"/>
              <w:right w:val="single" w:color="auto" w:sz="4" w:space="0"/>
            </w:tcBorders>
            <w:shd w:val="clear" w:color="auto" w:fill="auto"/>
            <w:vAlign w:val="center"/>
          </w:tcPr>
          <w:p>
            <w:pPr>
              <w:topLinePunct/>
              <w:adjustRightInd w:val="0"/>
              <w:snapToGrid w:val="0"/>
              <w:jc w:val="center"/>
              <w:rPr>
                <w:szCs w:val="21"/>
              </w:rPr>
            </w:pPr>
            <w:r>
              <w:rPr>
                <w:rFonts w:hint="eastAsia"/>
                <w:kern w:val="0"/>
                <w:szCs w:val="21"/>
              </w:rPr>
              <w:t>10</w:t>
            </w:r>
            <w:r>
              <w:rPr>
                <w:kern w:val="0"/>
                <w:szCs w:val="21"/>
              </w:rPr>
              <w:t>m</w:t>
            </w:r>
            <w:r>
              <w:rPr>
                <w:kern w:val="0"/>
                <w:szCs w:val="21"/>
                <w:vertAlign w:val="superscript"/>
              </w:rPr>
              <w:t>2</w:t>
            </w: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rFonts w:hint="eastAsia"/>
                <w:kern w:val="0"/>
                <w:szCs w:val="21"/>
              </w:rPr>
              <w:t>塑料</w:t>
            </w:r>
            <w:r>
              <w:rPr>
                <w:kern w:val="0"/>
                <w:szCs w:val="21"/>
              </w:rPr>
              <w:t>桶</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szCs w:val="21"/>
              </w:rPr>
            </w:pPr>
            <w:r>
              <w:rPr>
                <w:rFonts w:hint="eastAsia"/>
                <w:kern w:val="0"/>
                <w:szCs w:val="21"/>
              </w:rPr>
              <w:t>0.5</w:t>
            </w:r>
            <w:r>
              <w:rPr>
                <w:kern w:val="0"/>
                <w:szCs w:val="21"/>
              </w:rPr>
              <w:t>t/a</w:t>
            </w:r>
          </w:p>
        </w:tc>
        <w:tc>
          <w:tcPr>
            <w:tcW w:w="528" w:type="pct"/>
            <w:tcBorders>
              <w:top w:val="single" w:color="auto" w:sz="4" w:space="0"/>
              <w:left w:val="single" w:color="auto" w:sz="4" w:space="0"/>
              <w:bottom w:val="single" w:color="auto" w:sz="4" w:space="0"/>
              <w:right w:val="single" w:color="auto" w:sz="8" w:space="0"/>
            </w:tcBorders>
            <w:shd w:val="clear" w:color="auto" w:fill="auto"/>
            <w:vAlign w:val="center"/>
          </w:tcPr>
          <w:p>
            <w:pPr>
              <w:topLinePunct/>
              <w:adjustRightInd w:val="0"/>
              <w:snapToGrid w:val="0"/>
              <w:jc w:val="center"/>
              <w:rPr>
                <w:szCs w:val="21"/>
              </w:rPr>
            </w:pPr>
            <w:r>
              <w:rPr>
                <w:kern w:val="0"/>
                <w:szCs w:val="21"/>
              </w:rPr>
              <w:t>0.5a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pct"/>
            <w:vMerge w:val="continue"/>
            <w:tcBorders>
              <w:top w:val="single" w:color="auto" w:sz="4" w:space="0"/>
              <w:left w:val="single" w:color="auto" w:sz="8" w:space="0"/>
              <w:right w:val="single" w:color="auto" w:sz="4" w:space="0"/>
            </w:tcBorders>
            <w:shd w:val="clear" w:color="auto" w:fill="auto"/>
            <w:vAlign w:val="center"/>
          </w:tcPr>
          <w:p>
            <w:pPr>
              <w:topLinePunct/>
              <w:adjustRightInd w:val="0"/>
              <w:snapToGrid w:val="0"/>
              <w:jc w:val="center"/>
              <w:rPr>
                <w:kern w:val="0"/>
                <w:szCs w:val="21"/>
              </w:rPr>
            </w:pP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rPr>
            </w:pPr>
            <w:r>
              <w:rPr>
                <w:rFonts w:hint="eastAsia" w:ascii="Times New Roman" w:hAnsi="Times New Roman"/>
              </w:rPr>
              <w:t>其他废物</w:t>
            </w: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rPr>
            </w:pPr>
            <w:r>
              <w:rPr>
                <w:rFonts w:ascii="Times New Roman" w:hAnsi="Times New Roman"/>
              </w:rPr>
              <w:t>HW49</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rPr>
            </w:pPr>
            <w:r>
              <w:rPr>
                <w:rFonts w:ascii="Times New Roman" w:hAnsi="Times New Roman"/>
              </w:rPr>
              <w:t>900-041-49</w:t>
            </w:r>
          </w:p>
        </w:tc>
        <w:tc>
          <w:tcPr>
            <w:tcW w:w="563" w:type="pct"/>
            <w:vMerge w:val="continue"/>
            <w:tcBorders>
              <w:left w:val="single" w:color="auto" w:sz="4" w:space="0"/>
              <w:right w:val="single" w:color="auto" w:sz="4" w:space="0"/>
            </w:tcBorders>
            <w:shd w:val="clear" w:color="auto" w:fill="auto"/>
            <w:vAlign w:val="center"/>
          </w:tcPr>
          <w:p>
            <w:pPr>
              <w:topLinePunct/>
              <w:adjustRightInd w:val="0"/>
              <w:snapToGrid w:val="0"/>
              <w:jc w:val="center"/>
              <w:rPr>
                <w:szCs w:val="21"/>
              </w:rPr>
            </w:pPr>
          </w:p>
        </w:tc>
        <w:tc>
          <w:tcPr>
            <w:tcW w:w="389" w:type="pct"/>
            <w:vMerge w:val="continue"/>
            <w:tcBorders>
              <w:left w:val="single" w:color="auto" w:sz="4" w:space="0"/>
              <w:right w:val="single" w:color="auto" w:sz="4" w:space="0"/>
            </w:tcBorders>
            <w:shd w:val="clear" w:color="auto" w:fill="auto"/>
            <w:vAlign w:val="center"/>
          </w:tcPr>
          <w:p>
            <w:pPr>
              <w:topLinePunct/>
              <w:adjustRightInd w:val="0"/>
              <w:snapToGrid w:val="0"/>
              <w:jc w:val="center"/>
              <w:rPr>
                <w:kern w:val="0"/>
                <w:szCs w:val="21"/>
              </w:rPr>
            </w:pP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kern w:val="0"/>
                <w:szCs w:val="21"/>
              </w:rPr>
            </w:pPr>
            <w:r>
              <w:rPr>
                <w:rFonts w:hint="eastAsia"/>
                <w:kern w:val="0"/>
                <w:szCs w:val="21"/>
              </w:rPr>
              <w:t>塑料</w:t>
            </w:r>
            <w:r>
              <w:rPr>
                <w:kern w:val="0"/>
                <w:szCs w:val="21"/>
              </w:rPr>
              <w:t>桶</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napToGrid w:val="0"/>
              <w:jc w:val="center"/>
              <w:rPr>
                <w:kern w:val="0"/>
                <w:szCs w:val="21"/>
              </w:rPr>
            </w:pPr>
            <w:r>
              <w:rPr>
                <w:rFonts w:hint="eastAsia"/>
                <w:kern w:val="0"/>
                <w:szCs w:val="21"/>
              </w:rPr>
              <w:t>0.5</w:t>
            </w:r>
            <w:r>
              <w:rPr>
                <w:kern w:val="0"/>
                <w:szCs w:val="21"/>
              </w:rPr>
              <w:t>t/a</w:t>
            </w:r>
          </w:p>
        </w:tc>
        <w:tc>
          <w:tcPr>
            <w:tcW w:w="528" w:type="pct"/>
            <w:tcBorders>
              <w:top w:val="single" w:color="auto" w:sz="4" w:space="0"/>
              <w:left w:val="single" w:color="auto" w:sz="4" w:space="0"/>
              <w:bottom w:val="single" w:color="auto" w:sz="4" w:space="0"/>
              <w:right w:val="single" w:color="auto" w:sz="8" w:space="0"/>
            </w:tcBorders>
            <w:shd w:val="clear" w:color="auto" w:fill="auto"/>
            <w:vAlign w:val="center"/>
          </w:tcPr>
          <w:p>
            <w:pPr>
              <w:topLinePunct/>
              <w:adjustRightInd w:val="0"/>
              <w:snapToGrid w:val="0"/>
              <w:jc w:val="center"/>
              <w:rPr>
                <w:kern w:val="0"/>
                <w:szCs w:val="21"/>
              </w:rPr>
            </w:pPr>
            <w:r>
              <w:rPr>
                <w:kern w:val="0"/>
                <w:szCs w:val="21"/>
              </w:rPr>
              <w:t>0.5a</w:t>
            </w:r>
          </w:p>
        </w:tc>
      </w:tr>
    </w:tbl>
    <w:p>
      <w:pPr>
        <w:spacing w:line="480" w:lineRule="exact"/>
        <w:ind w:firstLine="480" w:firstLineChars="200"/>
        <w:rPr>
          <w:sz w:val="24"/>
        </w:rPr>
      </w:pPr>
      <w:r>
        <w:rPr>
          <w:rFonts w:hint="eastAsia"/>
          <w:sz w:val="24"/>
        </w:rPr>
        <w:t>根据《危险废物贮存污染控制标准》（</w:t>
      </w:r>
      <w:r>
        <w:rPr>
          <w:sz w:val="24"/>
        </w:rPr>
        <w:t>GB18597-2001</w:t>
      </w:r>
      <w:r>
        <w:rPr>
          <w:rFonts w:hint="eastAsia"/>
          <w:sz w:val="24"/>
        </w:rPr>
        <w:t>）及《危险废物转移联单管理办法》（国家环境保护总局令第</w:t>
      </w:r>
      <w:r>
        <w:rPr>
          <w:sz w:val="24"/>
        </w:rPr>
        <w:t>5</w:t>
      </w:r>
      <w:r>
        <w:rPr>
          <w:rFonts w:hint="eastAsia"/>
          <w:sz w:val="24"/>
        </w:rPr>
        <w:t>号）的要求，本报告对项目产生的危险废物的贮存、管理提出如下要求：</w:t>
      </w:r>
    </w:p>
    <w:p>
      <w:pPr>
        <w:spacing w:line="480" w:lineRule="exact"/>
        <w:ind w:firstLine="480" w:firstLineChars="200"/>
        <w:rPr>
          <w:sz w:val="24"/>
        </w:rPr>
      </w:pPr>
      <w:r>
        <w:rPr>
          <w:rFonts w:hint="eastAsia"/>
          <w:sz w:val="24"/>
        </w:rPr>
        <w:t>①暂存要求：</w:t>
      </w:r>
    </w:p>
    <w:p>
      <w:pPr>
        <w:spacing w:line="480" w:lineRule="exact"/>
        <w:ind w:firstLine="480" w:firstLineChars="200"/>
        <w:rPr>
          <w:sz w:val="24"/>
        </w:rPr>
      </w:pPr>
      <w:r>
        <w:rPr>
          <w:sz w:val="24"/>
        </w:rPr>
        <w:t>A</w:t>
      </w:r>
      <w:r>
        <w:rPr>
          <w:rFonts w:hint="eastAsia"/>
          <w:sz w:val="24"/>
        </w:rPr>
        <w:t>贮存设施必须防渗，基础必须防渗，防渗层为至少</w:t>
      </w:r>
      <w:r>
        <w:rPr>
          <w:sz w:val="24"/>
        </w:rPr>
        <w:t>1</w:t>
      </w:r>
      <w:r>
        <w:rPr>
          <w:rFonts w:hint="eastAsia"/>
          <w:sz w:val="24"/>
        </w:rPr>
        <w:t>米厚粘土层（渗透系数</w:t>
      </w:r>
      <w:r>
        <w:rPr>
          <w:sz w:val="24"/>
        </w:rPr>
        <w:t>≤10</w:t>
      </w:r>
      <w:r>
        <w:rPr>
          <w:sz w:val="24"/>
          <w:vertAlign w:val="superscript"/>
        </w:rPr>
        <w:t>-7</w:t>
      </w:r>
      <w:r>
        <w:rPr>
          <w:rFonts w:hint="eastAsia"/>
          <w:sz w:val="24"/>
        </w:rPr>
        <w:t>厘米</w:t>
      </w:r>
      <w:r>
        <w:rPr>
          <w:sz w:val="24"/>
        </w:rPr>
        <w:t>/</w:t>
      </w:r>
      <w:r>
        <w:rPr>
          <w:rFonts w:hint="eastAsia"/>
          <w:sz w:val="24"/>
        </w:rPr>
        <w:t>秒），或</w:t>
      </w:r>
      <w:r>
        <w:rPr>
          <w:sz w:val="24"/>
        </w:rPr>
        <w:t>2</w:t>
      </w:r>
      <w:r>
        <w:rPr>
          <w:rFonts w:hint="eastAsia"/>
          <w:sz w:val="24"/>
        </w:rPr>
        <w:t>毫米厚高密度聚乙烯，或至少</w:t>
      </w:r>
      <w:r>
        <w:rPr>
          <w:sz w:val="24"/>
        </w:rPr>
        <w:t>2</w:t>
      </w:r>
      <w:r>
        <w:rPr>
          <w:rFonts w:hint="eastAsia"/>
          <w:sz w:val="24"/>
        </w:rPr>
        <w:t>毫米厚的其它人工材料，渗透系数</w:t>
      </w:r>
      <w:r>
        <w:rPr>
          <w:sz w:val="24"/>
        </w:rPr>
        <w:t>≤10</w:t>
      </w:r>
      <w:r>
        <w:rPr>
          <w:sz w:val="24"/>
          <w:vertAlign w:val="superscript"/>
        </w:rPr>
        <w:t>-10</w:t>
      </w:r>
      <w:r>
        <w:rPr>
          <w:rFonts w:hint="eastAsia"/>
          <w:sz w:val="24"/>
        </w:rPr>
        <w:t>厘米</w:t>
      </w:r>
      <w:r>
        <w:rPr>
          <w:sz w:val="24"/>
        </w:rPr>
        <w:t>/</w:t>
      </w:r>
      <w:r>
        <w:rPr>
          <w:rFonts w:hint="eastAsia"/>
          <w:sz w:val="24"/>
        </w:rPr>
        <w:t>秒。有足够地面承载能力，并能确保雨水不会流至贮存设施内，贮存设施应封闭，以防风、防雨、防日晒；贮存设施内应有安全照明设施及安全防护设施。目前现有危废暂存间采取了水泥防渗措施，</w:t>
      </w:r>
      <w:r>
        <w:rPr>
          <w:kern w:val="0"/>
          <w:sz w:val="24"/>
          <w:szCs w:val="24"/>
        </w:rPr>
        <w:t>能够有效</w:t>
      </w:r>
      <w:r>
        <w:rPr>
          <w:rFonts w:hint="eastAsia"/>
          <w:sz w:val="24"/>
        </w:rPr>
        <w:t>防风、防雨、防日晒，</w:t>
      </w:r>
      <w:r>
        <w:rPr>
          <w:kern w:val="0"/>
          <w:sz w:val="24"/>
          <w:szCs w:val="24"/>
        </w:rPr>
        <w:t>同时贮存设施内设有安全照明设施及安全防护设施。</w:t>
      </w:r>
    </w:p>
    <w:p>
      <w:pPr>
        <w:spacing w:line="480" w:lineRule="exact"/>
        <w:ind w:firstLine="480" w:firstLineChars="200"/>
        <w:rPr>
          <w:sz w:val="24"/>
        </w:rPr>
      </w:pPr>
      <w:r>
        <w:rPr>
          <w:sz w:val="24"/>
        </w:rPr>
        <w:t>B盛装危险废物的容器上必须粘贴符合《危险废物贮存污染控制标准》（GB18597-2001）附录A所示的标签，具体如图</w:t>
      </w:r>
      <w:r>
        <w:rPr>
          <w:rFonts w:hint="eastAsia"/>
          <w:sz w:val="24"/>
        </w:rPr>
        <w:t>3.</w:t>
      </w:r>
      <w:r>
        <w:rPr>
          <w:sz w:val="24"/>
        </w:rPr>
        <w:t>6</w:t>
      </w:r>
      <w:r>
        <w:rPr>
          <w:rFonts w:hint="eastAsia"/>
          <w:sz w:val="24"/>
        </w:rPr>
        <w:t>-1</w:t>
      </w:r>
      <w:r>
        <w:rPr>
          <w:sz w:val="24"/>
        </w:rPr>
        <w:t>。</w:t>
      </w:r>
    </w:p>
    <w:p>
      <w:pPr>
        <w:rPr>
          <w:sz w:val="24"/>
        </w:rPr>
      </w:pPr>
      <w:r>
        <w:rPr>
          <w:sz w:val="24"/>
        </w:rPr>
        <w:drawing>
          <wp:inline distT="0" distB="0" distL="0" distR="0">
            <wp:extent cx="5386070" cy="2137410"/>
            <wp:effectExtent l="19050" t="0" r="4952"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25"/>
                    <a:srcRect/>
                    <a:stretch>
                      <a:fillRect/>
                    </a:stretch>
                  </pic:blipFill>
                  <pic:spPr>
                    <a:xfrm>
                      <a:off x="0" y="0"/>
                      <a:ext cx="5387403" cy="2138300"/>
                    </a:xfrm>
                    <a:prstGeom prst="rect">
                      <a:avLst/>
                    </a:prstGeom>
                    <a:noFill/>
                    <a:ln w="9525">
                      <a:noFill/>
                      <a:miter lim="800000"/>
                      <a:headEnd/>
                      <a:tailEnd/>
                    </a:ln>
                  </pic:spPr>
                </pic:pic>
              </a:graphicData>
            </a:graphic>
          </wp:inline>
        </w:drawing>
      </w:r>
    </w:p>
    <w:p>
      <w:pPr>
        <w:spacing w:line="480" w:lineRule="exact"/>
        <w:jc w:val="center"/>
        <w:rPr>
          <w:sz w:val="24"/>
        </w:rPr>
      </w:pPr>
      <w:r>
        <w:rPr>
          <w:rFonts w:hint="eastAsia" w:ascii="黑体" w:hAnsi="黑体" w:eastAsia="黑体"/>
          <w:bCs/>
          <w:sz w:val="24"/>
        </w:rPr>
        <w:t>图3.5-1  危险废物标识</w:t>
      </w:r>
    </w:p>
    <w:p>
      <w:pPr>
        <w:spacing w:line="480" w:lineRule="exact"/>
        <w:ind w:firstLine="480" w:firstLineChars="200"/>
        <w:rPr>
          <w:sz w:val="24"/>
        </w:rPr>
      </w:pPr>
      <w:r>
        <w:rPr>
          <w:sz w:val="24"/>
        </w:rPr>
        <w:t>C危险废物暂存库房不得接收未粘贴上述规定的标签或标签填写不规范的危险废物；</w:t>
      </w:r>
    </w:p>
    <w:p>
      <w:pPr>
        <w:spacing w:line="480" w:lineRule="exact"/>
        <w:ind w:firstLine="480" w:firstLineChars="200"/>
        <w:rPr>
          <w:sz w:val="24"/>
        </w:rPr>
      </w:pPr>
      <w:r>
        <w:rPr>
          <w:sz w:val="24"/>
        </w:rPr>
        <w:t>D必须作好危险废物记录，记录上须注明危险废物的名称、来源、数量、特性和包装容器的类别、入库日期、存放库位、废物出库日期及接收单位名称；危险废物的记录和货单在危险废物回取后应继续保留三年；所有危险废物在厂内暂存不得超过一年。</w:t>
      </w:r>
    </w:p>
    <w:p>
      <w:pPr>
        <w:spacing w:line="480" w:lineRule="exact"/>
        <w:ind w:firstLine="480" w:firstLineChars="200"/>
        <w:rPr>
          <w:sz w:val="24"/>
        </w:rPr>
      </w:pPr>
      <w:r>
        <w:rPr>
          <w:sz w:val="24"/>
        </w:rPr>
        <w:t>E必须定期对所贮存的危险废物包装容器及贮存设施进行检查，发现破损，应及时采取措施清理更换；</w:t>
      </w:r>
    </w:p>
    <w:p>
      <w:pPr>
        <w:spacing w:line="480" w:lineRule="exact"/>
        <w:ind w:firstLine="480" w:firstLineChars="200"/>
        <w:rPr>
          <w:sz w:val="24"/>
        </w:rPr>
      </w:pPr>
      <w:r>
        <w:rPr>
          <w:sz w:val="24"/>
        </w:rPr>
        <w:t xml:space="preserve">F危险废物贮存库房设置灭火器等防火设备，做好火灾的预防工作。 </w:t>
      </w:r>
    </w:p>
    <w:p>
      <w:pPr>
        <w:spacing w:line="480" w:lineRule="exact"/>
        <w:ind w:firstLine="480" w:firstLineChars="200"/>
        <w:rPr>
          <w:sz w:val="24"/>
        </w:rPr>
      </w:pPr>
      <w:r>
        <w:rPr>
          <w:rFonts w:hint="eastAsia"/>
          <w:sz w:val="24"/>
        </w:rPr>
        <w:t>②</w:t>
      </w:r>
      <w:r>
        <w:rPr>
          <w:sz w:val="24"/>
        </w:rPr>
        <w:t>转移要求：</w:t>
      </w:r>
    </w:p>
    <w:p>
      <w:pPr>
        <w:spacing w:line="480" w:lineRule="exact"/>
        <w:ind w:firstLine="480" w:firstLineChars="200"/>
        <w:rPr>
          <w:sz w:val="24"/>
        </w:rPr>
      </w:pPr>
      <w:r>
        <w:rPr>
          <w:sz w:val="24"/>
        </w:rPr>
        <w:t xml:space="preserve">A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 </w:t>
      </w:r>
    </w:p>
    <w:p>
      <w:pPr>
        <w:spacing w:line="480" w:lineRule="exact"/>
        <w:ind w:firstLine="480" w:firstLineChars="200"/>
        <w:rPr>
          <w:sz w:val="24"/>
        </w:rPr>
      </w:pPr>
      <w:r>
        <w:rPr>
          <w:sz w:val="24"/>
        </w:rPr>
        <w:t>B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spacing w:line="480" w:lineRule="exact"/>
        <w:ind w:firstLine="480" w:firstLineChars="200"/>
        <w:rPr>
          <w:sz w:val="24"/>
        </w:rPr>
      </w:pPr>
      <w:r>
        <w:rPr>
          <w:sz w:val="24"/>
        </w:rPr>
        <w:t>B联单保存期限为五年；贮存危险废物的，其联单保存期限与危险废物贮存期限相同。</w:t>
      </w:r>
    </w:p>
    <w:p>
      <w:pPr>
        <w:spacing w:line="480" w:lineRule="exact"/>
        <w:ind w:firstLine="480" w:firstLineChars="200"/>
        <w:rPr>
          <w:sz w:val="24"/>
        </w:rPr>
      </w:pPr>
      <w:r>
        <w:rPr>
          <w:sz w:val="24"/>
        </w:rPr>
        <w:t>③处置要求：</w:t>
      </w:r>
    </w:p>
    <w:p>
      <w:pPr>
        <w:spacing w:line="480" w:lineRule="exact"/>
        <w:ind w:firstLine="480" w:firstLineChars="200"/>
        <w:rPr>
          <w:sz w:val="24"/>
        </w:rPr>
      </w:pPr>
      <w:r>
        <w:rPr>
          <w:sz w:val="24"/>
        </w:rPr>
        <w:t>委托有资质单位对项目运行期间产生的危险废物进行处置。</w:t>
      </w:r>
    </w:p>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5</w:t>
      </w:r>
      <w:r>
        <w:rPr>
          <w:rFonts w:ascii="Times New Roman" w:hAnsi="Times New Roman" w:eastAsia="宋体"/>
          <w:b/>
        </w:rPr>
        <w:t>.</w:t>
      </w:r>
      <w:r>
        <w:rPr>
          <w:rFonts w:hint="eastAsia" w:ascii="Times New Roman" w:hAnsi="Times New Roman" w:eastAsia="宋体"/>
          <w:b/>
        </w:rPr>
        <w:t>4</w:t>
      </w:r>
      <w:r>
        <w:rPr>
          <w:rFonts w:hint="eastAsia" w:ascii="宋体" w:hAnsi="宋体" w:eastAsia="宋体"/>
          <w:b/>
        </w:rPr>
        <w:t>运营噪声污染影响分析</w:t>
      </w:r>
    </w:p>
    <w:p>
      <w:pPr>
        <w:pStyle w:val="122"/>
        <w:spacing w:line="480" w:lineRule="exact"/>
        <w:ind w:firstLine="480"/>
        <w:rPr>
          <w:snapToGrid w:val="0"/>
          <w:sz w:val="24"/>
        </w:rPr>
      </w:pPr>
      <w:bookmarkStart w:id="62" w:name="_Hlk530468359"/>
      <w:bookmarkStart w:id="63" w:name="_Toc9320523"/>
      <w:r>
        <w:rPr>
          <w:rFonts w:hint="eastAsia"/>
          <w:snapToGrid w:val="0"/>
          <w:sz w:val="24"/>
        </w:rPr>
        <w:t>噪声源主要为水泵、风机、鸡叫等，噪声源强为</w:t>
      </w:r>
      <w:r>
        <w:rPr>
          <w:snapToGrid w:val="0"/>
          <w:sz w:val="24"/>
        </w:rPr>
        <w:t>60~80dB</w:t>
      </w:r>
      <w:r>
        <w:rPr>
          <w:rFonts w:hint="eastAsia"/>
          <w:snapToGrid w:val="0"/>
          <w:sz w:val="24"/>
        </w:rPr>
        <w:t>（</w:t>
      </w:r>
      <w:r>
        <w:rPr>
          <w:snapToGrid w:val="0"/>
          <w:sz w:val="24"/>
        </w:rPr>
        <w:t>A</w:t>
      </w:r>
      <w:r>
        <w:rPr>
          <w:rFonts w:hint="eastAsia"/>
          <w:snapToGrid w:val="0"/>
          <w:sz w:val="24"/>
        </w:rPr>
        <w:t>）</w:t>
      </w:r>
      <w:bookmarkEnd w:id="62"/>
      <w:r>
        <w:rPr>
          <w:rFonts w:hint="eastAsia"/>
          <w:snapToGrid w:val="0"/>
          <w:sz w:val="24"/>
        </w:rPr>
        <w:t>，详见下表。</w:t>
      </w:r>
    </w:p>
    <w:p>
      <w:pPr>
        <w:pStyle w:val="132"/>
        <w:spacing w:line="480" w:lineRule="exact"/>
        <w:rPr>
          <w:rFonts w:cs="Times New Roman"/>
          <w:snapToGrid w:val="0"/>
          <w:sz w:val="24"/>
        </w:rPr>
      </w:pPr>
      <w:r>
        <w:rPr>
          <w:rFonts w:hint="eastAsia"/>
          <w:snapToGrid w:val="0"/>
          <w:sz w:val="24"/>
        </w:rPr>
        <w:t>表</w:t>
      </w:r>
      <w:r>
        <w:rPr>
          <w:snapToGrid w:val="0"/>
          <w:sz w:val="24"/>
        </w:rPr>
        <w:t>3</w:t>
      </w:r>
      <w:r>
        <w:rPr>
          <w:rFonts w:hint="eastAsia"/>
          <w:snapToGrid w:val="0"/>
          <w:sz w:val="24"/>
        </w:rPr>
        <w:t>.5-10  噪声源强一览表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2403"/>
        <w:gridCol w:w="2517"/>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4" w:type="pct"/>
            <w:vAlign w:val="center"/>
          </w:tcPr>
          <w:p>
            <w:pPr>
              <w:pStyle w:val="128"/>
              <w:rPr>
                <w:rFonts w:ascii="Times New Roman" w:hAnsi="Times New Roman"/>
                <w:snapToGrid w:val="0"/>
                <w:szCs w:val="21"/>
              </w:rPr>
            </w:pPr>
            <w:bookmarkStart w:id="64" w:name="_Hlk530468381"/>
            <w:r>
              <w:rPr>
                <w:rFonts w:hint="eastAsia" w:ascii="Times New Roman" w:hAnsi="Times New Roman"/>
                <w:snapToGrid w:val="0"/>
              </w:rPr>
              <w:t>序号</w:t>
            </w:r>
          </w:p>
        </w:tc>
        <w:tc>
          <w:tcPr>
            <w:tcW w:w="1326" w:type="pct"/>
            <w:vAlign w:val="center"/>
          </w:tcPr>
          <w:p>
            <w:pPr>
              <w:pStyle w:val="128"/>
              <w:rPr>
                <w:rFonts w:ascii="Times New Roman" w:hAnsi="Times New Roman"/>
                <w:snapToGrid w:val="0"/>
              </w:rPr>
            </w:pPr>
            <w:r>
              <w:rPr>
                <w:rFonts w:hint="eastAsia" w:ascii="Times New Roman" w:hAnsi="Times New Roman"/>
                <w:snapToGrid w:val="0"/>
              </w:rPr>
              <w:t>设备名称</w:t>
            </w:r>
          </w:p>
        </w:tc>
        <w:tc>
          <w:tcPr>
            <w:tcW w:w="1389" w:type="pct"/>
            <w:vAlign w:val="center"/>
          </w:tcPr>
          <w:p>
            <w:pPr>
              <w:pStyle w:val="128"/>
              <w:rPr>
                <w:rFonts w:ascii="Times New Roman" w:hAnsi="Times New Roman"/>
                <w:snapToGrid w:val="0"/>
              </w:rPr>
            </w:pPr>
            <w:r>
              <w:rPr>
                <w:rFonts w:hint="eastAsia" w:ascii="Times New Roman" w:hAnsi="Times New Roman"/>
                <w:snapToGrid w:val="0"/>
              </w:rPr>
              <w:t>声功率级</w:t>
            </w:r>
            <w:r>
              <w:rPr>
                <w:rFonts w:ascii="Times New Roman" w:hAnsi="Times New Roman"/>
                <w:snapToGrid w:val="0"/>
              </w:rPr>
              <w:t>dB(A)</w:t>
            </w:r>
          </w:p>
        </w:tc>
        <w:tc>
          <w:tcPr>
            <w:tcW w:w="1641" w:type="pct"/>
            <w:vAlign w:val="center"/>
          </w:tcPr>
          <w:p>
            <w:pPr>
              <w:pStyle w:val="128"/>
              <w:rPr>
                <w:rFonts w:ascii="Times New Roman" w:hAnsi="Times New Roman"/>
                <w:snapToGrid w:val="0"/>
              </w:rPr>
            </w:pPr>
            <w:r>
              <w:rPr>
                <w:rFonts w:hint="eastAsia" w:ascii="Times New Roman" w:hAnsi="Times New Roman"/>
                <w:snapToGrid w:val="0"/>
              </w:rPr>
              <w:t>所在位置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4" w:type="pct"/>
            <w:vAlign w:val="center"/>
          </w:tcPr>
          <w:p>
            <w:pPr>
              <w:pStyle w:val="128"/>
              <w:rPr>
                <w:rFonts w:ascii="Times New Roman" w:hAnsi="Times New Roman"/>
                <w:snapToGrid w:val="0"/>
              </w:rPr>
            </w:pPr>
            <w:r>
              <w:rPr>
                <w:rFonts w:ascii="Times New Roman" w:hAnsi="Times New Roman"/>
                <w:snapToGrid w:val="0"/>
              </w:rPr>
              <w:t>1</w:t>
            </w:r>
          </w:p>
        </w:tc>
        <w:tc>
          <w:tcPr>
            <w:tcW w:w="1326" w:type="pct"/>
            <w:vAlign w:val="center"/>
          </w:tcPr>
          <w:p>
            <w:pPr>
              <w:pStyle w:val="128"/>
              <w:rPr>
                <w:rFonts w:ascii="Times New Roman" w:hAnsi="Times New Roman"/>
                <w:snapToGrid w:val="0"/>
              </w:rPr>
            </w:pPr>
            <w:r>
              <w:rPr>
                <w:rFonts w:hint="eastAsia" w:ascii="Times New Roman" w:hAnsi="Times New Roman"/>
                <w:snapToGrid w:val="0"/>
              </w:rPr>
              <w:t>水泵</w:t>
            </w:r>
          </w:p>
        </w:tc>
        <w:tc>
          <w:tcPr>
            <w:tcW w:w="1389" w:type="pct"/>
            <w:vAlign w:val="center"/>
          </w:tcPr>
          <w:p>
            <w:pPr>
              <w:pStyle w:val="128"/>
              <w:rPr>
                <w:rFonts w:ascii="Times New Roman" w:hAnsi="Times New Roman"/>
                <w:snapToGrid w:val="0"/>
              </w:rPr>
            </w:pPr>
            <w:r>
              <w:rPr>
                <w:rFonts w:ascii="Times New Roman" w:hAnsi="Times New Roman"/>
                <w:snapToGrid w:val="0"/>
              </w:rPr>
              <w:t>70</w:t>
            </w:r>
            <w:r>
              <w:rPr>
                <w:rFonts w:hint="eastAsia" w:ascii="Times New Roman" w:hAnsi="Times New Roman"/>
                <w:snapToGrid w:val="0"/>
              </w:rPr>
              <w:t>～</w:t>
            </w:r>
            <w:r>
              <w:rPr>
                <w:rFonts w:ascii="Times New Roman" w:hAnsi="Times New Roman"/>
                <w:snapToGrid w:val="0"/>
              </w:rPr>
              <w:t>75</w:t>
            </w:r>
          </w:p>
        </w:tc>
        <w:tc>
          <w:tcPr>
            <w:tcW w:w="1641" w:type="pct"/>
            <w:vAlign w:val="center"/>
          </w:tcPr>
          <w:p>
            <w:pPr>
              <w:pStyle w:val="128"/>
              <w:rPr>
                <w:rFonts w:ascii="Times New Roman" w:hAnsi="Times New Roman"/>
                <w:snapToGrid w:val="0"/>
              </w:rPr>
            </w:pPr>
            <w:r>
              <w:rPr>
                <w:rFonts w:hint="eastAsia" w:ascii="Times New Roman" w:hAnsi="Times New Roman"/>
                <w:snapToGrid w:val="0"/>
              </w:rPr>
              <w:t>供水房、污水处理站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4" w:type="pct"/>
            <w:vAlign w:val="center"/>
          </w:tcPr>
          <w:p>
            <w:pPr>
              <w:pStyle w:val="128"/>
              <w:rPr>
                <w:rFonts w:ascii="Times New Roman" w:hAnsi="Times New Roman"/>
                <w:snapToGrid w:val="0"/>
              </w:rPr>
            </w:pPr>
            <w:r>
              <w:rPr>
                <w:rFonts w:ascii="Times New Roman" w:hAnsi="Times New Roman"/>
                <w:snapToGrid w:val="0"/>
              </w:rPr>
              <w:t>2</w:t>
            </w:r>
          </w:p>
        </w:tc>
        <w:tc>
          <w:tcPr>
            <w:tcW w:w="1326" w:type="pct"/>
            <w:vAlign w:val="center"/>
          </w:tcPr>
          <w:p>
            <w:pPr>
              <w:pStyle w:val="128"/>
              <w:rPr>
                <w:rFonts w:ascii="Times New Roman" w:hAnsi="Times New Roman"/>
                <w:snapToGrid w:val="0"/>
              </w:rPr>
            </w:pPr>
            <w:r>
              <w:rPr>
                <w:rFonts w:hint="eastAsia" w:ascii="Times New Roman" w:hAnsi="Times New Roman"/>
                <w:snapToGrid w:val="0"/>
              </w:rPr>
              <w:t>风机</w:t>
            </w:r>
          </w:p>
        </w:tc>
        <w:tc>
          <w:tcPr>
            <w:tcW w:w="1389" w:type="pct"/>
            <w:vAlign w:val="center"/>
          </w:tcPr>
          <w:p>
            <w:pPr>
              <w:pStyle w:val="128"/>
              <w:rPr>
                <w:rFonts w:ascii="Times New Roman" w:hAnsi="Times New Roman"/>
                <w:snapToGrid w:val="0"/>
              </w:rPr>
            </w:pPr>
            <w:r>
              <w:rPr>
                <w:rFonts w:ascii="Times New Roman" w:hAnsi="Times New Roman"/>
                <w:snapToGrid w:val="0"/>
              </w:rPr>
              <w:t>75~80</w:t>
            </w:r>
          </w:p>
        </w:tc>
        <w:tc>
          <w:tcPr>
            <w:tcW w:w="1641" w:type="pct"/>
            <w:vAlign w:val="center"/>
          </w:tcPr>
          <w:p>
            <w:pPr>
              <w:pStyle w:val="128"/>
              <w:rPr>
                <w:rFonts w:ascii="Times New Roman" w:hAnsi="Times New Roman"/>
                <w:snapToGrid w:val="0"/>
              </w:rPr>
            </w:pPr>
            <w:r>
              <w:rPr>
                <w:rFonts w:hint="eastAsia" w:ascii="Times New Roman" w:hAnsi="Times New Roman"/>
                <w:snapToGrid w:val="0"/>
              </w:rPr>
              <w:t>鸡舍、锅炉房、食堂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4" w:type="pct"/>
            <w:vAlign w:val="center"/>
          </w:tcPr>
          <w:p>
            <w:pPr>
              <w:pStyle w:val="128"/>
              <w:rPr>
                <w:rFonts w:ascii="Times New Roman" w:hAnsi="Times New Roman"/>
                <w:snapToGrid w:val="0"/>
              </w:rPr>
            </w:pPr>
            <w:r>
              <w:rPr>
                <w:rFonts w:ascii="Times New Roman" w:hAnsi="Times New Roman"/>
                <w:snapToGrid w:val="0"/>
              </w:rPr>
              <w:t>3</w:t>
            </w:r>
          </w:p>
        </w:tc>
        <w:tc>
          <w:tcPr>
            <w:tcW w:w="1326" w:type="pct"/>
            <w:vAlign w:val="center"/>
          </w:tcPr>
          <w:p>
            <w:pPr>
              <w:pStyle w:val="128"/>
              <w:rPr>
                <w:rFonts w:ascii="Times New Roman" w:hAnsi="Times New Roman"/>
                <w:snapToGrid w:val="0"/>
              </w:rPr>
            </w:pPr>
            <w:r>
              <w:rPr>
                <w:rFonts w:hint="eastAsia" w:ascii="Times New Roman" w:hAnsi="Times New Roman"/>
                <w:snapToGrid w:val="0"/>
              </w:rPr>
              <w:t>鸡叫声</w:t>
            </w:r>
          </w:p>
        </w:tc>
        <w:tc>
          <w:tcPr>
            <w:tcW w:w="1389" w:type="pct"/>
            <w:vAlign w:val="center"/>
          </w:tcPr>
          <w:p>
            <w:pPr>
              <w:pStyle w:val="128"/>
              <w:rPr>
                <w:rFonts w:ascii="Times New Roman" w:hAnsi="Times New Roman"/>
                <w:snapToGrid w:val="0"/>
              </w:rPr>
            </w:pPr>
            <w:r>
              <w:rPr>
                <w:rFonts w:ascii="Times New Roman" w:hAnsi="Times New Roman"/>
                <w:snapToGrid w:val="0"/>
              </w:rPr>
              <w:t>60</w:t>
            </w:r>
            <w:r>
              <w:rPr>
                <w:rFonts w:hint="eastAsia" w:ascii="Times New Roman" w:hAnsi="Times New Roman"/>
                <w:snapToGrid w:val="0"/>
              </w:rPr>
              <w:t>～</w:t>
            </w:r>
            <w:r>
              <w:rPr>
                <w:rFonts w:ascii="Times New Roman" w:hAnsi="Times New Roman"/>
                <w:snapToGrid w:val="0"/>
              </w:rPr>
              <w:t>80</w:t>
            </w:r>
          </w:p>
        </w:tc>
        <w:tc>
          <w:tcPr>
            <w:tcW w:w="1641" w:type="pct"/>
            <w:vAlign w:val="center"/>
          </w:tcPr>
          <w:p>
            <w:pPr>
              <w:pStyle w:val="128"/>
              <w:rPr>
                <w:rFonts w:ascii="Times New Roman" w:hAnsi="Times New Roman"/>
                <w:snapToGrid w:val="0"/>
              </w:rPr>
            </w:pPr>
            <w:r>
              <w:rPr>
                <w:rFonts w:hint="eastAsia" w:ascii="Times New Roman" w:hAnsi="Times New Roman"/>
                <w:snapToGrid w:val="0"/>
              </w:rPr>
              <w:t>鸡舍</w:t>
            </w:r>
          </w:p>
        </w:tc>
      </w:tr>
      <w:bookmarkEnd w:id="64"/>
    </w:tbl>
    <w:p>
      <w:pPr>
        <w:pStyle w:val="122"/>
        <w:spacing w:line="480" w:lineRule="exact"/>
        <w:ind w:firstLine="480"/>
        <w:rPr>
          <w:snapToGrid w:val="0"/>
          <w:sz w:val="24"/>
        </w:rPr>
      </w:pPr>
      <w:r>
        <w:rPr>
          <w:rFonts w:hint="eastAsia"/>
          <w:snapToGrid w:val="0"/>
          <w:sz w:val="24"/>
        </w:rPr>
        <w:t>针对噪声源产生情况，项目采取以下防噪降噪措施：</w:t>
      </w:r>
    </w:p>
    <w:p>
      <w:pPr>
        <w:pStyle w:val="122"/>
        <w:spacing w:line="480" w:lineRule="exact"/>
        <w:ind w:firstLine="480"/>
        <w:rPr>
          <w:snapToGrid w:val="0"/>
          <w:sz w:val="24"/>
        </w:rPr>
      </w:pPr>
      <w:r>
        <w:rPr>
          <w:rFonts w:hint="eastAsia"/>
          <w:snapToGrid w:val="0"/>
          <w:sz w:val="24"/>
        </w:rPr>
        <w:t>（</w:t>
      </w:r>
      <w:r>
        <w:rPr>
          <w:snapToGrid w:val="0"/>
          <w:sz w:val="24"/>
        </w:rPr>
        <w:t>1</w:t>
      </w:r>
      <w:r>
        <w:rPr>
          <w:rFonts w:hint="eastAsia"/>
          <w:snapToGrid w:val="0"/>
          <w:sz w:val="24"/>
        </w:rPr>
        <w:t>）风机的进出口安装消声器；</w:t>
      </w:r>
    </w:p>
    <w:p>
      <w:pPr>
        <w:pStyle w:val="122"/>
        <w:spacing w:line="480" w:lineRule="exact"/>
        <w:ind w:firstLine="480"/>
        <w:rPr>
          <w:snapToGrid w:val="0"/>
          <w:sz w:val="24"/>
        </w:rPr>
      </w:pPr>
      <w:r>
        <w:rPr>
          <w:rFonts w:hint="eastAsia"/>
          <w:snapToGrid w:val="0"/>
          <w:sz w:val="24"/>
        </w:rPr>
        <w:t>（</w:t>
      </w:r>
      <w:r>
        <w:rPr>
          <w:snapToGrid w:val="0"/>
          <w:sz w:val="24"/>
        </w:rPr>
        <w:t>2</w:t>
      </w:r>
      <w:r>
        <w:rPr>
          <w:rFonts w:hint="eastAsia"/>
          <w:snapToGrid w:val="0"/>
          <w:sz w:val="24"/>
        </w:rPr>
        <w:t>）放置噪声设备的建筑应安装隔声窗、加装吸声材料，避免露天布置；</w:t>
      </w:r>
    </w:p>
    <w:p>
      <w:pPr>
        <w:pStyle w:val="122"/>
        <w:spacing w:line="480" w:lineRule="exact"/>
        <w:ind w:firstLine="480"/>
        <w:rPr>
          <w:snapToGrid w:val="0"/>
          <w:sz w:val="24"/>
        </w:rPr>
      </w:pPr>
      <w:r>
        <w:rPr>
          <w:rFonts w:hint="eastAsia"/>
          <w:snapToGrid w:val="0"/>
          <w:sz w:val="24"/>
        </w:rPr>
        <w:t>（</w:t>
      </w:r>
      <w:r>
        <w:rPr>
          <w:snapToGrid w:val="0"/>
          <w:sz w:val="24"/>
        </w:rPr>
        <w:t>3</w:t>
      </w:r>
      <w:r>
        <w:rPr>
          <w:rFonts w:hint="eastAsia"/>
          <w:snapToGrid w:val="0"/>
          <w:sz w:val="24"/>
        </w:rPr>
        <w:t>）场区平面布置优化、合理布局，将高噪声设备尽量布置在远离场界处；</w:t>
      </w:r>
    </w:p>
    <w:p>
      <w:pPr>
        <w:pStyle w:val="122"/>
        <w:spacing w:line="480" w:lineRule="exact"/>
        <w:ind w:firstLine="480"/>
        <w:rPr>
          <w:snapToGrid w:val="0"/>
          <w:sz w:val="24"/>
        </w:rPr>
      </w:pPr>
      <w:r>
        <w:rPr>
          <w:rFonts w:hint="eastAsia"/>
          <w:snapToGrid w:val="0"/>
          <w:sz w:val="24"/>
        </w:rPr>
        <w:t>（</w:t>
      </w:r>
      <w:r>
        <w:rPr>
          <w:snapToGrid w:val="0"/>
          <w:sz w:val="24"/>
        </w:rPr>
        <w:t>4</w:t>
      </w:r>
      <w:r>
        <w:rPr>
          <w:rFonts w:hint="eastAsia"/>
          <w:snapToGrid w:val="0"/>
          <w:sz w:val="24"/>
        </w:rPr>
        <w:t>）加强场区绿化用地建设。</w:t>
      </w:r>
    </w:p>
    <w:p>
      <w:pPr>
        <w:pStyle w:val="132"/>
        <w:spacing w:line="480" w:lineRule="exact"/>
        <w:rPr>
          <w:snapToGrid w:val="0"/>
          <w:sz w:val="24"/>
        </w:rPr>
      </w:pPr>
      <w:r>
        <w:rPr>
          <w:rFonts w:hint="eastAsia"/>
          <w:snapToGrid w:val="0"/>
          <w:sz w:val="24"/>
        </w:rPr>
        <w:t>表3.5-11  噪声排放情况一览表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004"/>
        <w:gridCol w:w="1724"/>
        <w:gridCol w:w="861"/>
        <w:gridCol w:w="1722"/>
        <w:gridCol w:w="1437"/>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center"/>
          </w:tcPr>
          <w:p>
            <w:pPr>
              <w:pStyle w:val="128"/>
              <w:rPr>
                <w:rFonts w:ascii="Times New Roman" w:hAnsi="Times New Roman"/>
                <w:snapToGrid w:val="0"/>
                <w:szCs w:val="21"/>
              </w:rPr>
            </w:pPr>
            <w:r>
              <w:rPr>
                <w:rFonts w:hint="eastAsia" w:ascii="Times New Roman" w:hAnsi="Times New Roman"/>
                <w:snapToGrid w:val="0"/>
              </w:rPr>
              <w:t>序号</w:t>
            </w:r>
          </w:p>
        </w:tc>
        <w:tc>
          <w:tcPr>
            <w:tcW w:w="554" w:type="pct"/>
            <w:vAlign w:val="center"/>
          </w:tcPr>
          <w:p>
            <w:pPr>
              <w:pStyle w:val="128"/>
              <w:rPr>
                <w:rFonts w:ascii="Times New Roman" w:hAnsi="Times New Roman" w:eastAsia="宋体" w:cs="Times New Roman"/>
                <w:snapToGrid w:val="0"/>
              </w:rPr>
            </w:pPr>
            <w:r>
              <w:rPr>
                <w:rFonts w:hint="eastAsia" w:ascii="Times New Roman" w:hAnsi="Times New Roman"/>
                <w:snapToGrid w:val="0"/>
              </w:rPr>
              <w:t>设备</w:t>
            </w:r>
          </w:p>
          <w:p>
            <w:pPr>
              <w:pStyle w:val="128"/>
              <w:rPr>
                <w:rFonts w:ascii="Times New Roman" w:hAnsi="Times New Roman"/>
                <w:snapToGrid w:val="0"/>
              </w:rPr>
            </w:pPr>
            <w:r>
              <w:rPr>
                <w:rFonts w:hint="eastAsia" w:ascii="Times New Roman" w:hAnsi="Times New Roman"/>
                <w:snapToGrid w:val="0"/>
              </w:rPr>
              <w:t>名称</w:t>
            </w:r>
          </w:p>
        </w:tc>
        <w:tc>
          <w:tcPr>
            <w:tcW w:w="951" w:type="pct"/>
            <w:vAlign w:val="center"/>
          </w:tcPr>
          <w:p>
            <w:pPr>
              <w:pStyle w:val="128"/>
              <w:rPr>
                <w:rFonts w:ascii="Times New Roman" w:hAnsi="Times New Roman"/>
                <w:snapToGrid w:val="0"/>
              </w:rPr>
            </w:pPr>
            <w:r>
              <w:rPr>
                <w:rFonts w:hint="eastAsia" w:ascii="Times New Roman" w:hAnsi="Times New Roman"/>
                <w:snapToGrid w:val="0"/>
              </w:rPr>
              <w:t>所在位置</w:t>
            </w:r>
          </w:p>
        </w:tc>
        <w:tc>
          <w:tcPr>
            <w:tcW w:w="475" w:type="pct"/>
            <w:vAlign w:val="center"/>
          </w:tcPr>
          <w:p>
            <w:pPr>
              <w:pStyle w:val="128"/>
              <w:rPr>
                <w:rFonts w:ascii="Times New Roman" w:hAnsi="Times New Roman"/>
                <w:snapToGrid w:val="0"/>
              </w:rPr>
            </w:pPr>
            <w:r>
              <w:rPr>
                <w:rFonts w:hint="eastAsia" w:ascii="Times New Roman" w:hAnsi="Times New Roman"/>
                <w:snapToGrid w:val="0"/>
              </w:rPr>
              <w:t>数量（台）</w:t>
            </w:r>
          </w:p>
        </w:tc>
        <w:tc>
          <w:tcPr>
            <w:tcW w:w="950" w:type="pct"/>
            <w:vAlign w:val="center"/>
          </w:tcPr>
          <w:p>
            <w:pPr>
              <w:pStyle w:val="128"/>
              <w:rPr>
                <w:rFonts w:ascii="Times New Roman" w:hAnsi="Times New Roman"/>
                <w:snapToGrid w:val="0"/>
              </w:rPr>
            </w:pPr>
            <w:r>
              <w:rPr>
                <w:rFonts w:hint="eastAsia" w:ascii="Times New Roman" w:hAnsi="Times New Roman"/>
                <w:snapToGrid w:val="0"/>
              </w:rPr>
              <w:t>声功率级</w:t>
            </w:r>
            <w:r>
              <w:rPr>
                <w:rFonts w:ascii="Times New Roman" w:hAnsi="Times New Roman"/>
                <w:snapToGrid w:val="0"/>
              </w:rPr>
              <w:t>dB(A)</w:t>
            </w:r>
          </w:p>
        </w:tc>
        <w:tc>
          <w:tcPr>
            <w:tcW w:w="793" w:type="pct"/>
            <w:vAlign w:val="center"/>
          </w:tcPr>
          <w:p>
            <w:pPr>
              <w:pStyle w:val="128"/>
              <w:rPr>
                <w:rFonts w:ascii="Times New Roman" w:hAnsi="Times New Roman"/>
                <w:snapToGrid w:val="0"/>
              </w:rPr>
            </w:pPr>
            <w:r>
              <w:rPr>
                <w:rFonts w:hint="eastAsia" w:ascii="Times New Roman" w:hAnsi="Times New Roman"/>
                <w:snapToGrid w:val="0"/>
              </w:rPr>
              <w:t>治理措施</w:t>
            </w:r>
          </w:p>
        </w:tc>
        <w:tc>
          <w:tcPr>
            <w:tcW w:w="978" w:type="pct"/>
            <w:vAlign w:val="center"/>
          </w:tcPr>
          <w:p>
            <w:pPr>
              <w:pStyle w:val="128"/>
              <w:rPr>
                <w:rFonts w:ascii="Times New Roman" w:hAnsi="Times New Roman"/>
                <w:snapToGrid w:val="0"/>
              </w:rPr>
            </w:pPr>
            <w:r>
              <w:rPr>
                <w:rFonts w:hint="eastAsia" w:ascii="Times New Roman" w:hAnsi="Times New Roman"/>
                <w:snapToGrid w:val="0"/>
              </w:rPr>
              <w:t>降噪后</w:t>
            </w:r>
            <w:r>
              <w:rPr>
                <w:rFonts w:ascii="Times New Roman" w:hAnsi="Times New Roman"/>
                <w:snapToGrid w:val="0"/>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center"/>
          </w:tcPr>
          <w:p>
            <w:pPr>
              <w:pStyle w:val="128"/>
              <w:rPr>
                <w:rFonts w:ascii="Times New Roman" w:hAnsi="Times New Roman"/>
                <w:snapToGrid w:val="0"/>
              </w:rPr>
            </w:pPr>
            <w:r>
              <w:rPr>
                <w:rFonts w:ascii="Times New Roman" w:hAnsi="Times New Roman"/>
                <w:snapToGrid w:val="0"/>
              </w:rPr>
              <w:t>1</w:t>
            </w:r>
          </w:p>
        </w:tc>
        <w:tc>
          <w:tcPr>
            <w:tcW w:w="554" w:type="pct"/>
            <w:vAlign w:val="center"/>
          </w:tcPr>
          <w:p>
            <w:pPr>
              <w:pStyle w:val="128"/>
              <w:rPr>
                <w:rFonts w:ascii="Times New Roman" w:hAnsi="Times New Roman"/>
                <w:snapToGrid w:val="0"/>
              </w:rPr>
            </w:pPr>
            <w:r>
              <w:rPr>
                <w:rFonts w:hint="eastAsia" w:ascii="Times New Roman" w:hAnsi="Times New Roman"/>
                <w:snapToGrid w:val="0"/>
              </w:rPr>
              <w:t>鸡叫声</w:t>
            </w:r>
          </w:p>
        </w:tc>
        <w:tc>
          <w:tcPr>
            <w:tcW w:w="951" w:type="pct"/>
            <w:vAlign w:val="center"/>
          </w:tcPr>
          <w:p>
            <w:pPr>
              <w:pStyle w:val="128"/>
              <w:rPr>
                <w:rFonts w:ascii="Times New Roman" w:hAnsi="Times New Roman"/>
                <w:snapToGrid w:val="0"/>
              </w:rPr>
            </w:pPr>
            <w:r>
              <w:rPr>
                <w:rFonts w:hint="eastAsia" w:ascii="Times New Roman" w:hAnsi="Times New Roman"/>
                <w:snapToGrid w:val="0"/>
              </w:rPr>
              <w:t>鸡舍</w:t>
            </w:r>
          </w:p>
        </w:tc>
        <w:tc>
          <w:tcPr>
            <w:tcW w:w="475" w:type="pct"/>
            <w:vAlign w:val="center"/>
          </w:tcPr>
          <w:p>
            <w:pPr>
              <w:pStyle w:val="128"/>
              <w:rPr>
                <w:rFonts w:ascii="Times New Roman" w:hAnsi="Times New Roman"/>
                <w:snapToGrid w:val="0"/>
              </w:rPr>
            </w:pPr>
            <w:r>
              <w:rPr>
                <w:rFonts w:ascii="Times New Roman" w:hAnsi="Times New Roman"/>
                <w:snapToGrid w:val="0"/>
              </w:rPr>
              <w:t>/</w:t>
            </w:r>
          </w:p>
        </w:tc>
        <w:tc>
          <w:tcPr>
            <w:tcW w:w="950" w:type="pct"/>
            <w:vAlign w:val="center"/>
          </w:tcPr>
          <w:p>
            <w:pPr>
              <w:pStyle w:val="128"/>
              <w:rPr>
                <w:rFonts w:ascii="Times New Roman" w:hAnsi="Times New Roman"/>
                <w:snapToGrid w:val="0"/>
              </w:rPr>
            </w:pPr>
            <w:r>
              <w:rPr>
                <w:rFonts w:ascii="Times New Roman" w:hAnsi="Times New Roman"/>
                <w:snapToGrid w:val="0"/>
              </w:rPr>
              <w:t>60</w:t>
            </w:r>
            <w:r>
              <w:rPr>
                <w:rFonts w:hint="eastAsia" w:ascii="Times New Roman" w:hAnsi="Times New Roman"/>
                <w:snapToGrid w:val="0"/>
              </w:rPr>
              <w:t>～</w:t>
            </w:r>
            <w:r>
              <w:rPr>
                <w:rFonts w:ascii="Times New Roman" w:hAnsi="Times New Roman"/>
                <w:snapToGrid w:val="0"/>
              </w:rPr>
              <w:t>80</w:t>
            </w:r>
          </w:p>
        </w:tc>
        <w:tc>
          <w:tcPr>
            <w:tcW w:w="793" w:type="pct"/>
            <w:vAlign w:val="center"/>
          </w:tcPr>
          <w:p>
            <w:pPr>
              <w:pStyle w:val="128"/>
              <w:rPr>
                <w:rFonts w:ascii="Times New Roman" w:hAnsi="Times New Roman"/>
                <w:snapToGrid w:val="0"/>
              </w:rPr>
            </w:pPr>
            <w:r>
              <w:rPr>
                <w:rFonts w:hint="eastAsia" w:ascii="Times New Roman" w:hAnsi="Times New Roman"/>
                <w:snapToGrid w:val="0"/>
              </w:rPr>
              <w:t>建筑物隔声</w:t>
            </w:r>
          </w:p>
        </w:tc>
        <w:tc>
          <w:tcPr>
            <w:tcW w:w="978" w:type="pct"/>
            <w:vAlign w:val="center"/>
          </w:tcPr>
          <w:p>
            <w:pPr>
              <w:pStyle w:val="128"/>
              <w:rPr>
                <w:rFonts w:ascii="Times New Roman" w:hAnsi="Times New Roman"/>
                <w:snapToGrid w:val="0"/>
              </w:rPr>
            </w:pPr>
            <w:r>
              <w:rPr>
                <w:rFonts w:ascii="Times New Roman" w:hAnsi="Times New Roman"/>
                <w:snapToGrid w:val="0"/>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center"/>
          </w:tcPr>
          <w:p>
            <w:pPr>
              <w:pStyle w:val="128"/>
              <w:rPr>
                <w:rFonts w:ascii="Times New Roman" w:hAnsi="Times New Roman"/>
                <w:snapToGrid w:val="0"/>
              </w:rPr>
            </w:pPr>
            <w:r>
              <w:rPr>
                <w:rFonts w:ascii="Times New Roman" w:hAnsi="Times New Roman"/>
                <w:snapToGrid w:val="0"/>
              </w:rPr>
              <w:t>2</w:t>
            </w:r>
          </w:p>
        </w:tc>
        <w:tc>
          <w:tcPr>
            <w:tcW w:w="554" w:type="pct"/>
            <w:vAlign w:val="center"/>
          </w:tcPr>
          <w:p>
            <w:pPr>
              <w:pStyle w:val="128"/>
              <w:rPr>
                <w:rFonts w:ascii="Times New Roman" w:hAnsi="Times New Roman"/>
                <w:snapToGrid w:val="0"/>
              </w:rPr>
            </w:pPr>
            <w:r>
              <w:rPr>
                <w:rFonts w:hint="eastAsia" w:ascii="Times New Roman" w:hAnsi="Times New Roman"/>
                <w:snapToGrid w:val="0"/>
              </w:rPr>
              <w:t>风机</w:t>
            </w:r>
          </w:p>
        </w:tc>
        <w:tc>
          <w:tcPr>
            <w:tcW w:w="951" w:type="pct"/>
            <w:vAlign w:val="center"/>
          </w:tcPr>
          <w:p>
            <w:pPr>
              <w:pStyle w:val="128"/>
              <w:rPr>
                <w:rFonts w:ascii="Times New Roman" w:hAnsi="Times New Roman"/>
                <w:snapToGrid w:val="0"/>
              </w:rPr>
            </w:pPr>
            <w:r>
              <w:rPr>
                <w:rFonts w:hint="eastAsia" w:ascii="Times New Roman" w:hAnsi="Times New Roman"/>
                <w:snapToGrid w:val="0"/>
              </w:rPr>
              <w:t>鸡舍、污水处理站、锅炉房</w:t>
            </w:r>
          </w:p>
        </w:tc>
        <w:tc>
          <w:tcPr>
            <w:tcW w:w="475" w:type="pct"/>
            <w:vAlign w:val="center"/>
          </w:tcPr>
          <w:p>
            <w:pPr>
              <w:pStyle w:val="128"/>
              <w:rPr>
                <w:rFonts w:ascii="Times New Roman" w:hAnsi="Times New Roman"/>
                <w:snapToGrid w:val="0"/>
              </w:rPr>
            </w:pPr>
            <w:r>
              <w:rPr>
                <w:rFonts w:ascii="Times New Roman" w:hAnsi="Times New Roman"/>
                <w:snapToGrid w:val="0"/>
              </w:rPr>
              <w:t>38</w:t>
            </w:r>
          </w:p>
        </w:tc>
        <w:tc>
          <w:tcPr>
            <w:tcW w:w="950" w:type="pct"/>
            <w:vAlign w:val="center"/>
          </w:tcPr>
          <w:p>
            <w:pPr>
              <w:pStyle w:val="128"/>
              <w:rPr>
                <w:rFonts w:ascii="Times New Roman" w:hAnsi="Times New Roman"/>
                <w:snapToGrid w:val="0"/>
              </w:rPr>
            </w:pPr>
            <w:r>
              <w:rPr>
                <w:rFonts w:ascii="Times New Roman" w:hAnsi="Times New Roman"/>
                <w:snapToGrid w:val="0"/>
              </w:rPr>
              <w:t>75~80</w:t>
            </w:r>
          </w:p>
        </w:tc>
        <w:tc>
          <w:tcPr>
            <w:tcW w:w="793" w:type="pct"/>
            <w:vMerge w:val="restart"/>
            <w:vAlign w:val="center"/>
          </w:tcPr>
          <w:p>
            <w:pPr>
              <w:pStyle w:val="128"/>
              <w:rPr>
                <w:rFonts w:ascii="Times New Roman" w:hAnsi="Times New Roman"/>
                <w:snapToGrid w:val="0"/>
              </w:rPr>
            </w:pPr>
            <w:r>
              <w:rPr>
                <w:rFonts w:hint="eastAsia" w:ascii="Times New Roman" w:hAnsi="Times New Roman"/>
                <w:snapToGrid w:val="0"/>
              </w:rPr>
              <w:t>建筑物隔声、基础减振</w:t>
            </w:r>
          </w:p>
        </w:tc>
        <w:tc>
          <w:tcPr>
            <w:tcW w:w="978" w:type="pct"/>
            <w:vAlign w:val="center"/>
          </w:tcPr>
          <w:p>
            <w:pPr>
              <w:pStyle w:val="128"/>
              <w:rPr>
                <w:rFonts w:ascii="Times New Roman" w:hAnsi="Times New Roman"/>
                <w:snapToGrid w:val="0"/>
              </w:rPr>
            </w:pPr>
            <w:r>
              <w:rPr>
                <w:rFonts w:ascii="Times New Roman" w:hAnsi="Times New Roman"/>
                <w:snapToGrid w:val="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Align w:val="center"/>
          </w:tcPr>
          <w:p>
            <w:pPr>
              <w:pStyle w:val="128"/>
              <w:rPr>
                <w:rFonts w:ascii="Times New Roman" w:hAnsi="Times New Roman"/>
                <w:snapToGrid w:val="0"/>
              </w:rPr>
            </w:pPr>
            <w:r>
              <w:rPr>
                <w:rFonts w:ascii="Times New Roman" w:hAnsi="Times New Roman"/>
                <w:snapToGrid w:val="0"/>
              </w:rPr>
              <w:t>3</w:t>
            </w:r>
          </w:p>
        </w:tc>
        <w:tc>
          <w:tcPr>
            <w:tcW w:w="554" w:type="pct"/>
            <w:vAlign w:val="center"/>
          </w:tcPr>
          <w:p>
            <w:pPr>
              <w:pStyle w:val="128"/>
              <w:rPr>
                <w:rFonts w:ascii="Times New Roman" w:hAnsi="Times New Roman"/>
                <w:snapToGrid w:val="0"/>
              </w:rPr>
            </w:pPr>
            <w:r>
              <w:rPr>
                <w:rFonts w:hint="eastAsia" w:ascii="Times New Roman" w:hAnsi="Times New Roman"/>
                <w:snapToGrid w:val="0"/>
              </w:rPr>
              <w:t>水泵</w:t>
            </w:r>
          </w:p>
        </w:tc>
        <w:tc>
          <w:tcPr>
            <w:tcW w:w="951" w:type="pct"/>
            <w:vAlign w:val="center"/>
          </w:tcPr>
          <w:p>
            <w:pPr>
              <w:pStyle w:val="128"/>
              <w:rPr>
                <w:rFonts w:ascii="Times New Roman" w:hAnsi="Times New Roman"/>
                <w:snapToGrid w:val="0"/>
              </w:rPr>
            </w:pPr>
            <w:r>
              <w:rPr>
                <w:rFonts w:hint="eastAsia" w:ascii="Times New Roman" w:hAnsi="Times New Roman"/>
                <w:snapToGrid w:val="0"/>
              </w:rPr>
              <w:t>办公室</w:t>
            </w:r>
          </w:p>
        </w:tc>
        <w:tc>
          <w:tcPr>
            <w:tcW w:w="475" w:type="pct"/>
            <w:vAlign w:val="center"/>
          </w:tcPr>
          <w:p>
            <w:pPr>
              <w:pStyle w:val="128"/>
              <w:rPr>
                <w:rFonts w:ascii="Times New Roman" w:hAnsi="Times New Roman"/>
                <w:snapToGrid w:val="0"/>
              </w:rPr>
            </w:pPr>
            <w:r>
              <w:rPr>
                <w:rFonts w:ascii="Times New Roman" w:hAnsi="Times New Roman"/>
                <w:snapToGrid w:val="0"/>
              </w:rPr>
              <w:t>2</w:t>
            </w:r>
          </w:p>
        </w:tc>
        <w:tc>
          <w:tcPr>
            <w:tcW w:w="950" w:type="pct"/>
            <w:vAlign w:val="center"/>
          </w:tcPr>
          <w:p>
            <w:pPr>
              <w:pStyle w:val="128"/>
              <w:rPr>
                <w:rFonts w:ascii="Times New Roman" w:hAnsi="Times New Roman"/>
                <w:snapToGrid w:val="0"/>
              </w:rPr>
            </w:pPr>
            <w:r>
              <w:rPr>
                <w:rFonts w:ascii="Times New Roman" w:hAnsi="Times New Roman"/>
                <w:snapToGrid w:val="0"/>
              </w:rPr>
              <w:t>70</w:t>
            </w:r>
            <w:r>
              <w:rPr>
                <w:rFonts w:hint="eastAsia" w:ascii="Times New Roman" w:hAnsi="Times New Roman"/>
                <w:snapToGrid w:val="0"/>
              </w:rPr>
              <w:t>～</w:t>
            </w:r>
            <w:r>
              <w:rPr>
                <w:rFonts w:ascii="Times New Roman" w:hAnsi="Times New Roman"/>
                <w:snapToGrid w:val="0"/>
              </w:rPr>
              <w:t>75</w:t>
            </w:r>
          </w:p>
        </w:tc>
        <w:tc>
          <w:tcPr>
            <w:tcW w:w="793" w:type="pct"/>
            <w:vMerge w:val="continue"/>
            <w:vAlign w:val="center"/>
          </w:tcPr>
          <w:p>
            <w:pPr>
              <w:rPr>
                <w:snapToGrid w:val="0"/>
                <w:szCs w:val="22"/>
                <w:lang w:val="zh-CN"/>
              </w:rPr>
            </w:pPr>
          </w:p>
        </w:tc>
        <w:tc>
          <w:tcPr>
            <w:tcW w:w="978" w:type="pct"/>
            <w:vAlign w:val="center"/>
          </w:tcPr>
          <w:p>
            <w:pPr>
              <w:pStyle w:val="128"/>
              <w:rPr>
                <w:rFonts w:ascii="Times New Roman" w:hAnsi="Times New Roman"/>
                <w:snapToGrid w:val="0"/>
              </w:rPr>
            </w:pPr>
            <w:r>
              <w:rPr>
                <w:rFonts w:ascii="Times New Roman" w:hAnsi="Times New Roman"/>
                <w:snapToGrid w:val="0"/>
              </w:rPr>
              <w:t>55</w:t>
            </w:r>
          </w:p>
        </w:tc>
      </w:tr>
      <w:bookmarkEnd w:id="63"/>
    </w:tbl>
    <w:p>
      <w:pPr>
        <w:pStyle w:val="40"/>
        <w:keepNext/>
        <w:keepLines/>
        <w:spacing w:before="0" w:after="0" w:line="480" w:lineRule="exact"/>
        <w:ind w:firstLine="0" w:firstLineChars="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5</w:t>
      </w:r>
      <w:r>
        <w:rPr>
          <w:rFonts w:ascii="Times New Roman" w:hAnsi="Times New Roman" w:eastAsia="宋体"/>
          <w:b/>
        </w:rPr>
        <w:t>.</w:t>
      </w:r>
      <w:r>
        <w:rPr>
          <w:rFonts w:hint="eastAsia" w:ascii="Times New Roman" w:hAnsi="Times New Roman" w:eastAsia="宋体"/>
          <w:b/>
        </w:rPr>
        <w:t>5总量控制</w:t>
      </w:r>
    </w:p>
    <w:p>
      <w:pPr>
        <w:spacing w:line="480" w:lineRule="exact"/>
        <w:ind w:firstLine="480" w:firstLineChars="200"/>
        <w:rPr>
          <w:kern w:val="0"/>
          <w:sz w:val="24"/>
        </w:rPr>
      </w:pPr>
      <w:r>
        <w:rPr>
          <w:kern w:val="0"/>
          <w:sz w:val="24"/>
        </w:rPr>
        <w:t>根据晋环发【2015】25号山西省环保厅建设项目主要污染物排放总量核定办法中的第三条规定：属于环境统计重点工业源调查行业范围内（《国民经济行业分类》（GB/T4754）中采矿业、制造业，电力、燃气及水的生产和供应业，3个门类39个行业）新增主要污染物排放总量的建设项目，在环境影响评价文件审批前，建设单位需按本办法规定取得主要污染物排放总量指标。</w:t>
      </w:r>
    </w:p>
    <w:p>
      <w:pPr>
        <w:spacing w:line="480" w:lineRule="exact"/>
        <w:ind w:firstLine="480" w:firstLineChars="200"/>
        <w:rPr>
          <w:kern w:val="0"/>
          <w:sz w:val="24"/>
        </w:rPr>
      </w:pPr>
      <w:r>
        <w:rPr>
          <w:kern w:val="0"/>
          <w:sz w:val="24"/>
        </w:rPr>
        <w:t>根据污染物排放情况，此次评价给出总量控制建议指标为：</w:t>
      </w:r>
      <w:r>
        <w:rPr>
          <w:rFonts w:hint="eastAsia"/>
          <w:kern w:val="0"/>
          <w:sz w:val="24"/>
        </w:rPr>
        <w:t>烟尘0</w:t>
      </w:r>
      <w:r>
        <w:rPr>
          <w:kern w:val="0"/>
          <w:sz w:val="24"/>
        </w:rPr>
        <w:t>.12</w:t>
      </w:r>
      <w:r>
        <w:rPr>
          <w:rFonts w:hint="eastAsia"/>
          <w:kern w:val="0"/>
          <w:sz w:val="24"/>
        </w:rPr>
        <w:t>t/a，氮氧化物</w:t>
      </w:r>
      <w:r>
        <w:rPr>
          <w:kern w:val="0"/>
          <w:sz w:val="24"/>
        </w:rPr>
        <w:t>1.2</w:t>
      </w:r>
      <w:r>
        <w:rPr>
          <w:rFonts w:hint="eastAsia"/>
          <w:kern w:val="0"/>
          <w:sz w:val="24"/>
        </w:rPr>
        <w:t>t/a</w:t>
      </w:r>
      <w:r>
        <w:rPr>
          <w:kern w:val="0"/>
          <w:sz w:val="24"/>
        </w:rPr>
        <w:t>。</w:t>
      </w:r>
      <w:r>
        <w:rPr>
          <w:rFonts w:hint="eastAsia"/>
          <w:kern w:val="0"/>
          <w:sz w:val="24"/>
        </w:rPr>
        <w:t>吕梁市生态环境局汾阳分局以汾环函[</w:t>
      </w:r>
      <w:r>
        <w:rPr>
          <w:kern w:val="0"/>
          <w:sz w:val="24"/>
        </w:rPr>
        <w:t>2019]111</w:t>
      </w:r>
      <w:r>
        <w:rPr>
          <w:rFonts w:hint="eastAsia"/>
          <w:kern w:val="0"/>
          <w:sz w:val="24"/>
        </w:rPr>
        <w:t>号文件对本项目污染物排放总量控制指标予以核定，本项目污染物排放总量符合总量控制的要求。</w:t>
      </w:r>
    </w:p>
    <w:p>
      <w:pPr>
        <w:spacing w:line="480" w:lineRule="exact"/>
        <w:ind w:firstLine="504" w:firstLineChars="200"/>
        <w:rPr>
          <w:rFonts w:ascii="黑体" w:hAnsi="黑体" w:eastAsia="黑体"/>
          <w:bCs/>
          <w:spacing w:val="6"/>
          <w:sz w:val="24"/>
        </w:rPr>
      </w:pPr>
    </w:p>
    <w:p>
      <w:pPr>
        <w:spacing w:line="480" w:lineRule="exact"/>
        <w:ind w:firstLine="480" w:firstLineChars="200"/>
        <w:rPr>
          <w:rFonts w:ascii="黑体" w:hAnsi="黑体" w:eastAsia="黑体"/>
          <w:bCs/>
          <w:sz w:val="24"/>
          <w:szCs w:val="24"/>
        </w:rPr>
      </w:pPr>
    </w:p>
    <w:p>
      <w:pPr>
        <w:spacing w:line="480" w:lineRule="exact"/>
        <w:ind w:firstLine="480" w:firstLineChars="200"/>
        <w:rPr>
          <w:bCs/>
          <w:sz w:val="24"/>
          <w:szCs w:val="24"/>
        </w:rPr>
        <w:sectPr>
          <w:pgSz w:w="11906" w:h="16838"/>
          <w:pgMar w:top="1418" w:right="1531" w:bottom="1418" w:left="1531" w:header="851" w:footer="992" w:gutter="0"/>
          <w:cols w:space="425" w:num="1"/>
          <w:docGrid w:type="linesAndChars" w:linePitch="312" w:charSpace="0"/>
        </w:sectPr>
      </w:pPr>
    </w:p>
    <w:p>
      <w:pPr>
        <w:spacing w:line="720" w:lineRule="auto"/>
        <w:jc w:val="center"/>
        <w:outlineLvl w:val="0"/>
        <w:rPr>
          <w:rFonts w:hAnsi="黑体" w:eastAsia="黑体"/>
          <w:b/>
          <w:bCs/>
          <w:sz w:val="44"/>
          <w:szCs w:val="44"/>
        </w:rPr>
      </w:pPr>
      <w:bookmarkStart w:id="65" w:name="_Toc19105460"/>
      <w:r>
        <w:rPr>
          <w:rFonts w:hint="eastAsia" w:hAnsi="黑体" w:eastAsia="黑体"/>
          <w:b/>
          <w:bCs/>
          <w:sz w:val="44"/>
          <w:szCs w:val="44"/>
        </w:rPr>
        <w:t xml:space="preserve">4 </w:t>
      </w:r>
      <w:r>
        <w:rPr>
          <w:rFonts w:hAnsi="黑体" w:eastAsia="黑体"/>
          <w:b/>
          <w:bCs/>
          <w:sz w:val="44"/>
          <w:szCs w:val="44"/>
        </w:rPr>
        <w:t>环境</w:t>
      </w:r>
      <w:r>
        <w:rPr>
          <w:rFonts w:hint="eastAsia" w:hAnsi="黑体" w:eastAsia="黑体"/>
          <w:b/>
          <w:bCs/>
          <w:sz w:val="44"/>
          <w:szCs w:val="44"/>
        </w:rPr>
        <w:t>现状调查与评价</w:t>
      </w:r>
      <w:bookmarkEnd w:id="65"/>
    </w:p>
    <w:p>
      <w:pPr>
        <w:pStyle w:val="57"/>
        <w:keepNext/>
        <w:keepLines/>
        <w:spacing w:before="156" w:beforeLines="50" w:after="0" w:line="480" w:lineRule="exact"/>
        <w:ind w:firstLine="0" w:firstLineChars="0"/>
        <w:outlineLvl w:val="1"/>
        <w:rPr>
          <w:rFonts w:eastAsia="黑体"/>
          <w:b/>
          <w:sz w:val="28"/>
          <w:szCs w:val="28"/>
        </w:rPr>
      </w:pPr>
      <w:bookmarkStart w:id="66" w:name="_Toc19105461"/>
      <w:r>
        <w:rPr>
          <w:rFonts w:eastAsia="黑体"/>
          <w:b/>
          <w:sz w:val="28"/>
          <w:szCs w:val="28"/>
        </w:rPr>
        <w:t>4.1</w:t>
      </w:r>
      <w:r>
        <w:rPr>
          <w:rFonts w:hint="eastAsia" w:eastAsia="黑体"/>
          <w:b/>
          <w:sz w:val="28"/>
          <w:szCs w:val="28"/>
        </w:rPr>
        <w:t>自然环境现状调查与评价</w:t>
      </w:r>
      <w:bookmarkEnd w:id="66"/>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w:t>
      </w:r>
      <w:r>
        <w:rPr>
          <w:rFonts w:ascii="Times New Roman" w:hAnsi="Times New Roman" w:eastAsia="宋体"/>
          <w:b/>
        </w:rPr>
        <w:t>.</w:t>
      </w:r>
      <w:r>
        <w:rPr>
          <w:rFonts w:hint="eastAsia" w:ascii="Times New Roman" w:hAnsi="Times New Roman" w:eastAsia="宋体"/>
          <w:b/>
        </w:rPr>
        <w:t>1</w:t>
      </w:r>
      <w:r>
        <w:rPr>
          <w:rFonts w:ascii="Times New Roman" w:hAnsi="Times New Roman" w:eastAsia="宋体"/>
          <w:b/>
        </w:rPr>
        <w:t>.1</w:t>
      </w:r>
      <w:r>
        <w:rPr>
          <w:rFonts w:hint="eastAsia" w:ascii="宋体" w:hAnsi="宋体" w:eastAsia="宋体"/>
          <w:b/>
        </w:rPr>
        <w:t>地理位置</w:t>
      </w:r>
    </w:p>
    <w:p>
      <w:pPr>
        <w:spacing w:line="480" w:lineRule="exact"/>
        <w:ind w:firstLine="480" w:firstLineChars="200"/>
        <w:rPr>
          <w:bCs/>
          <w:sz w:val="24"/>
          <w:szCs w:val="24"/>
        </w:rPr>
      </w:pPr>
      <w:r>
        <w:rPr>
          <w:bCs/>
          <w:sz w:val="24"/>
          <w:szCs w:val="24"/>
        </w:rPr>
        <w:t>汾阳市地处省会太原西南，吕梁山东麓，汾河水西沿。东与平遥、介休县接壤，南与孝义县相接，西与中阳、离石县毗邻，北与文水县相连。县境东西长52km，南北宽45km，总面积1178.91km</w:t>
      </w:r>
      <w:r>
        <w:rPr>
          <w:bCs/>
          <w:sz w:val="24"/>
          <w:szCs w:val="24"/>
          <w:vertAlign w:val="superscript"/>
        </w:rPr>
        <w:t>2</w:t>
      </w:r>
      <w:r>
        <w:rPr>
          <w:bCs/>
          <w:sz w:val="24"/>
          <w:szCs w:val="24"/>
        </w:rPr>
        <w:t>，地理坐标界与北纬37°8′50″~37°29′10″，东经111°20′50″~112°00′24″。</w:t>
      </w:r>
    </w:p>
    <w:p>
      <w:pPr>
        <w:spacing w:line="480" w:lineRule="exact"/>
        <w:ind w:firstLine="480" w:firstLineChars="200"/>
        <w:rPr>
          <w:bCs/>
          <w:sz w:val="24"/>
          <w:szCs w:val="24"/>
        </w:rPr>
      </w:pPr>
      <w:r>
        <w:rPr>
          <w:rFonts w:hint="eastAsia"/>
          <w:bCs/>
          <w:sz w:val="24"/>
          <w:szCs w:val="24"/>
        </w:rPr>
        <w:t>山西省汾阳市峪道河镇是汾阳市古镇之一，位于汾阳市区西北五公里处。境内山、丘、川地形并存，有国有林场2座，分别是向阳林场、白虎岭林场，原始森林30万亩。境内交通区位优势突出，太汾高速公路、太中银铁路和307国道穿境而过。全镇人口2.3万人，镇域面积303平方公里，下辖38个行政村，镇党委、政府驻李家沟村。</w:t>
      </w:r>
    </w:p>
    <w:p>
      <w:pPr>
        <w:spacing w:line="480" w:lineRule="exact"/>
        <w:ind w:firstLine="480" w:firstLineChars="200"/>
        <w:rPr>
          <w:bCs/>
          <w:sz w:val="24"/>
          <w:szCs w:val="24"/>
        </w:rPr>
      </w:pPr>
      <w:r>
        <w:rPr>
          <w:rFonts w:hint="eastAsia" w:hAnsi="宋体"/>
          <w:bCs/>
          <w:kern w:val="0"/>
          <w:sz w:val="24"/>
          <w:szCs w:val="24"/>
        </w:rPr>
        <w:t>“汾阳市褚凤肉鸡养殖项目”</w:t>
      </w:r>
      <w:r>
        <w:rPr>
          <w:rFonts w:hint="eastAsia"/>
          <w:bCs/>
          <w:sz w:val="24"/>
          <w:szCs w:val="24"/>
        </w:rPr>
        <w:t>建设厂址位于</w:t>
      </w:r>
      <w:r>
        <w:rPr>
          <w:rFonts w:hint="eastAsia" w:hAnsi="宋体"/>
          <w:bCs/>
          <w:kern w:val="0"/>
          <w:sz w:val="24"/>
          <w:szCs w:val="24"/>
        </w:rPr>
        <w:t>汾阳市峪道河镇田褚村</w:t>
      </w:r>
      <w:r>
        <w:rPr>
          <w:rFonts w:hint="eastAsia"/>
          <w:bCs/>
          <w:sz w:val="24"/>
          <w:szCs w:val="24"/>
        </w:rPr>
        <w:t>西侧约1km处；厂址中心点坐标为</w:t>
      </w:r>
      <w:r>
        <w:rPr>
          <w:bCs/>
          <w:sz w:val="24"/>
          <w:szCs w:val="24"/>
        </w:rPr>
        <w:t>E 111.769097</w:t>
      </w:r>
      <w:r>
        <w:rPr>
          <w:rFonts w:hint="eastAsia"/>
          <w:bCs/>
          <w:sz w:val="24"/>
          <w:szCs w:val="24"/>
        </w:rPr>
        <w:t>°，</w:t>
      </w:r>
      <w:r>
        <w:rPr>
          <w:bCs/>
          <w:sz w:val="24"/>
          <w:szCs w:val="24"/>
        </w:rPr>
        <w:t>N 37.331297</w:t>
      </w:r>
      <w:r>
        <w:rPr>
          <w:rFonts w:hint="eastAsia"/>
          <w:bCs/>
          <w:sz w:val="24"/>
          <w:szCs w:val="24"/>
        </w:rPr>
        <w:t>°。</w:t>
      </w:r>
    </w:p>
    <w:p>
      <w:pPr>
        <w:spacing w:line="480" w:lineRule="exact"/>
        <w:ind w:firstLine="480" w:firstLineChars="200"/>
        <w:rPr>
          <w:bCs/>
          <w:sz w:val="24"/>
          <w:szCs w:val="24"/>
        </w:rPr>
      </w:pPr>
      <w:r>
        <w:rPr>
          <w:rFonts w:hint="eastAsia"/>
          <w:bCs/>
          <w:sz w:val="24"/>
          <w:szCs w:val="24"/>
        </w:rPr>
        <w:t>本项目</w:t>
      </w:r>
      <w:r>
        <w:rPr>
          <w:bCs/>
          <w:sz w:val="24"/>
          <w:szCs w:val="24"/>
        </w:rPr>
        <w:t>地理位置图见图</w:t>
      </w:r>
      <w:r>
        <w:rPr>
          <w:rFonts w:hint="eastAsia"/>
          <w:bCs/>
          <w:sz w:val="24"/>
          <w:szCs w:val="24"/>
        </w:rPr>
        <w:t>4.1-1</w:t>
      </w:r>
      <w:r>
        <w:rPr>
          <w:bCs/>
          <w:sz w:val="24"/>
          <w:szCs w:val="24"/>
        </w:rPr>
        <w:t>。</w:t>
      </w:r>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w:t>
      </w:r>
      <w:r>
        <w:rPr>
          <w:rFonts w:ascii="Times New Roman" w:hAnsi="Times New Roman" w:eastAsia="宋体"/>
          <w:b/>
        </w:rPr>
        <w:t>.</w:t>
      </w:r>
      <w:r>
        <w:rPr>
          <w:rFonts w:hint="eastAsia" w:ascii="Times New Roman" w:hAnsi="Times New Roman" w:eastAsia="宋体"/>
          <w:b/>
        </w:rPr>
        <w:t>1</w:t>
      </w:r>
      <w:r>
        <w:rPr>
          <w:rFonts w:ascii="Times New Roman" w:hAnsi="Times New Roman" w:eastAsia="宋体"/>
          <w:b/>
        </w:rPr>
        <w:t>.</w:t>
      </w:r>
      <w:r>
        <w:rPr>
          <w:rFonts w:hint="eastAsia" w:ascii="Times New Roman" w:hAnsi="Times New Roman" w:eastAsia="宋体"/>
          <w:b/>
        </w:rPr>
        <w:t>2</w:t>
      </w:r>
      <w:r>
        <w:rPr>
          <w:rFonts w:hint="eastAsia" w:ascii="宋体" w:hAnsi="宋体" w:eastAsia="宋体"/>
          <w:b/>
        </w:rPr>
        <w:t>地形地貌</w:t>
      </w:r>
    </w:p>
    <w:p>
      <w:pPr>
        <w:spacing w:line="480" w:lineRule="exact"/>
        <w:ind w:firstLine="480" w:firstLineChars="200"/>
        <w:rPr>
          <w:bCs/>
          <w:sz w:val="24"/>
        </w:rPr>
      </w:pPr>
      <w:r>
        <w:rPr>
          <w:bCs/>
          <w:sz w:val="24"/>
        </w:rPr>
        <w:t>汾阳地势西北高、东南低，西北部有薛公岭、黄栌岭、白虎岭等西北—东南走向的山峰耸立，属吕梁山脉。东部、东南部为冲击平原区，属太原盆地，在山川之间，有黄土覆盖的丘陵相连接，其形右舒左促，凹凸不齐，按地貌单元可分为山地、丘陵、平原三部分。</w:t>
      </w:r>
    </w:p>
    <w:p>
      <w:pPr>
        <w:spacing w:line="480" w:lineRule="exact"/>
        <w:ind w:firstLine="480" w:firstLineChars="200"/>
        <w:rPr>
          <w:bCs/>
          <w:sz w:val="24"/>
        </w:rPr>
      </w:pPr>
      <w:r>
        <w:rPr>
          <w:bCs/>
          <w:sz w:val="24"/>
        </w:rPr>
        <w:t>（1）山地</w:t>
      </w:r>
    </w:p>
    <w:p>
      <w:pPr>
        <w:spacing w:line="480" w:lineRule="exact"/>
        <w:ind w:firstLine="480" w:firstLineChars="200"/>
        <w:rPr>
          <w:bCs/>
          <w:sz w:val="24"/>
        </w:rPr>
      </w:pPr>
      <w:r>
        <w:rPr>
          <w:bCs/>
          <w:sz w:val="24"/>
        </w:rPr>
        <w:t>位于县境西北部，为吕梁山正脊部分。海拔平均在1200～2094米，相对高差858米，面积444平方公里，占全县总面积的37.65％。山区山高坡陡，沟深石多，地表主要为前寒武系古老岩系及寒武、奥陶系碳酸盐分布，并有第四系松散堆积物覆盖，植被繁茂。区内，头道川河发源于王虎庄由西向东流经本区，河北岸为穹窿高中山区，海拔1800～2094米，地表切割强烈，切割密度为251~500米/平方公里，切割深度为500～1000米。冲沟发育，沟谷狭窄，呈“V”字型，坡度为45°左右，谷壁多见陡崖。</w:t>
      </w:r>
    </w:p>
    <w:p>
      <w:pPr>
        <w:spacing w:line="480" w:lineRule="exact"/>
        <w:ind w:firstLine="480" w:firstLineChars="200"/>
        <w:rPr>
          <w:bCs/>
          <w:sz w:val="24"/>
        </w:rPr>
      </w:pPr>
      <w:r>
        <w:rPr>
          <w:bCs/>
          <w:sz w:val="24"/>
        </w:rPr>
        <w:t>（2）丘陵</w:t>
      </w:r>
    </w:p>
    <w:p>
      <w:pPr>
        <w:spacing w:line="480" w:lineRule="exact"/>
        <w:ind w:firstLine="480" w:firstLineChars="200"/>
        <w:rPr>
          <w:bCs/>
          <w:sz w:val="24"/>
        </w:rPr>
      </w:pPr>
      <w:r>
        <w:rPr>
          <w:bCs/>
          <w:sz w:val="24"/>
        </w:rPr>
        <w:t>位于县城西北和西南部，海拔在800～1200米之间，相对高差400米，面积为348平方公里，占全县总面积的29.51%。此区内，东部为黄土台地，西南为墚状黄土丘陵。丘壑地区，沟壑纵横，天然植被稀少，水土流失严重。黄土台地为缓浅沟，切割密度250～500米/平方公里。</w:t>
      </w:r>
    </w:p>
    <w:p>
      <w:pPr>
        <w:spacing w:line="480" w:lineRule="exact"/>
        <w:ind w:firstLine="480" w:firstLineChars="200"/>
        <w:rPr>
          <w:bCs/>
          <w:sz w:val="24"/>
        </w:rPr>
      </w:pPr>
      <w:r>
        <w:rPr>
          <w:bCs/>
          <w:sz w:val="24"/>
        </w:rPr>
        <w:t>（3）平原</w:t>
      </w:r>
    </w:p>
    <w:p>
      <w:pPr>
        <w:spacing w:line="480" w:lineRule="exact"/>
        <w:ind w:firstLine="480" w:firstLineChars="200"/>
        <w:rPr>
          <w:bCs/>
          <w:sz w:val="24"/>
        </w:rPr>
      </w:pPr>
      <w:r>
        <w:rPr>
          <w:bCs/>
          <w:sz w:val="24"/>
        </w:rPr>
        <w:t>位于县城东部和东南部，为太原盆地的一部分，海拔750米左右，面积387平方公里，占全县总面积的32.82%，为主要农作物耕作区。以离石黄土为主，并夹有亚粘土和亚砂土。地面平坦，微向盆地中心倾斜。地面坡度3°</w:t>
      </w:r>
      <w:r>
        <w:rPr>
          <w:rFonts w:hint="eastAsia"/>
          <w:bCs/>
          <w:sz w:val="24"/>
        </w:rPr>
        <w:t>~</w:t>
      </w:r>
      <w:r>
        <w:rPr>
          <w:bCs/>
          <w:sz w:val="24"/>
        </w:rPr>
        <w:t>8°。地表切割密度在250米/平方公里以下，切割深度50米左右。</w:t>
      </w:r>
    </w:p>
    <w:p>
      <w:pPr>
        <w:spacing w:line="480" w:lineRule="exact"/>
        <w:ind w:firstLine="480" w:firstLineChars="200"/>
        <w:rPr>
          <w:bCs/>
          <w:sz w:val="24"/>
          <w:szCs w:val="24"/>
        </w:rPr>
      </w:pPr>
      <w:r>
        <w:rPr>
          <w:rFonts w:hint="eastAsia"/>
          <w:bCs/>
          <w:sz w:val="24"/>
        </w:rPr>
        <w:t>本项目建设厂址位于丘陵地区，</w:t>
      </w:r>
      <w:r>
        <w:rPr>
          <w:bCs/>
          <w:sz w:val="24"/>
        </w:rPr>
        <w:t>场地地形相对较为平坦</w:t>
      </w:r>
      <w:r>
        <w:rPr>
          <w:rFonts w:hint="eastAsia"/>
          <w:bCs/>
          <w:sz w:val="24"/>
        </w:rPr>
        <w:t>，适合本项目建设。</w:t>
      </w:r>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w:t>
      </w:r>
      <w:r>
        <w:rPr>
          <w:rFonts w:ascii="Times New Roman" w:hAnsi="Times New Roman" w:eastAsia="宋体"/>
          <w:b/>
        </w:rPr>
        <w:t>.</w:t>
      </w:r>
      <w:r>
        <w:rPr>
          <w:rFonts w:hint="eastAsia" w:ascii="Times New Roman" w:hAnsi="Times New Roman" w:eastAsia="宋体"/>
          <w:b/>
        </w:rPr>
        <w:t>1</w:t>
      </w:r>
      <w:r>
        <w:rPr>
          <w:rFonts w:ascii="Times New Roman" w:hAnsi="Times New Roman" w:eastAsia="宋体"/>
          <w:b/>
        </w:rPr>
        <w:t>.</w:t>
      </w:r>
      <w:r>
        <w:rPr>
          <w:rFonts w:hint="eastAsia" w:ascii="Times New Roman" w:hAnsi="Times New Roman" w:eastAsia="宋体"/>
          <w:b/>
        </w:rPr>
        <w:t>3</w:t>
      </w:r>
      <w:r>
        <w:rPr>
          <w:rFonts w:hint="eastAsia" w:ascii="宋体" w:hAnsi="宋体" w:eastAsia="宋体"/>
          <w:b/>
        </w:rPr>
        <w:t>地质</w:t>
      </w:r>
    </w:p>
    <w:p>
      <w:pPr>
        <w:pStyle w:val="59"/>
        <w:widowControl w:val="0"/>
        <w:spacing w:line="480" w:lineRule="exact"/>
        <w:ind w:firstLine="480" w:firstLineChars="200"/>
        <w:rPr>
          <w:rFonts w:hAnsi="宋体" w:eastAsia="宋体" w:cs="Times New Roman"/>
        </w:rPr>
      </w:pPr>
      <w:r>
        <w:rPr>
          <w:rFonts w:hint="eastAsia" w:hAnsi="宋体" w:eastAsia="宋体" w:cs="Times New Roman"/>
        </w:rPr>
        <w:t>（1）地层岩性</w:t>
      </w:r>
    </w:p>
    <w:p>
      <w:pPr>
        <w:pStyle w:val="59"/>
        <w:widowControl w:val="0"/>
        <w:spacing w:line="480" w:lineRule="exact"/>
        <w:ind w:firstLine="480" w:firstLineChars="200"/>
        <w:rPr>
          <w:rFonts w:eastAsia="宋体" w:cs="Times New Roman"/>
        </w:rPr>
      </w:pPr>
      <w:r>
        <w:rPr>
          <w:rFonts w:hint="eastAsia" w:hAnsi="宋体" w:eastAsia="宋体" w:cs="Times New Roman"/>
        </w:rPr>
        <w:t>本区大地构造位置处于华北地台山西台背斜吕梁复背斜的东南翼，其沉积基底为一套太古界、元古界的变质岩系。至震旦纪开始有盖层沉积以来，主要发育地层系统有：早古生界寒武系、奥陶系、晚古生界石炭系、二迭系及新生界第三系、第四系。区内地层出露比较齐全，由北东向南西由老至新依次分布。</w:t>
      </w:r>
    </w:p>
    <w:p>
      <w:pPr>
        <w:pStyle w:val="59"/>
        <w:widowControl w:val="0"/>
        <w:spacing w:line="480" w:lineRule="exact"/>
        <w:ind w:firstLine="480" w:firstLineChars="200"/>
        <w:rPr>
          <w:rFonts w:hAnsi="宋体" w:eastAsia="宋体" w:cs="Times New Roman"/>
        </w:rPr>
      </w:pPr>
      <w:r>
        <w:rPr>
          <w:rFonts w:hint="eastAsia" w:hAnsi="宋体" w:eastAsia="宋体" w:cs="Times New Roman"/>
        </w:rPr>
        <w:t>（2）地质构造</w:t>
      </w:r>
    </w:p>
    <w:p>
      <w:pPr>
        <w:pStyle w:val="59"/>
        <w:spacing w:line="480" w:lineRule="exact"/>
        <w:ind w:firstLine="480" w:firstLineChars="200"/>
        <w:rPr>
          <w:rFonts w:ascii="宋体" w:hAnsi="宋体" w:eastAsia="宋体" w:cs="Times New Roman"/>
        </w:rPr>
      </w:pPr>
      <w:r>
        <w:rPr>
          <w:rFonts w:hAnsi="宋体" w:eastAsia="宋体" w:cs="Times New Roman"/>
        </w:rPr>
        <w:t>境内地质构造较为复杂，从太古代到中生代经历了多次地壳运动，在长期不同地应力场作用下，形成了一系列褶皱、断裂。本县大地构造位置处于祁吕贺山字型构造体系的东翼中部。主要构造简述如下：</w:t>
      </w:r>
    </w:p>
    <w:p>
      <w:pPr>
        <w:pStyle w:val="59"/>
        <w:spacing w:line="480" w:lineRule="exact"/>
        <w:ind w:firstLine="480" w:firstLineChars="200"/>
        <w:rPr>
          <w:rFonts w:eastAsia="宋体" w:cs="Times New Roman"/>
        </w:rPr>
      </w:pPr>
      <w:r>
        <w:rPr>
          <w:rFonts w:hint="eastAsia" w:ascii="宋体" w:hAnsi="宋体" w:eastAsia="宋体" w:cs="Times New Roman"/>
        </w:rPr>
        <w:t>①</w:t>
      </w:r>
      <w:r>
        <w:rPr>
          <w:rFonts w:hAnsi="宋体" w:eastAsia="宋体" w:cs="Times New Roman"/>
        </w:rPr>
        <w:t>褶皱构造：</w:t>
      </w:r>
    </w:p>
    <w:p>
      <w:pPr>
        <w:pStyle w:val="59"/>
        <w:spacing w:line="480" w:lineRule="exact"/>
        <w:ind w:firstLine="480" w:firstLineChars="200"/>
        <w:rPr>
          <w:rFonts w:ascii="宋体" w:hAnsi="宋体" w:eastAsia="宋体" w:cs="Times New Roman"/>
        </w:rPr>
      </w:pPr>
      <w:r>
        <w:rPr>
          <w:rFonts w:hAnsi="宋体" w:eastAsia="宋体" w:cs="Times New Roman"/>
        </w:rPr>
        <w:t>境内褶皱构造主要表现为宽缓的向斜和背斜构造，走向多为北东向，在丘陵区，褶曲构造被第三系、第四系地层所覆盖。主要包括：上庄村背斜、瓷盆沟背斜、韩家垣背斜、孝臣村背斜、安家岭向斜、北马庄向斜、高家庄向斜、西阳城之团城向斜、阳泉村向斜等。</w:t>
      </w:r>
    </w:p>
    <w:p>
      <w:pPr>
        <w:pStyle w:val="59"/>
        <w:spacing w:line="480" w:lineRule="exact"/>
        <w:ind w:firstLine="480" w:firstLineChars="200"/>
        <w:rPr>
          <w:rFonts w:eastAsia="宋体" w:cs="Times New Roman"/>
        </w:rPr>
      </w:pPr>
      <w:r>
        <w:rPr>
          <w:rFonts w:hint="eastAsia" w:ascii="宋体" w:hAnsi="宋体" w:eastAsia="宋体" w:cs="Times New Roman"/>
        </w:rPr>
        <w:t>②</w:t>
      </w:r>
      <w:r>
        <w:rPr>
          <w:rFonts w:hAnsi="宋体" w:eastAsia="宋体" w:cs="Times New Roman"/>
        </w:rPr>
        <w:t>断裂构造：</w:t>
      </w:r>
    </w:p>
    <w:p>
      <w:pPr>
        <w:pStyle w:val="59"/>
        <w:spacing w:line="480" w:lineRule="exact"/>
        <w:ind w:firstLine="480" w:firstLineChars="200"/>
        <w:rPr>
          <w:rFonts w:eastAsia="宋体" w:cs="Times New Roman"/>
        </w:rPr>
      </w:pPr>
      <w:r>
        <w:rPr>
          <w:rFonts w:hAnsi="宋体" w:eastAsia="宋体" w:cs="Times New Roman"/>
        </w:rPr>
        <w:t>区内断裂构造较为发育，主要以张性断裂为主。较大断裂多以北东向展布，且多发育于山前及丘陵区，较小断裂则以北西向延伸。主要断裂结构有：</w:t>
      </w:r>
    </w:p>
    <w:p>
      <w:pPr>
        <w:pStyle w:val="59"/>
        <w:spacing w:line="480" w:lineRule="exact"/>
        <w:ind w:firstLine="480" w:firstLineChars="200"/>
        <w:rPr>
          <w:rFonts w:eastAsia="宋体" w:cs="Times New Roman"/>
        </w:rPr>
      </w:pPr>
      <w:r>
        <w:rPr>
          <w:rFonts w:hAnsi="黑体" w:cs="Times New Roman"/>
        </w:rPr>
        <w:t>山底</w:t>
      </w:r>
      <w:r>
        <w:rPr>
          <w:rFonts w:cs="Times New Roman"/>
        </w:rPr>
        <w:t>——</w:t>
      </w:r>
      <w:r>
        <w:rPr>
          <w:rFonts w:hAnsi="黑体" w:cs="Times New Roman"/>
        </w:rPr>
        <w:t>黄采坡正段层</w:t>
      </w:r>
      <w:r>
        <w:rPr>
          <w:rFonts w:eastAsia="宋体" w:cs="Times New Roman"/>
        </w:rPr>
        <w:t xml:space="preserve">  </w:t>
      </w:r>
      <w:r>
        <w:rPr>
          <w:rFonts w:hAnsi="宋体" w:eastAsia="宋体" w:cs="Times New Roman"/>
        </w:rPr>
        <w:t>走向为北</w:t>
      </w:r>
      <w:r>
        <w:rPr>
          <w:rFonts w:eastAsia="宋体" w:cs="Times New Roman"/>
        </w:rPr>
        <w:t>65°</w:t>
      </w:r>
      <w:r>
        <w:rPr>
          <w:rFonts w:hAnsi="宋体" w:eastAsia="宋体" w:cs="Times New Roman"/>
        </w:rPr>
        <w:t>～</w:t>
      </w:r>
      <w:r>
        <w:rPr>
          <w:rFonts w:eastAsia="宋体" w:cs="Times New Roman"/>
        </w:rPr>
        <w:t>75°</w:t>
      </w:r>
      <w:r>
        <w:rPr>
          <w:rFonts w:hAnsi="宋体" w:eastAsia="宋体" w:cs="Times New Roman"/>
        </w:rPr>
        <w:t>东，倾角</w:t>
      </w:r>
      <w:r>
        <w:rPr>
          <w:rFonts w:eastAsia="宋体" w:cs="Times New Roman"/>
        </w:rPr>
        <w:t>50°</w:t>
      </w:r>
      <w:r>
        <w:rPr>
          <w:rFonts w:hAnsi="宋体" w:eastAsia="宋体" w:cs="Times New Roman"/>
        </w:rPr>
        <w:t>～</w:t>
      </w:r>
      <w:r>
        <w:rPr>
          <w:rFonts w:eastAsia="宋体" w:cs="Times New Roman"/>
        </w:rPr>
        <w:t>70°</w:t>
      </w:r>
      <w:r>
        <w:rPr>
          <w:rFonts w:hAnsi="宋体" w:eastAsia="宋体" w:cs="Times New Roman"/>
        </w:rPr>
        <w:t>，断距</w:t>
      </w:r>
      <w:r>
        <w:rPr>
          <w:rFonts w:eastAsia="宋体" w:cs="Times New Roman"/>
        </w:rPr>
        <w:t>250</w:t>
      </w:r>
      <w:r>
        <w:rPr>
          <w:rFonts w:hAnsi="宋体" w:eastAsia="宋体" w:cs="Times New Roman"/>
        </w:rPr>
        <w:t>～</w:t>
      </w:r>
      <w:r>
        <w:rPr>
          <w:rFonts w:eastAsia="宋体" w:cs="Times New Roman"/>
        </w:rPr>
        <w:t>300</w:t>
      </w:r>
      <w:r>
        <w:rPr>
          <w:rFonts w:hAnsi="宋体" w:eastAsia="宋体" w:cs="Times New Roman"/>
        </w:rPr>
        <w:t>米，发育于山区前缘，为活动性高角度正断层，县境内长约</w:t>
      </w:r>
      <w:r>
        <w:rPr>
          <w:rFonts w:eastAsia="宋体" w:cs="Times New Roman"/>
        </w:rPr>
        <w:t>25</w:t>
      </w:r>
      <w:r>
        <w:rPr>
          <w:rFonts w:hAnsi="宋体" w:eastAsia="宋体" w:cs="Times New Roman"/>
        </w:rPr>
        <w:t>公里。神头泉既出露于此断裂带上。</w:t>
      </w:r>
    </w:p>
    <w:p>
      <w:pPr>
        <w:pStyle w:val="59"/>
        <w:spacing w:line="480" w:lineRule="exact"/>
        <w:ind w:firstLine="480" w:firstLineChars="200"/>
        <w:rPr>
          <w:rFonts w:eastAsia="宋体" w:cs="Times New Roman"/>
        </w:rPr>
      </w:pPr>
      <w:r>
        <w:rPr>
          <w:rFonts w:ascii="黑体" w:hAnsi="黑体" w:cs="Times New Roman"/>
        </w:rPr>
        <w:t>桑枣坡——安上断裂</w:t>
      </w:r>
      <w:r>
        <w:rPr>
          <w:rFonts w:eastAsia="宋体" w:cs="Times New Roman"/>
        </w:rPr>
        <w:t xml:space="preserve">  </w:t>
      </w:r>
      <w:r>
        <w:rPr>
          <w:rFonts w:hAnsi="宋体" w:eastAsia="宋体" w:cs="Times New Roman"/>
        </w:rPr>
        <w:t>走向为北</w:t>
      </w:r>
      <w:r>
        <w:rPr>
          <w:rFonts w:eastAsia="宋体" w:cs="Times New Roman"/>
        </w:rPr>
        <w:t>60°</w:t>
      </w:r>
      <w:r>
        <w:rPr>
          <w:rFonts w:hAnsi="宋体" w:eastAsia="宋体" w:cs="Times New Roman"/>
        </w:rPr>
        <w:t>～</w:t>
      </w:r>
      <w:r>
        <w:rPr>
          <w:rFonts w:eastAsia="宋体" w:cs="Times New Roman"/>
        </w:rPr>
        <w:t>65°</w:t>
      </w:r>
      <w:r>
        <w:rPr>
          <w:rFonts w:hAnsi="宋体" w:eastAsia="宋体" w:cs="Times New Roman"/>
        </w:rPr>
        <w:t>东，倾角</w:t>
      </w:r>
      <w:r>
        <w:rPr>
          <w:rFonts w:eastAsia="宋体" w:cs="Times New Roman"/>
        </w:rPr>
        <w:t>80°</w:t>
      </w:r>
      <w:r>
        <w:rPr>
          <w:rFonts w:hAnsi="宋体" w:eastAsia="宋体" w:cs="Times New Roman"/>
        </w:rPr>
        <w:t>～</w:t>
      </w:r>
      <w:r>
        <w:rPr>
          <w:rFonts w:eastAsia="宋体" w:cs="Times New Roman"/>
        </w:rPr>
        <w:t>90°</w:t>
      </w:r>
      <w:r>
        <w:rPr>
          <w:rFonts w:hAnsi="宋体" w:eastAsia="宋体" w:cs="Times New Roman"/>
        </w:rPr>
        <w:t>，断距大于</w:t>
      </w:r>
      <w:r>
        <w:rPr>
          <w:rFonts w:eastAsia="宋体" w:cs="Times New Roman"/>
        </w:rPr>
        <w:t>400</w:t>
      </w:r>
      <w:r>
        <w:rPr>
          <w:rFonts w:hAnsi="宋体" w:eastAsia="宋体" w:cs="Times New Roman"/>
        </w:rPr>
        <w:t>米。沿三泉、桑枣坡、栗家庄、峪道河至安上一带展布，长约</w:t>
      </w:r>
      <w:r>
        <w:rPr>
          <w:rFonts w:eastAsia="宋体" w:cs="Times New Roman"/>
        </w:rPr>
        <w:t>28</w:t>
      </w:r>
      <w:r>
        <w:rPr>
          <w:rFonts w:hAnsi="宋体" w:eastAsia="宋体" w:cs="Times New Roman"/>
        </w:rPr>
        <w:t>公里，为活动性高角度正断层，此断裂带内是太原盆地垂向差异运动较大地段之一。</w:t>
      </w:r>
    </w:p>
    <w:p>
      <w:pPr>
        <w:pStyle w:val="59"/>
        <w:spacing w:line="480" w:lineRule="exact"/>
        <w:ind w:firstLine="480" w:firstLineChars="200"/>
        <w:rPr>
          <w:rFonts w:eastAsia="宋体" w:cs="Times New Roman"/>
        </w:rPr>
      </w:pPr>
      <w:r>
        <w:rPr>
          <w:rFonts w:ascii="黑体" w:hAnsi="黑体" w:cs="Times New Roman"/>
        </w:rPr>
        <w:t>山底——侯家嫣断层</w:t>
      </w:r>
      <w:r>
        <w:rPr>
          <w:rFonts w:eastAsia="宋体" w:cs="Times New Roman"/>
        </w:rPr>
        <w:t xml:space="preserve">  </w:t>
      </w:r>
      <w:r>
        <w:rPr>
          <w:rFonts w:hAnsi="宋体" w:eastAsia="宋体" w:cs="Times New Roman"/>
        </w:rPr>
        <w:t>与上述两断裂呈斜交，走向北</w:t>
      </w:r>
      <w:r>
        <w:rPr>
          <w:rFonts w:eastAsia="宋体" w:cs="Times New Roman"/>
        </w:rPr>
        <w:t>40°</w:t>
      </w:r>
      <w:r>
        <w:rPr>
          <w:rFonts w:hAnsi="宋体" w:eastAsia="宋体" w:cs="Times New Roman"/>
        </w:rPr>
        <w:t>西，北段产状近直立，南段倾角</w:t>
      </w:r>
      <w:r>
        <w:rPr>
          <w:rFonts w:eastAsia="宋体" w:cs="Times New Roman"/>
        </w:rPr>
        <w:t>50°</w:t>
      </w:r>
      <w:r>
        <w:rPr>
          <w:rFonts w:hAnsi="宋体" w:eastAsia="宋体" w:cs="Times New Roman"/>
        </w:rPr>
        <w:t>～</w:t>
      </w:r>
      <w:r>
        <w:rPr>
          <w:rFonts w:eastAsia="宋体" w:cs="Times New Roman"/>
        </w:rPr>
        <w:t>60°</w:t>
      </w:r>
      <w:r>
        <w:rPr>
          <w:rFonts w:hAnsi="宋体" w:eastAsia="宋体" w:cs="Times New Roman"/>
        </w:rPr>
        <w:t>。</w:t>
      </w:r>
    </w:p>
    <w:p>
      <w:pPr>
        <w:pStyle w:val="59"/>
        <w:spacing w:line="480" w:lineRule="exact"/>
        <w:ind w:firstLine="480" w:firstLineChars="200"/>
        <w:rPr>
          <w:rFonts w:eastAsia="宋体" w:cs="Times New Roman"/>
        </w:rPr>
      </w:pPr>
      <w:r>
        <w:rPr>
          <w:rFonts w:ascii="黑体" w:hAnsi="黑体" w:cs="Times New Roman"/>
        </w:rPr>
        <w:t>建昌——申家堡断层</w:t>
      </w:r>
      <w:r>
        <w:rPr>
          <w:rFonts w:eastAsia="宋体" w:cs="Times New Roman"/>
        </w:rPr>
        <w:t xml:space="preserve">  </w:t>
      </w:r>
      <w:r>
        <w:rPr>
          <w:rFonts w:hAnsi="宋体" w:eastAsia="宋体" w:cs="Times New Roman"/>
        </w:rPr>
        <w:t>位于县城南，横贯建昌村及申家堡。走向约北</w:t>
      </w:r>
      <w:r>
        <w:rPr>
          <w:rFonts w:eastAsia="宋体" w:cs="Times New Roman"/>
        </w:rPr>
        <w:t>45°</w:t>
      </w:r>
      <w:r>
        <w:rPr>
          <w:rFonts w:hAnsi="宋体" w:eastAsia="宋体" w:cs="Times New Roman"/>
        </w:rPr>
        <w:t>西，为正断层，断裂石炭、二迭纪地层，并被第四系黄土层覆盖。</w:t>
      </w:r>
    </w:p>
    <w:p>
      <w:pPr>
        <w:pStyle w:val="59"/>
        <w:spacing w:line="480" w:lineRule="exact"/>
        <w:ind w:firstLine="480" w:firstLineChars="200"/>
        <w:rPr>
          <w:rFonts w:eastAsia="宋体" w:cs="Times New Roman"/>
        </w:rPr>
      </w:pPr>
      <w:r>
        <w:rPr>
          <w:rFonts w:ascii="黑体" w:hAnsi="黑体" w:cs="Times New Roman"/>
        </w:rPr>
        <w:t>聂生村断层</w:t>
      </w:r>
      <w:r>
        <w:rPr>
          <w:rFonts w:eastAsia="宋体" w:cs="Times New Roman"/>
        </w:rPr>
        <w:t xml:space="preserve">  </w:t>
      </w:r>
      <w:r>
        <w:rPr>
          <w:rFonts w:hAnsi="宋体" w:eastAsia="宋体" w:cs="Times New Roman"/>
        </w:rPr>
        <w:t>位于巩村、聂生村、仁道村一线，向南伸入孝义县境，断层走向北东</w:t>
      </w:r>
      <w:r>
        <w:rPr>
          <w:rFonts w:eastAsia="宋体" w:cs="Times New Roman"/>
        </w:rPr>
        <w:t>30°</w:t>
      </w:r>
      <w:r>
        <w:rPr>
          <w:rFonts w:hAnsi="宋体" w:eastAsia="宋体" w:cs="Times New Roman"/>
        </w:rPr>
        <w:t>，倾向南东，倾角</w:t>
      </w:r>
      <w:r>
        <w:rPr>
          <w:rFonts w:eastAsia="宋体" w:cs="Times New Roman"/>
        </w:rPr>
        <w:t>70°</w:t>
      </w:r>
      <w:r>
        <w:rPr>
          <w:rFonts w:hAnsi="宋体" w:eastAsia="宋体" w:cs="Times New Roman"/>
        </w:rPr>
        <w:t>，落差在</w:t>
      </w:r>
      <w:r>
        <w:rPr>
          <w:rFonts w:eastAsia="宋体" w:cs="Times New Roman"/>
        </w:rPr>
        <w:t>80</w:t>
      </w:r>
      <w:r>
        <w:rPr>
          <w:rFonts w:hAnsi="宋体" w:eastAsia="宋体" w:cs="Times New Roman"/>
        </w:rPr>
        <w:t>～</w:t>
      </w:r>
      <w:r>
        <w:rPr>
          <w:rFonts w:eastAsia="宋体" w:cs="Times New Roman"/>
        </w:rPr>
        <w:t>130</w:t>
      </w:r>
      <w:r>
        <w:rPr>
          <w:rFonts w:hAnsi="宋体" w:eastAsia="宋体" w:cs="Times New Roman"/>
        </w:rPr>
        <w:t>米之间，延伸长度</w:t>
      </w:r>
      <w:r>
        <w:rPr>
          <w:rFonts w:eastAsia="宋体" w:cs="Times New Roman"/>
        </w:rPr>
        <w:t>22</w:t>
      </w:r>
      <w:r>
        <w:rPr>
          <w:rFonts w:hAnsi="宋体" w:eastAsia="宋体" w:cs="Times New Roman"/>
        </w:rPr>
        <w:t>公里。</w:t>
      </w:r>
    </w:p>
    <w:p>
      <w:pPr>
        <w:pStyle w:val="59"/>
        <w:spacing w:line="480" w:lineRule="exact"/>
        <w:ind w:firstLine="480" w:firstLineChars="200"/>
        <w:rPr>
          <w:rFonts w:eastAsia="宋体" w:cs="Times New Roman"/>
        </w:rPr>
      </w:pPr>
      <w:r>
        <w:rPr>
          <w:rFonts w:ascii="黑体" w:hAnsi="黑体" w:cs="Times New Roman"/>
        </w:rPr>
        <w:t>阳城断层</w:t>
      </w:r>
      <w:r>
        <w:rPr>
          <w:rFonts w:eastAsia="宋体" w:cs="Times New Roman"/>
        </w:rPr>
        <w:t xml:space="preserve">  </w:t>
      </w:r>
      <w:r>
        <w:rPr>
          <w:rFonts w:hAnsi="宋体" w:eastAsia="宋体" w:cs="Times New Roman"/>
        </w:rPr>
        <w:t>位于西阳城至孝臣一带，在西阳城附近切割孝臣背斜，断层走向北</w:t>
      </w:r>
      <w:r>
        <w:rPr>
          <w:rFonts w:eastAsia="宋体" w:cs="Times New Roman"/>
        </w:rPr>
        <w:t>20°</w:t>
      </w:r>
      <w:r>
        <w:rPr>
          <w:rFonts w:hAnsi="宋体" w:eastAsia="宋体" w:cs="Times New Roman"/>
        </w:rPr>
        <w:t>～</w:t>
      </w:r>
      <w:r>
        <w:rPr>
          <w:rFonts w:eastAsia="宋体" w:cs="Times New Roman"/>
        </w:rPr>
        <w:t>35°</w:t>
      </w:r>
      <w:r>
        <w:rPr>
          <w:rFonts w:hAnsi="宋体" w:eastAsia="宋体" w:cs="Times New Roman"/>
        </w:rPr>
        <w:t>东，倾向北西，倾角</w:t>
      </w:r>
      <w:r>
        <w:rPr>
          <w:rFonts w:eastAsia="宋体" w:cs="Times New Roman"/>
        </w:rPr>
        <w:t>70°</w:t>
      </w:r>
      <w:r>
        <w:rPr>
          <w:rFonts w:hAnsi="宋体" w:eastAsia="宋体" w:cs="Times New Roman"/>
        </w:rPr>
        <w:t>，落差</w:t>
      </w:r>
      <w:r>
        <w:rPr>
          <w:rFonts w:eastAsia="宋体" w:cs="Times New Roman"/>
        </w:rPr>
        <w:t>20</w:t>
      </w:r>
      <w:r>
        <w:rPr>
          <w:rFonts w:hAnsi="宋体" w:eastAsia="宋体" w:cs="Times New Roman"/>
        </w:rPr>
        <w:t>米。走向长</w:t>
      </w:r>
      <w:r>
        <w:rPr>
          <w:rFonts w:eastAsia="宋体" w:cs="Times New Roman"/>
        </w:rPr>
        <w:t>3.5</w:t>
      </w:r>
      <w:r>
        <w:rPr>
          <w:rFonts w:hAnsi="宋体" w:eastAsia="宋体" w:cs="Times New Roman"/>
        </w:rPr>
        <w:t>公里。</w:t>
      </w:r>
    </w:p>
    <w:p>
      <w:pPr>
        <w:spacing w:line="480" w:lineRule="exact"/>
        <w:ind w:firstLine="480" w:firstLineChars="200"/>
        <w:rPr>
          <w:bCs/>
          <w:sz w:val="24"/>
          <w:szCs w:val="24"/>
        </w:rPr>
      </w:pPr>
      <w:r>
        <w:rPr>
          <w:rFonts w:hAnsi="宋体"/>
          <w:sz w:val="24"/>
          <w:szCs w:val="24"/>
        </w:rPr>
        <w:t>本项目建设厂址不在上述断层上。</w:t>
      </w:r>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w:t>
      </w:r>
      <w:r>
        <w:rPr>
          <w:rFonts w:ascii="Times New Roman" w:hAnsi="Times New Roman" w:eastAsia="宋体"/>
          <w:b/>
        </w:rPr>
        <w:t>.</w:t>
      </w:r>
      <w:r>
        <w:rPr>
          <w:rFonts w:hint="eastAsia" w:ascii="Times New Roman" w:hAnsi="Times New Roman" w:eastAsia="宋体"/>
          <w:b/>
        </w:rPr>
        <w:t>1</w:t>
      </w:r>
      <w:r>
        <w:rPr>
          <w:rFonts w:ascii="Times New Roman" w:hAnsi="Times New Roman" w:eastAsia="宋体"/>
          <w:b/>
        </w:rPr>
        <w:t>.</w:t>
      </w:r>
      <w:r>
        <w:rPr>
          <w:rFonts w:hint="eastAsia" w:ascii="Times New Roman" w:hAnsi="Times New Roman" w:eastAsia="宋体"/>
          <w:b/>
        </w:rPr>
        <w:t>4</w:t>
      </w:r>
      <w:r>
        <w:rPr>
          <w:rFonts w:hint="eastAsia" w:ascii="宋体" w:hAnsi="宋体" w:eastAsia="宋体"/>
          <w:b/>
        </w:rPr>
        <w:t>水资源</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1</w:t>
      </w:r>
      <w:r>
        <w:rPr>
          <w:b/>
        </w:rPr>
        <w:t>.</w:t>
      </w:r>
      <w:r>
        <w:rPr>
          <w:rFonts w:hint="eastAsia"/>
          <w:b/>
        </w:rPr>
        <w:t>4</w:t>
      </w:r>
      <w:r>
        <w:rPr>
          <w:b/>
        </w:rPr>
        <w:t>.</w:t>
      </w:r>
      <w:r>
        <w:rPr>
          <w:rFonts w:hint="eastAsia"/>
          <w:b/>
        </w:rPr>
        <w:t>1</w:t>
      </w:r>
      <w:r>
        <w:rPr>
          <w:rFonts w:hint="eastAsia" w:ascii="宋体" w:hAnsi="宋体"/>
          <w:b/>
        </w:rPr>
        <w:t>地表水</w:t>
      </w:r>
    </w:p>
    <w:p>
      <w:pPr>
        <w:spacing w:line="480" w:lineRule="exact"/>
        <w:ind w:firstLine="480" w:firstLineChars="200"/>
        <w:rPr>
          <w:bCs/>
          <w:sz w:val="24"/>
        </w:rPr>
      </w:pPr>
      <w:r>
        <w:rPr>
          <w:rFonts w:hint="eastAsia"/>
          <w:bCs/>
          <w:sz w:val="24"/>
        </w:rPr>
        <w:t>本区的河流属于黄河水系，汾河流域。</w:t>
      </w:r>
    </w:p>
    <w:p>
      <w:pPr>
        <w:spacing w:line="480" w:lineRule="exact"/>
        <w:ind w:firstLine="480" w:firstLineChars="200"/>
        <w:rPr>
          <w:bCs/>
          <w:sz w:val="24"/>
        </w:rPr>
      </w:pPr>
      <w:r>
        <w:rPr>
          <w:rFonts w:hint="eastAsia"/>
          <w:bCs/>
          <w:sz w:val="24"/>
        </w:rPr>
        <w:t>汾河：山西省境内最大的河流，是黄河主要支流之一。本市东部平川开渠引汾灌溉至今。汾河在本市境内共有东、西两条干渠。</w:t>
      </w:r>
    </w:p>
    <w:p>
      <w:pPr>
        <w:spacing w:line="480" w:lineRule="exact"/>
        <w:ind w:firstLine="480" w:firstLineChars="200"/>
        <w:rPr>
          <w:bCs/>
          <w:sz w:val="24"/>
        </w:rPr>
      </w:pPr>
      <w:r>
        <w:rPr>
          <w:rFonts w:hint="eastAsia"/>
          <w:bCs/>
          <w:sz w:val="24"/>
        </w:rPr>
        <w:t>文峪河：源于县境西北关帝山一带27条河沟。为汾河支流。沿途有葫芦河、西谷水、二道川、三道川水，西冶河汇入。至西社镇南保村东即入文水县境，最终汇入汾河。河全长155km，本县境内91km，流域面积709km</w:t>
      </w:r>
      <w:r>
        <w:rPr>
          <w:rFonts w:hint="eastAsia"/>
          <w:bCs/>
          <w:sz w:val="24"/>
          <w:vertAlign w:val="superscript"/>
        </w:rPr>
        <w:t>2</w:t>
      </w:r>
      <w:r>
        <w:rPr>
          <w:rFonts w:hint="eastAsia"/>
          <w:bCs/>
          <w:sz w:val="24"/>
        </w:rPr>
        <w:t>。最大洪峰流量达795m</w:t>
      </w:r>
      <w:r>
        <w:rPr>
          <w:rFonts w:hint="eastAsia"/>
          <w:bCs/>
          <w:sz w:val="24"/>
          <w:vertAlign w:val="superscript"/>
        </w:rPr>
        <w:t>3</w:t>
      </w:r>
      <w:r>
        <w:rPr>
          <w:rFonts w:hint="eastAsia"/>
          <w:bCs/>
          <w:sz w:val="24"/>
        </w:rPr>
        <w:t>/s。</w:t>
      </w:r>
    </w:p>
    <w:p>
      <w:pPr>
        <w:spacing w:line="480" w:lineRule="exact"/>
        <w:ind w:firstLine="480" w:firstLineChars="200"/>
        <w:rPr>
          <w:bCs/>
          <w:sz w:val="24"/>
        </w:rPr>
      </w:pPr>
      <w:r>
        <w:rPr>
          <w:rFonts w:hint="eastAsia"/>
          <w:bCs/>
          <w:sz w:val="24"/>
        </w:rPr>
        <w:t>虢义河：又名金沙水、义河、六村河。为洪水河，分为南北两河，南河由孝义北辛安入境，俗称贾壁河，长43公里，流域面积281.7平方公里。北河俗称三泉河、阳泉河，长33.4公里，流域面积129.2平方公里。南北两河在东赵河汇合流经三泉、聂生、董家庄等地，于演武镇北辛庄汇入文峪河。虢义河近年来一直呈干涸状态，基本无水。</w:t>
      </w:r>
    </w:p>
    <w:p>
      <w:pPr>
        <w:spacing w:line="480" w:lineRule="exact"/>
        <w:ind w:firstLine="480" w:firstLineChars="200"/>
        <w:rPr>
          <w:bCs/>
          <w:sz w:val="24"/>
        </w:rPr>
      </w:pPr>
      <w:r>
        <w:rPr>
          <w:rFonts w:hint="eastAsia"/>
          <w:bCs/>
          <w:sz w:val="24"/>
        </w:rPr>
        <w:t>阳城河：为季节性河流。源于薛公岭下王家池的新龙沟，与王谷雨沟、蚂蚁河、西王庄沟三条支流会合后，流经王家池、舍科、杨家庄、靳家庄、河北村、文侯、东阳城、西阳城、北堡、北庄入文峪河，全长30公里，河床均宽30米，最大洪水流量15立方米/秒。</w:t>
      </w:r>
    </w:p>
    <w:p>
      <w:pPr>
        <w:spacing w:line="480" w:lineRule="exact"/>
        <w:ind w:firstLine="480" w:firstLineChars="200"/>
        <w:rPr>
          <w:bCs/>
          <w:sz w:val="24"/>
        </w:rPr>
      </w:pPr>
      <w:r>
        <w:rPr>
          <w:rFonts w:hint="eastAsia"/>
          <w:bCs/>
          <w:sz w:val="24"/>
        </w:rPr>
        <w:t>本建设项目厂址位于峪道河西侧1.15km处。鸡舍冲洗废水、锅炉定排水、软水制备系统排水、生活污水集中收集，经污水处理站处理达《农田灌溉水质标准》（</w:t>
      </w:r>
      <w:r>
        <w:rPr>
          <w:bCs/>
          <w:sz w:val="24"/>
        </w:rPr>
        <w:t>GB5084-2005</w:t>
      </w:r>
      <w:r>
        <w:rPr>
          <w:rFonts w:hint="eastAsia"/>
          <w:bCs/>
          <w:sz w:val="24"/>
        </w:rPr>
        <w:t>）中旱作标准后回用于农田灌溉，不外排。</w:t>
      </w:r>
    </w:p>
    <w:p>
      <w:pPr>
        <w:spacing w:line="480" w:lineRule="exact"/>
        <w:ind w:firstLine="480" w:firstLineChars="200"/>
        <w:rPr>
          <w:bCs/>
          <w:sz w:val="24"/>
          <w:szCs w:val="24"/>
        </w:rPr>
      </w:pPr>
      <w:r>
        <w:rPr>
          <w:rFonts w:hint="eastAsia"/>
          <w:bCs/>
          <w:sz w:val="24"/>
        </w:rPr>
        <w:t>汾阳市水系图见图4.1-2。</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1</w:t>
      </w:r>
      <w:r>
        <w:rPr>
          <w:b/>
        </w:rPr>
        <w:t>.</w:t>
      </w:r>
      <w:r>
        <w:rPr>
          <w:rFonts w:hint="eastAsia"/>
          <w:b/>
        </w:rPr>
        <w:t>4</w:t>
      </w:r>
      <w:r>
        <w:rPr>
          <w:b/>
        </w:rPr>
        <w:t>.</w:t>
      </w:r>
      <w:r>
        <w:rPr>
          <w:rFonts w:hint="eastAsia"/>
          <w:b/>
        </w:rPr>
        <w:t>2</w:t>
      </w:r>
      <w:r>
        <w:rPr>
          <w:rFonts w:hint="eastAsia" w:ascii="宋体" w:hAnsi="宋体"/>
          <w:b/>
        </w:rPr>
        <w:t>地下水</w:t>
      </w:r>
    </w:p>
    <w:p>
      <w:pPr>
        <w:pStyle w:val="59"/>
        <w:spacing w:line="480" w:lineRule="exact"/>
        <w:ind w:firstLine="480" w:firstLineChars="200"/>
        <w:rPr>
          <w:rFonts w:eastAsia="宋体" w:cs="Times New Roman"/>
        </w:rPr>
      </w:pPr>
      <w:r>
        <w:rPr>
          <w:rFonts w:hAnsi="宋体" w:eastAsia="宋体" w:cs="Times New Roman"/>
        </w:rPr>
        <w:t>全市地下水资源总量为</w:t>
      </w:r>
      <w:r>
        <w:rPr>
          <w:rFonts w:eastAsia="宋体" w:cs="Times New Roman"/>
        </w:rPr>
        <w:t>9020</w:t>
      </w:r>
      <w:r>
        <w:rPr>
          <w:rFonts w:hAnsi="宋体" w:eastAsia="宋体" w:cs="Times New Roman"/>
        </w:rPr>
        <w:t>万立方米，可供开发利用量</w:t>
      </w:r>
      <w:r>
        <w:rPr>
          <w:rFonts w:eastAsia="宋体" w:cs="Times New Roman"/>
        </w:rPr>
        <w:t>5393</w:t>
      </w:r>
      <w:r>
        <w:rPr>
          <w:rFonts w:hAnsi="宋体" w:eastAsia="宋体" w:cs="Times New Roman"/>
        </w:rPr>
        <w:t>万立方米。地下水的分布在境内极不平衡，全市</w:t>
      </w:r>
      <w:r>
        <w:rPr>
          <w:rFonts w:eastAsia="宋体" w:cs="Times New Roman"/>
        </w:rPr>
        <w:t>1170</w:t>
      </w:r>
      <w:r>
        <w:rPr>
          <w:rFonts w:hAnsi="宋体" w:eastAsia="宋体" w:cs="Times New Roman"/>
        </w:rPr>
        <w:t>平方公里范围内，有地下水资源开发条件的只有</w:t>
      </w:r>
      <w:r>
        <w:rPr>
          <w:rFonts w:eastAsia="宋体" w:cs="Times New Roman"/>
        </w:rPr>
        <w:t>745.7</w:t>
      </w:r>
      <w:r>
        <w:rPr>
          <w:rFonts w:hAnsi="宋体" w:eastAsia="宋体" w:cs="Times New Roman"/>
        </w:rPr>
        <w:t>平方公里，含</w:t>
      </w:r>
      <w:r>
        <w:rPr>
          <w:rFonts w:eastAsia="宋体" w:cs="Times New Roman"/>
        </w:rPr>
        <w:t xml:space="preserve"> 254</w:t>
      </w:r>
      <w:r>
        <w:rPr>
          <w:rFonts w:hAnsi="宋体" w:eastAsia="宋体" w:cs="Times New Roman"/>
        </w:rPr>
        <w:t>个村，占全市总面积的</w:t>
      </w:r>
      <w:r>
        <w:rPr>
          <w:rFonts w:eastAsia="宋体" w:cs="Times New Roman"/>
        </w:rPr>
        <w:t>64%</w:t>
      </w:r>
      <w:r>
        <w:rPr>
          <w:rFonts w:hAnsi="宋体" w:eastAsia="宋体" w:cs="Times New Roman"/>
        </w:rPr>
        <w:t>，余</w:t>
      </w:r>
      <w:r>
        <w:rPr>
          <w:rFonts w:eastAsia="宋体" w:cs="Times New Roman"/>
        </w:rPr>
        <w:t>424</w:t>
      </w:r>
      <w:r>
        <w:rPr>
          <w:rFonts w:hAnsi="宋体" w:eastAsia="宋体" w:cs="Times New Roman"/>
        </w:rPr>
        <w:t>平方公里，基本无水源开发条件。</w:t>
      </w:r>
    </w:p>
    <w:p>
      <w:pPr>
        <w:pStyle w:val="59"/>
        <w:spacing w:line="480" w:lineRule="exact"/>
        <w:ind w:firstLine="480" w:firstLineChars="200"/>
        <w:rPr>
          <w:rFonts w:eastAsia="宋体" w:cs="Times New Roman"/>
        </w:rPr>
      </w:pPr>
      <w:r>
        <w:rPr>
          <w:rFonts w:hAnsi="宋体" w:eastAsia="宋体" w:cs="Times New Roman"/>
        </w:rPr>
        <w:t>本区地下水在不同的地质地层中储存分布不一，且受地貌形态的影响和地质构造控制。按水文地质情况可分为四大区：</w:t>
      </w:r>
    </w:p>
    <w:p>
      <w:pPr>
        <w:pStyle w:val="59"/>
        <w:spacing w:line="480" w:lineRule="exact"/>
        <w:ind w:firstLine="480" w:firstLineChars="200"/>
        <w:rPr>
          <w:rFonts w:eastAsia="宋体" w:cs="Times New Roman"/>
        </w:rPr>
      </w:pPr>
      <w:r>
        <w:rPr>
          <w:rFonts w:ascii="黑体" w:hAnsi="黑体" w:cs="Times New Roman"/>
        </w:rPr>
        <w:t>基岩山地岩溶、裂隙水区</w:t>
      </w:r>
      <w:r>
        <w:rPr>
          <w:rFonts w:eastAsia="宋体" w:cs="Times New Roman"/>
        </w:rPr>
        <w:t>----</w:t>
      </w:r>
      <w:r>
        <w:rPr>
          <w:rFonts w:hAnsi="宋体" w:eastAsia="宋体" w:cs="Times New Roman"/>
        </w:rPr>
        <w:t>位于任家山底以东</w:t>
      </w:r>
      <w:r>
        <w:rPr>
          <w:rFonts w:eastAsia="宋体" w:cs="Times New Roman"/>
        </w:rPr>
        <w:t>225</w:t>
      </w:r>
      <w:r>
        <w:rPr>
          <w:rFonts w:hAnsi="宋体" w:eastAsia="宋体" w:cs="Times New Roman"/>
        </w:rPr>
        <w:t>平方公里地域，主要含水层为前寒武纪裂隙含水层和寒武、奥陶系岩溶、裂隙含水层，地下水以潜水和承压水形式存在，富水性上组含水层好于下组含水层，一般富水中等，单井出水量</w:t>
      </w:r>
      <w:r>
        <w:rPr>
          <w:rFonts w:eastAsia="宋体" w:cs="Times New Roman"/>
        </w:rPr>
        <w:t>3-15m</w:t>
      </w:r>
      <w:r>
        <w:rPr>
          <w:rFonts w:eastAsia="宋体" w:cs="Times New Roman"/>
          <w:vertAlign w:val="superscript"/>
        </w:rPr>
        <w:t>3</w:t>
      </w:r>
      <w:r>
        <w:rPr>
          <w:rFonts w:eastAsia="宋体" w:cs="Times New Roman"/>
        </w:rPr>
        <w:t>/h</w:t>
      </w:r>
      <w:r>
        <w:rPr>
          <w:rFonts w:hAnsi="宋体" w:eastAsia="宋体" w:cs="Times New Roman"/>
        </w:rPr>
        <w:t>。任家山以西</w:t>
      </w:r>
      <w:r>
        <w:rPr>
          <w:rFonts w:eastAsia="宋体" w:cs="Times New Roman"/>
        </w:rPr>
        <w:t>105</w:t>
      </w:r>
      <w:r>
        <w:rPr>
          <w:rFonts w:hAnsi="宋体" w:eastAsia="宋体" w:cs="Times New Roman"/>
        </w:rPr>
        <w:t>平方公里地域，主要含水层为寒武、奥陶系含水层，富水性较东部弱，单井出水量（</w:t>
      </w:r>
      <w:r>
        <w:rPr>
          <w:rFonts w:eastAsia="宋体" w:cs="Times New Roman"/>
        </w:rPr>
        <w:t>1</w:t>
      </w:r>
      <w:r>
        <w:rPr>
          <w:rFonts w:hAnsi="宋体" w:eastAsia="宋体" w:cs="Times New Roman"/>
        </w:rPr>
        <w:t>吋）</w:t>
      </w:r>
      <w:r>
        <w:rPr>
          <w:rFonts w:eastAsia="宋体" w:cs="Times New Roman"/>
        </w:rPr>
        <w:t>3m</w:t>
      </w:r>
      <w:r>
        <w:rPr>
          <w:rFonts w:eastAsia="宋体" w:cs="Times New Roman"/>
          <w:vertAlign w:val="superscript"/>
        </w:rPr>
        <w:t>3</w:t>
      </w:r>
      <w:r>
        <w:rPr>
          <w:rFonts w:eastAsia="宋体" w:cs="Times New Roman"/>
        </w:rPr>
        <w:t>/h</w:t>
      </w:r>
      <w:r>
        <w:rPr>
          <w:rFonts w:hAnsi="宋体" w:eastAsia="宋体" w:cs="Times New Roman"/>
        </w:rPr>
        <w:t>。</w:t>
      </w:r>
    </w:p>
    <w:p>
      <w:pPr>
        <w:pStyle w:val="59"/>
        <w:spacing w:line="480" w:lineRule="exact"/>
        <w:ind w:firstLine="480" w:firstLineChars="200"/>
        <w:rPr>
          <w:rFonts w:eastAsia="宋体" w:cs="Times New Roman"/>
        </w:rPr>
      </w:pPr>
      <w:r>
        <w:rPr>
          <w:rFonts w:ascii="黑体" w:hAnsi="黑体" w:cs="Times New Roman"/>
        </w:rPr>
        <w:t>台塬丘陵区</w:t>
      </w:r>
      <w:r>
        <w:rPr>
          <w:rFonts w:eastAsia="宋体" w:cs="Times New Roman"/>
        </w:rPr>
        <w:t>----</w:t>
      </w:r>
      <w:r>
        <w:rPr>
          <w:rFonts w:hAnsi="宋体" w:eastAsia="宋体" w:cs="Times New Roman"/>
        </w:rPr>
        <w:t>沿北榆苑、南马庄、北马庄、西石、平陆、庄子、栗家庄、南垣底、刘村、金井及杏花村镇安上村一线以西以北的台塬丘陵区，包括三泉、杨家庄、张家堡、贾家庄、宋家庄、峪道河、杏花村等乡镇大部地区和贾家庄新丰、大相的范围，总面积</w:t>
      </w:r>
      <w:r>
        <w:rPr>
          <w:rFonts w:eastAsia="宋体" w:cs="Times New Roman"/>
        </w:rPr>
        <w:t>340</w:t>
      </w:r>
      <w:r>
        <w:rPr>
          <w:rFonts w:hAnsi="宋体" w:eastAsia="宋体" w:cs="Times New Roman"/>
        </w:rPr>
        <w:t>平方公里。主要含水层有奥陶系岩溶裂隙承压含水层，第三系砂砾层含水层及第四系孔隙含水层。</w:t>
      </w:r>
    </w:p>
    <w:p>
      <w:pPr>
        <w:pStyle w:val="59"/>
        <w:spacing w:line="480" w:lineRule="exact"/>
        <w:ind w:firstLine="480" w:firstLineChars="200"/>
        <w:rPr>
          <w:rFonts w:eastAsia="宋体" w:cs="Times New Roman"/>
        </w:rPr>
      </w:pPr>
      <w:r>
        <w:rPr>
          <w:rFonts w:ascii="黑体" w:hAnsi="黑体" w:cs="Times New Roman"/>
        </w:rPr>
        <w:t>洪积倾斜平原潜水及承压水区</w:t>
      </w:r>
      <w:r>
        <w:rPr>
          <w:rFonts w:eastAsia="宋体" w:cs="Times New Roman"/>
        </w:rPr>
        <w:t>----</w:t>
      </w:r>
      <w:r>
        <w:rPr>
          <w:rFonts w:hAnsi="宋体" w:eastAsia="宋体" w:cs="Times New Roman"/>
        </w:rPr>
        <w:t>西北接丘陵山区、东部从冀村、小相村南、西陈家庄、何家庄、北堡、董家庄等村村西、罗城、建昌村东，包括冀村、杏花村、贾家庄、城关、栗家庄、阳城、见喜等乡镇的大部地区，总面积</w:t>
      </w:r>
      <w:r>
        <w:rPr>
          <w:rFonts w:eastAsia="宋体" w:cs="Times New Roman"/>
        </w:rPr>
        <w:t>270</w:t>
      </w:r>
      <w:r>
        <w:rPr>
          <w:rFonts w:hAnsi="宋体" w:eastAsia="宋体" w:cs="Times New Roman"/>
        </w:rPr>
        <w:t>平方公里。主要含水层为第四系下中更新统冲击、洪积砾石、卵砾石及冲击细沙层，降水渗水系数</w:t>
      </w:r>
      <w:r>
        <w:rPr>
          <w:rFonts w:eastAsia="宋体" w:cs="Times New Roman"/>
        </w:rPr>
        <w:t>12.3%</w:t>
      </w:r>
      <w:r>
        <w:rPr>
          <w:rFonts w:hAnsi="宋体" w:eastAsia="宋体" w:cs="Times New Roman"/>
        </w:rPr>
        <w:t>，富水强，水位较浅。</w:t>
      </w:r>
    </w:p>
    <w:p>
      <w:pPr>
        <w:pStyle w:val="59"/>
        <w:spacing w:line="480" w:lineRule="exact"/>
        <w:ind w:firstLine="480" w:firstLineChars="200"/>
        <w:rPr>
          <w:rFonts w:eastAsia="宋体" w:cs="Times New Roman"/>
        </w:rPr>
      </w:pPr>
      <w:r>
        <w:rPr>
          <w:rFonts w:ascii="黑体" w:hAnsi="黑体" w:cs="Times New Roman"/>
        </w:rPr>
        <w:t>洪积扇裙富水区</w:t>
      </w:r>
      <w:r>
        <w:rPr>
          <w:rFonts w:eastAsia="宋体" w:cs="Times New Roman"/>
        </w:rPr>
        <w:t>----</w:t>
      </w:r>
      <w:r>
        <w:rPr>
          <w:rFonts w:hAnsi="宋体" w:eastAsia="宋体" w:cs="Times New Roman"/>
        </w:rPr>
        <w:t>面积</w:t>
      </w:r>
      <w:r>
        <w:rPr>
          <w:rFonts w:eastAsia="宋体" w:cs="Times New Roman"/>
        </w:rPr>
        <w:t>97</w:t>
      </w:r>
      <w:r>
        <w:rPr>
          <w:rFonts w:hAnsi="宋体" w:eastAsia="宋体" w:cs="Times New Roman"/>
        </w:rPr>
        <w:t>平方公里，以栗家庄、城关以北为主，年水位变化幅度</w:t>
      </w:r>
      <w:r>
        <w:rPr>
          <w:rFonts w:eastAsia="宋体" w:cs="Times New Roman"/>
        </w:rPr>
        <w:t>2.3</w:t>
      </w:r>
      <w:r>
        <w:rPr>
          <w:rFonts w:hAnsi="宋体" w:eastAsia="宋体" w:cs="Times New Roman"/>
        </w:rPr>
        <w:t>米，含水层给水度</w:t>
      </w:r>
      <w:r>
        <w:rPr>
          <w:rFonts w:eastAsia="宋体" w:cs="Times New Roman"/>
        </w:rPr>
        <w:t>0.03</w:t>
      </w:r>
      <w:r>
        <w:rPr>
          <w:rFonts w:hAnsi="宋体" w:eastAsia="宋体" w:cs="Times New Roman"/>
        </w:rPr>
        <w:t>。</w:t>
      </w:r>
    </w:p>
    <w:p>
      <w:pPr>
        <w:pStyle w:val="59"/>
        <w:spacing w:line="480" w:lineRule="exact"/>
        <w:ind w:firstLine="480" w:firstLineChars="200"/>
        <w:rPr>
          <w:rFonts w:eastAsia="宋体" w:cs="Times New Roman"/>
        </w:rPr>
      </w:pPr>
      <w:r>
        <w:rPr>
          <w:rFonts w:ascii="黑体" w:hAnsi="黑体" w:cs="Times New Roman"/>
        </w:rPr>
        <w:t>洪积平原富水区</w:t>
      </w:r>
      <w:r>
        <w:rPr>
          <w:rFonts w:eastAsia="宋体" w:cs="Times New Roman"/>
        </w:rPr>
        <w:t>----</w:t>
      </w:r>
      <w:r>
        <w:rPr>
          <w:rFonts w:hAnsi="宋体" w:eastAsia="宋体" w:cs="Times New Roman"/>
        </w:rPr>
        <w:t>面积</w:t>
      </w:r>
      <w:r>
        <w:rPr>
          <w:rFonts w:eastAsia="宋体" w:cs="Times New Roman"/>
        </w:rPr>
        <w:t>230</w:t>
      </w:r>
      <w:r>
        <w:rPr>
          <w:rFonts w:hAnsi="宋体" w:eastAsia="宋体" w:cs="Times New Roman"/>
        </w:rPr>
        <w:t>平方公里，包括文峪河灌区和边山洪积尾部。降水渗入系数</w:t>
      </w:r>
      <w:r>
        <w:rPr>
          <w:rFonts w:eastAsia="宋体" w:cs="Times New Roman"/>
        </w:rPr>
        <w:t>12.3%</w:t>
      </w:r>
      <w:r>
        <w:rPr>
          <w:rFonts w:hAnsi="宋体" w:eastAsia="宋体" w:cs="Times New Roman"/>
        </w:rPr>
        <w:t>，浅水埋深</w:t>
      </w:r>
      <w:r>
        <w:rPr>
          <w:rFonts w:eastAsia="宋体" w:cs="Times New Roman"/>
        </w:rPr>
        <w:t>1.5-3</w:t>
      </w:r>
      <w:r>
        <w:rPr>
          <w:rFonts w:hAnsi="宋体" w:eastAsia="宋体" w:cs="Times New Roman"/>
        </w:rPr>
        <w:t>米，富水性弱，矿化度高。</w:t>
      </w:r>
    </w:p>
    <w:p>
      <w:pPr>
        <w:spacing w:line="480" w:lineRule="exact"/>
        <w:ind w:firstLine="480" w:firstLineChars="200"/>
        <w:rPr>
          <w:bCs/>
          <w:color w:val="FF0000"/>
          <w:sz w:val="24"/>
          <w:szCs w:val="24"/>
        </w:rPr>
      </w:pPr>
      <w:r>
        <w:rPr>
          <w:rFonts w:hAnsi="宋体"/>
          <w:bCs/>
          <w:sz w:val="24"/>
          <w:szCs w:val="24"/>
        </w:rPr>
        <w:t>本次工程厂址所属区域</w:t>
      </w:r>
      <w:r>
        <w:rPr>
          <w:rFonts w:hint="eastAsia" w:hAnsi="宋体"/>
          <w:bCs/>
          <w:sz w:val="24"/>
          <w:szCs w:val="24"/>
        </w:rPr>
        <w:t>属于</w:t>
      </w:r>
      <w:r>
        <w:rPr>
          <w:rFonts w:hAnsi="宋体"/>
          <w:bCs/>
          <w:sz w:val="24"/>
          <w:szCs w:val="24"/>
        </w:rPr>
        <w:t>台塬丘陵区</w:t>
      </w:r>
      <w:r>
        <w:rPr>
          <w:rFonts w:hint="eastAsia" w:hAnsi="宋体"/>
          <w:bCs/>
          <w:sz w:val="24"/>
          <w:szCs w:val="24"/>
        </w:rPr>
        <w:t>，</w:t>
      </w:r>
      <w:r>
        <w:rPr>
          <w:rFonts w:hAnsi="宋体"/>
          <w:bCs/>
          <w:sz w:val="24"/>
          <w:szCs w:val="24"/>
        </w:rPr>
        <w:t>主要含水层有奥陶系岩溶裂隙承压含水层，第三系砂砾层含水层及第四系孔隙含水层。</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1</w:t>
      </w:r>
      <w:r>
        <w:rPr>
          <w:b/>
        </w:rPr>
        <w:t>.</w:t>
      </w:r>
      <w:r>
        <w:rPr>
          <w:rFonts w:hint="eastAsia"/>
          <w:b/>
        </w:rPr>
        <w:t>4</w:t>
      </w:r>
      <w:r>
        <w:rPr>
          <w:b/>
        </w:rPr>
        <w:t>.</w:t>
      </w:r>
      <w:r>
        <w:rPr>
          <w:rFonts w:hint="eastAsia"/>
          <w:b/>
        </w:rPr>
        <w:t>3</w:t>
      </w:r>
      <w:r>
        <w:rPr>
          <w:rFonts w:hint="eastAsia" w:ascii="宋体" w:hAnsi="宋体"/>
          <w:b/>
        </w:rPr>
        <w:t>水源地</w:t>
      </w:r>
    </w:p>
    <w:p>
      <w:pPr>
        <w:pStyle w:val="59"/>
        <w:widowControl w:val="0"/>
        <w:spacing w:line="480" w:lineRule="exact"/>
        <w:rPr>
          <w:rFonts w:hAnsi="宋体" w:eastAsia="宋体" w:cs="Times New Roman"/>
          <w:b/>
          <w:bCs w:val="0"/>
          <w:color w:val="auto"/>
          <w:spacing w:val="4"/>
          <w:kern w:val="2"/>
        </w:rPr>
      </w:pPr>
      <w:r>
        <w:rPr>
          <w:rFonts w:hint="eastAsia" w:hAnsi="宋体" w:eastAsia="宋体" w:cs="Times New Roman"/>
          <w:b/>
          <w:bCs w:val="0"/>
          <w:color w:val="auto"/>
          <w:spacing w:val="4"/>
          <w:kern w:val="2"/>
        </w:rPr>
        <w:t>1、城市水源地</w:t>
      </w:r>
    </w:p>
    <w:p>
      <w:pPr>
        <w:pStyle w:val="59"/>
        <w:widowControl w:val="0"/>
        <w:spacing w:line="480" w:lineRule="exact"/>
        <w:ind w:firstLine="480" w:firstLineChars="200"/>
        <w:rPr>
          <w:rFonts w:eastAsia="宋体" w:cs="Times New Roman"/>
          <w:bCs w:val="0"/>
          <w:color w:val="auto"/>
          <w:kern w:val="2"/>
        </w:rPr>
      </w:pPr>
      <w:r>
        <w:rPr>
          <w:rFonts w:hAnsi="宋体" w:eastAsia="宋体" w:cs="Times New Roman"/>
          <w:bCs w:val="0"/>
          <w:color w:val="auto"/>
          <w:kern w:val="2"/>
        </w:rPr>
        <w:t>汾阳市集中供水水源地为</w:t>
      </w:r>
      <w:r>
        <w:rPr>
          <w:rFonts w:hAnsi="宋体" w:eastAsia="宋体" w:cs="Times New Roman"/>
          <w:color w:val="auto"/>
        </w:rPr>
        <w:t>协和堡水源地和北垣底水源地。</w:t>
      </w:r>
    </w:p>
    <w:p>
      <w:pPr>
        <w:pStyle w:val="57"/>
        <w:spacing w:before="0" w:after="0" w:line="480" w:lineRule="exact"/>
        <w:ind w:firstLine="480"/>
      </w:pPr>
      <w:r>
        <w:rPr>
          <w:rFonts w:hint="eastAsia"/>
        </w:rPr>
        <w:t>协和堡水源地位于汾阳城区西北方向4km处，供应汾阳市生活饮用水。协和堡水源地一级保护区范围为开采井外接多边形区域，井半径为150m，保护区面积802014.25m</w:t>
      </w:r>
      <w:r>
        <w:rPr>
          <w:rFonts w:hint="eastAsia"/>
          <w:vertAlign w:val="superscript"/>
        </w:rPr>
        <w:t>2</w:t>
      </w:r>
      <w:r>
        <w:rPr>
          <w:rFonts w:hint="eastAsia"/>
        </w:rPr>
        <w:t>，周长3924.7m</w:t>
      </w:r>
      <w:r>
        <w:t>。</w:t>
      </w:r>
      <w:r>
        <w:rPr>
          <w:rFonts w:hint="eastAsia"/>
        </w:rPr>
        <w:t>水源地一级保护区控制点位置坐标分别为：A：</w:t>
      </w:r>
      <w:r>
        <w:rPr>
          <w:kern w:val="0"/>
        </w:rPr>
        <w:t>北纬37°</w:t>
      </w:r>
      <w:r>
        <w:rPr>
          <w:rFonts w:hint="eastAsia"/>
          <w:kern w:val="0"/>
        </w:rPr>
        <w:t>1</w:t>
      </w:r>
      <w:r>
        <w:rPr>
          <w:kern w:val="0"/>
        </w:rPr>
        <w:t>8′</w:t>
      </w:r>
      <w:r>
        <w:rPr>
          <w:rFonts w:hint="eastAsia"/>
          <w:kern w:val="0"/>
        </w:rPr>
        <w:t>10</w:t>
      </w:r>
      <w:r>
        <w:rPr>
          <w:kern w:val="0"/>
        </w:rPr>
        <w:t>″，东经111°</w:t>
      </w:r>
      <w:r>
        <w:rPr>
          <w:rFonts w:hint="eastAsia"/>
          <w:kern w:val="0"/>
        </w:rPr>
        <w:t>44</w:t>
      </w:r>
      <w:r>
        <w:rPr>
          <w:kern w:val="0"/>
        </w:rPr>
        <w:t>′</w:t>
      </w:r>
      <w:r>
        <w:rPr>
          <w:rFonts w:hint="eastAsia"/>
          <w:kern w:val="0"/>
        </w:rPr>
        <w:t>23</w:t>
      </w:r>
      <w:r>
        <w:rPr>
          <w:kern w:val="0"/>
        </w:rPr>
        <w:t>″</w:t>
      </w:r>
      <w:r>
        <w:rPr>
          <w:rFonts w:hint="eastAsia"/>
          <w:kern w:val="0"/>
        </w:rPr>
        <w:t>，</w:t>
      </w:r>
      <w:r>
        <w:rPr>
          <w:rFonts w:hint="eastAsia"/>
        </w:rPr>
        <w:t>B：</w:t>
      </w:r>
      <w:r>
        <w:rPr>
          <w:kern w:val="0"/>
        </w:rPr>
        <w:t>北纬37°</w:t>
      </w:r>
      <w:r>
        <w:rPr>
          <w:rFonts w:hint="eastAsia"/>
          <w:kern w:val="0"/>
        </w:rPr>
        <w:t>1</w:t>
      </w:r>
      <w:r>
        <w:rPr>
          <w:kern w:val="0"/>
        </w:rPr>
        <w:t>8′</w:t>
      </w:r>
      <w:r>
        <w:rPr>
          <w:rFonts w:hint="eastAsia"/>
          <w:kern w:val="0"/>
        </w:rPr>
        <w:t>16</w:t>
      </w:r>
      <w:r>
        <w:rPr>
          <w:kern w:val="0"/>
        </w:rPr>
        <w:t>″，东经111°</w:t>
      </w:r>
      <w:r>
        <w:rPr>
          <w:rFonts w:hint="eastAsia"/>
          <w:kern w:val="0"/>
        </w:rPr>
        <w:t>45</w:t>
      </w:r>
      <w:r>
        <w:rPr>
          <w:kern w:val="0"/>
        </w:rPr>
        <w:t>′</w:t>
      </w:r>
      <w:r>
        <w:rPr>
          <w:rFonts w:hint="eastAsia"/>
          <w:kern w:val="0"/>
        </w:rPr>
        <w:t>7</w:t>
      </w:r>
      <w:r>
        <w:rPr>
          <w:kern w:val="0"/>
        </w:rPr>
        <w:t>″</w:t>
      </w:r>
      <w:r>
        <w:rPr>
          <w:rFonts w:hint="eastAsia"/>
          <w:kern w:val="0"/>
        </w:rPr>
        <w:t>，</w:t>
      </w:r>
      <w:r>
        <w:rPr>
          <w:rFonts w:hint="eastAsia"/>
        </w:rPr>
        <w:t>C：</w:t>
      </w:r>
      <w:r>
        <w:rPr>
          <w:kern w:val="0"/>
        </w:rPr>
        <w:t>北纬37°</w:t>
      </w:r>
      <w:r>
        <w:rPr>
          <w:rFonts w:hint="eastAsia"/>
          <w:kern w:val="0"/>
        </w:rPr>
        <w:t>18</w:t>
      </w:r>
      <w:r>
        <w:rPr>
          <w:kern w:val="0"/>
        </w:rPr>
        <w:t>′</w:t>
      </w:r>
      <w:r>
        <w:rPr>
          <w:rFonts w:hint="eastAsia"/>
          <w:kern w:val="0"/>
        </w:rPr>
        <w:t>7</w:t>
      </w:r>
      <w:r>
        <w:rPr>
          <w:kern w:val="0"/>
        </w:rPr>
        <w:t>″，东经111°</w:t>
      </w:r>
      <w:r>
        <w:rPr>
          <w:rFonts w:hint="eastAsia"/>
          <w:kern w:val="0"/>
        </w:rPr>
        <w:t>45</w:t>
      </w:r>
      <w:r>
        <w:rPr>
          <w:kern w:val="0"/>
        </w:rPr>
        <w:t>′</w:t>
      </w:r>
      <w:r>
        <w:rPr>
          <w:rFonts w:hint="eastAsia"/>
          <w:kern w:val="0"/>
        </w:rPr>
        <w:t>28</w:t>
      </w:r>
      <w:r>
        <w:rPr>
          <w:kern w:val="0"/>
        </w:rPr>
        <w:t>″</w:t>
      </w:r>
      <w:r>
        <w:rPr>
          <w:rFonts w:hint="eastAsia"/>
          <w:kern w:val="0"/>
        </w:rPr>
        <w:t>，</w:t>
      </w:r>
      <w:r>
        <w:rPr>
          <w:rFonts w:hint="eastAsia"/>
        </w:rPr>
        <w:t>D：</w:t>
      </w:r>
      <w:r>
        <w:rPr>
          <w:kern w:val="0"/>
        </w:rPr>
        <w:t>北纬37°</w:t>
      </w:r>
      <w:r>
        <w:rPr>
          <w:rFonts w:hint="eastAsia"/>
          <w:kern w:val="0"/>
        </w:rPr>
        <w:t>17</w:t>
      </w:r>
      <w:r>
        <w:rPr>
          <w:kern w:val="0"/>
        </w:rPr>
        <w:t>′</w:t>
      </w:r>
      <w:r>
        <w:rPr>
          <w:rFonts w:hint="eastAsia"/>
          <w:kern w:val="0"/>
        </w:rPr>
        <w:t>45</w:t>
      </w:r>
      <w:r>
        <w:rPr>
          <w:kern w:val="0"/>
        </w:rPr>
        <w:t>″，东经111°</w:t>
      </w:r>
      <w:r>
        <w:rPr>
          <w:rFonts w:hint="eastAsia"/>
          <w:kern w:val="0"/>
        </w:rPr>
        <w:t>44</w:t>
      </w:r>
      <w:r>
        <w:rPr>
          <w:kern w:val="0"/>
        </w:rPr>
        <w:t>′</w:t>
      </w:r>
      <w:r>
        <w:rPr>
          <w:rFonts w:hint="eastAsia"/>
          <w:kern w:val="0"/>
        </w:rPr>
        <w:t>48</w:t>
      </w:r>
      <w:r>
        <w:rPr>
          <w:kern w:val="0"/>
        </w:rPr>
        <w:t>″</w:t>
      </w:r>
      <w:r>
        <w:rPr>
          <w:rFonts w:hint="eastAsia"/>
        </w:rPr>
        <w:t>。本项目距协和堡水源地保护区约3.2km，不在其保护范围内。</w:t>
      </w:r>
    </w:p>
    <w:p>
      <w:pPr>
        <w:spacing w:line="480" w:lineRule="exact"/>
        <w:ind w:firstLine="480" w:firstLineChars="200"/>
        <w:rPr>
          <w:sz w:val="24"/>
          <w:szCs w:val="24"/>
        </w:rPr>
      </w:pPr>
      <w:r>
        <w:rPr>
          <w:rFonts w:hint="eastAsia"/>
          <w:sz w:val="24"/>
          <w:szCs w:val="24"/>
        </w:rPr>
        <w:t>北垣底水源地位于北垣底村，水源地一级保护区范围为开采井外接多边形区域，井半径为300m，保护区面积753843.05m</w:t>
      </w:r>
      <w:r>
        <w:rPr>
          <w:rFonts w:hint="eastAsia"/>
          <w:sz w:val="24"/>
          <w:szCs w:val="24"/>
          <w:vertAlign w:val="superscript"/>
        </w:rPr>
        <w:t>2</w:t>
      </w:r>
      <w:r>
        <w:rPr>
          <w:rFonts w:hint="eastAsia"/>
          <w:sz w:val="24"/>
          <w:szCs w:val="24"/>
        </w:rPr>
        <w:t>，周长3585m</w:t>
      </w:r>
      <w:r>
        <w:rPr>
          <w:sz w:val="24"/>
          <w:szCs w:val="24"/>
        </w:rPr>
        <w:t>。</w:t>
      </w:r>
      <w:r>
        <w:rPr>
          <w:rFonts w:hint="eastAsia"/>
          <w:sz w:val="24"/>
          <w:szCs w:val="24"/>
        </w:rPr>
        <w:t>水源地一级保护区控制点位置坐标分别为：A：</w:t>
      </w:r>
      <w:r>
        <w:rPr>
          <w:kern w:val="0"/>
          <w:sz w:val="24"/>
          <w:szCs w:val="24"/>
        </w:rPr>
        <w:t>北纬37°</w:t>
      </w:r>
      <w:r>
        <w:rPr>
          <w:rFonts w:hint="eastAsia"/>
          <w:kern w:val="0"/>
          <w:sz w:val="24"/>
          <w:szCs w:val="24"/>
        </w:rPr>
        <w:t>1</w:t>
      </w:r>
      <w:r>
        <w:rPr>
          <w:kern w:val="0"/>
          <w:sz w:val="24"/>
          <w:szCs w:val="24"/>
        </w:rPr>
        <w:t>8′</w:t>
      </w:r>
      <w:r>
        <w:rPr>
          <w:rFonts w:hint="eastAsia"/>
          <w:kern w:val="0"/>
          <w:sz w:val="24"/>
          <w:szCs w:val="24"/>
        </w:rPr>
        <w:t>41</w:t>
      </w:r>
      <w:r>
        <w:rPr>
          <w:kern w:val="0"/>
          <w:sz w:val="24"/>
          <w:szCs w:val="24"/>
        </w:rPr>
        <w:t>″，东经111°</w:t>
      </w:r>
      <w:r>
        <w:rPr>
          <w:rFonts w:hint="eastAsia"/>
          <w:kern w:val="0"/>
          <w:sz w:val="24"/>
          <w:szCs w:val="24"/>
        </w:rPr>
        <w:t>46</w:t>
      </w:r>
      <w:r>
        <w:rPr>
          <w:kern w:val="0"/>
          <w:sz w:val="24"/>
          <w:szCs w:val="24"/>
        </w:rPr>
        <w:t>′</w:t>
      </w:r>
      <w:r>
        <w:rPr>
          <w:rFonts w:hint="eastAsia"/>
          <w:kern w:val="0"/>
          <w:sz w:val="24"/>
          <w:szCs w:val="24"/>
        </w:rPr>
        <w:t>03</w:t>
      </w:r>
      <w:r>
        <w:rPr>
          <w:kern w:val="0"/>
          <w:sz w:val="24"/>
          <w:szCs w:val="24"/>
        </w:rPr>
        <w:t>″</w:t>
      </w:r>
      <w:r>
        <w:rPr>
          <w:rFonts w:hint="eastAsia"/>
          <w:kern w:val="0"/>
          <w:sz w:val="24"/>
          <w:szCs w:val="24"/>
        </w:rPr>
        <w:t>，</w:t>
      </w:r>
      <w:r>
        <w:rPr>
          <w:rFonts w:hint="eastAsia"/>
          <w:sz w:val="24"/>
          <w:szCs w:val="24"/>
        </w:rPr>
        <w:t>B：</w:t>
      </w:r>
      <w:r>
        <w:rPr>
          <w:kern w:val="0"/>
          <w:sz w:val="24"/>
          <w:szCs w:val="24"/>
        </w:rPr>
        <w:t>北纬37°</w:t>
      </w:r>
      <w:r>
        <w:rPr>
          <w:rFonts w:hint="eastAsia"/>
          <w:kern w:val="0"/>
          <w:sz w:val="24"/>
          <w:szCs w:val="24"/>
        </w:rPr>
        <w:t>1</w:t>
      </w:r>
      <w:r>
        <w:rPr>
          <w:kern w:val="0"/>
          <w:sz w:val="24"/>
          <w:szCs w:val="24"/>
        </w:rPr>
        <w:t>8′</w:t>
      </w:r>
      <w:r>
        <w:rPr>
          <w:rFonts w:hint="eastAsia"/>
          <w:kern w:val="0"/>
          <w:sz w:val="24"/>
          <w:szCs w:val="24"/>
        </w:rPr>
        <w:t>31</w:t>
      </w:r>
      <w:r>
        <w:rPr>
          <w:kern w:val="0"/>
          <w:sz w:val="24"/>
          <w:szCs w:val="24"/>
        </w:rPr>
        <w:t>″，东经111°</w:t>
      </w:r>
      <w:r>
        <w:rPr>
          <w:rFonts w:hint="eastAsia"/>
          <w:kern w:val="0"/>
          <w:sz w:val="24"/>
          <w:szCs w:val="24"/>
        </w:rPr>
        <w:t>46</w:t>
      </w:r>
      <w:r>
        <w:rPr>
          <w:kern w:val="0"/>
          <w:sz w:val="24"/>
          <w:szCs w:val="24"/>
        </w:rPr>
        <w:t>′</w:t>
      </w:r>
      <w:r>
        <w:rPr>
          <w:rFonts w:hint="eastAsia"/>
          <w:kern w:val="0"/>
          <w:sz w:val="24"/>
          <w:szCs w:val="24"/>
        </w:rPr>
        <w:t>21</w:t>
      </w:r>
      <w:r>
        <w:rPr>
          <w:kern w:val="0"/>
          <w:sz w:val="24"/>
          <w:szCs w:val="24"/>
        </w:rPr>
        <w:t>″</w:t>
      </w:r>
      <w:r>
        <w:rPr>
          <w:rFonts w:hint="eastAsia"/>
          <w:kern w:val="0"/>
          <w:sz w:val="24"/>
          <w:szCs w:val="24"/>
        </w:rPr>
        <w:t>，</w:t>
      </w:r>
      <w:r>
        <w:rPr>
          <w:rFonts w:hint="eastAsia"/>
          <w:sz w:val="24"/>
          <w:szCs w:val="24"/>
        </w:rPr>
        <w:t>C：</w:t>
      </w:r>
      <w:r>
        <w:rPr>
          <w:kern w:val="0"/>
          <w:sz w:val="24"/>
          <w:szCs w:val="24"/>
        </w:rPr>
        <w:t>北纬37°</w:t>
      </w:r>
      <w:r>
        <w:rPr>
          <w:rFonts w:hint="eastAsia"/>
          <w:kern w:val="0"/>
          <w:sz w:val="24"/>
          <w:szCs w:val="24"/>
        </w:rPr>
        <w:t>17</w:t>
      </w:r>
      <w:r>
        <w:rPr>
          <w:kern w:val="0"/>
          <w:sz w:val="24"/>
          <w:szCs w:val="24"/>
        </w:rPr>
        <w:t>′5</w:t>
      </w:r>
      <w:r>
        <w:rPr>
          <w:rFonts w:hint="eastAsia"/>
          <w:kern w:val="0"/>
          <w:sz w:val="24"/>
          <w:szCs w:val="24"/>
        </w:rPr>
        <w:t>6</w:t>
      </w:r>
      <w:r>
        <w:rPr>
          <w:kern w:val="0"/>
          <w:sz w:val="24"/>
          <w:szCs w:val="24"/>
        </w:rPr>
        <w:t>″，东经111°</w:t>
      </w:r>
      <w:r>
        <w:rPr>
          <w:rFonts w:hint="eastAsia"/>
          <w:kern w:val="0"/>
          <w:sz w:val="24"/>
          <w:szCs w:val="24"/>
        </w:rPr>
        <w:t>46</w:t>
      </w:r>
      <w:r>
        <w:rPr>
          <w:kern w:val="0"/>
          <w:sz w:val="24"/>
          <w:szCs w:val="24"/>
        </w:rPr>
        <w:t>′</w:t>
      </w:r>
      <w:r>
        <w:rPr>
          <w:rFonts w:hint="eastAsia"/>
          <w:kern w:val="0"/>
          <w:sz w:val="24"/>
          <w:szCs w:val="24"/>
        </w:rPr>
        <w:t>01</w:t>
      </w:r>
      <w:r>
        <w:rPr>
          <w:kern w:val="0"/>
          <w:sz w:val="24"/>
          <w:szCs w:val="24"/>
        </w:rPr>
        <w:t>″</w:t>
      </w:r>
      <w:r>
        <w:rPr>
          <w:rFonts w:hint="eastAsia"/>
          <w:kern w:val="0"/>
          <w:sz w:val="24"/>
          <w:szCs w:val="24"/>
        </w:rPr>
        <w:t>，</w:t>
      </w:r>
      <w:r>
        <w:rPr>
          <w:rFonts w:hint="eastAsia"/>
          <w:sz w:val="24"/>
          <w:szCs w:val="24"/>
        </w:rPr>
        <w:t>D：</w:t>
      </w:r>
      <w:r>
        <w:rPr>
          <w:kern w:val="0"/>
          <w:sz w:val="24"/>
          <w:szCs w:val="24"/>
        </w:rPr>
        <w:t>北纬37°</w:t>
      </w:r>
      <w:r>
        <w:rPr>
          <w:rFonts w:hint="eastAsia"/>
          <w:kern w:val="0"/>
          <w:sz w:val="24"/>
          <w:szCs w:val="24"/>
        </w:rPr>
        <w:t>1</w:t>
      </w:r>
      <w:r>
        <w:rPr>
          <w:kern w:val="0"/>
          <w:sz w:val="24"/>
          <w:szCs w:val="24"/>
        </w:rPr>
        <w:t>8′</w:t>
      </w:r>
      <w:r>
        <w:rPr>
          <w:rFonts w:hint="eastAsia"/>
          <w:kern w:val="0"/>
          <w:sz w:val="24"/>
          <w:szCs w:val="24"/>
        </w:rPr>
        <w:t>04</w:t>
      </w:r>
      <w:r>
        <w:rPr>
          <w:kern w:val="0"/>
          <w:sz w:val="24"/>
          <w:szCs w:val="24"/>
        </w:rPr>
        <w:t>″，东经111°</w:t>
      </w:r>
      <w:r>
        <w:rPr>
          <w:rFonts w:hint="eastAsia"/>
          <w:kern w:val="0"/>
          <w:sz w:val="24"/>
          <w:szCs w:val="24"/>
        </w:rPr>
        <w:t>45</w:t>
      </w:r>
      <w:r>
        <w:rPr>
          <w:kern w:val="0"/>
          <w:sz w:val="24"/>
          <w:szCs w:val="24"/>
        </w:rPr>
        <w:t>′</w:t>
      </w:r>
      <w:r>
        <w:rPr>
          <w:rFonts w:hint="eastAsia"/>
          <w:kern w:val="0"/>
          <w:sz w:val="24"/>
          <w:szCs w:val="24"/>
        </w:rPr>
        <w:t>41</w:t>
      </w:r>
      <w:r>
        <w:rPr>
          <w:kern w:val="0"/>
          <w:sz w:val="24"/>
          <w:szCs w:val="24"/>
        </w:rPr>
        <w:t>″</w:t>
      </w:r>
      <w:r>
        <w:rPr>
          <w:rFonts w:hint="eastAsia"/>
          <w:kern w:val="0"/>
          <w:sz w:val="24"/>
          <w:szCs w:val="24"/>
        </w:rPr>
        <w:t>，</w:t>
      </w:r>
      <w:r>
        <w:rPr>
          <w:rFonts w:hint="eastAsia"/>
          <w:sz w:val="24"/>
          <w:szCs w:val="24"/>
        </w:rPr>
        <w:t>E：</w:t>
      </w:r>
      <w:r>
        <w:rPr>
          <w:kern w:val="0"/>
          <w:sz w:val="24"/>
          <w:szCs w:val="24"/>
        </w:rPr>
        <w:t>北纬37°</w:t>
      </w:r>
      <w:r>
        <w:rPr>
          <w:rFonts w:hint="eastAsia"/>
          <w:kern w:val="0"/>
          <w:sz w:val="24"/>
          <w:szCs w:val="24"/>
        </w:rPr>
        <w:t>1</w:t>
      </w:r>
      <w:r>
        <w:rPr>
          <w:kern w:val="0"/>
          <w:sz w:val="24"/>
          <w:szCs w:val="24"/>
        </w:rPr>
        <w:t>8′</w:t>
      </w:r>
      <w:r>
        <w:rPr>
          <w:rFonts w:hint="eastAsia"/>
          <w:kern w:val="0"/>
          <w:sz w:val="24"/>
          <w:szCs w:val="24"/>
        </w:rPr>
        <w:t>2</w:t>
      </w:r>
      <w:r>
        <w:rPr>
          <w:kern w:val="0"/>
          <w:sz w:val="24"/>
          <w:szCs w:val="24"/>
        </w:rPr>
        <w:t>5″，东经111°</w:t>
      </w:r>
      <w:r>
        <w:rPr>
          <w:rFonts w:hint="eastAsia"/>
          <w:kern w:val="0"/>
          <w:sz w:val="24"/>
          <w:szCs w:val="24"/>
        </w:rPr>
        <w:t>45</w:t>
      </w:r>
      <w:r>
        <w:rPr>
          <w:kern w:val="0"/>
          <w:sz w:val="24"/>
          <w:szCs w:val="24"/>
        </w:rPr>
        <w:t>′</w:t>
      </w:r>
      <w:r>
        <w:rPr>
          <w:rFonts w:hint="eastAsia"/>
          <w:kern w:val="0"/>
          <w:sz w:val="24"/>
          <w:szCs w:val="24"/>
        </w:rPr>
        <w:t>47</w:t>
      </w:r>
      <w:r>
        <w:rPr>
          <w:kern w:val="0"/>
          <w:sz w:val="24"/>
          <w:szCs w:val="24"/>
        </w:rPr>
        <w:t>″</w:t>
      </w:r>
      <w:r>
        <w:rPr>
          <w:rFonts w:hint="eastAsia"/>
          <w:kern w:val="0"/>
          <w:sz w:val="24"/>
          <w:szCs w:val="24"/>
        </w:rPr>
        <w:t>。</w:t>
      </w:r>
      <w:r>
        <w:rPr>
          <w:rFonts w:hAnsi="宋体"/>
          <w:sz w:val="24"/>
          <w:szCs w:val="24"/>
        </w:rPr>
        <w:t>本项目北距北垣底水源地约</w:t>
      </w:r>
      <w:r>
        <w:rPr>
          <w:rFonts w:hint="eastAsia"/>
          <w:sz w:val="24"/>
          <w:szCs w:val="24"/>
        </w:rPr>
        <w:t>3.4</w:t>
      </w:r>
      <w:r>
        <w:rPr>
          <w:sz w:val="24"/>
          <w:szCs w:val="24"/>
        </w:rPr>
        <w:t>km</w:t>
      </w:r>
      <w:r>
        <w:rPr>
          <w:rFonts w:hint="eastAsia"/>
          <w:sz w:val="24"/>
          <w:szCs w:val="24"/>
        </w:rPr>
        <w:t>，不在其保护范围内。</w:t>
      </w:r>
    </w:p>
    <w:p>
      <w:pPr>
        <w:pStyle w:val="59"/>
        <w:widowControl w:val="0"/>
        <w:spacing w:line="480" w:lineRule="exact"/>
        <w:rPr>
          <w:rFonts w:hAnsi="宋体" w:eastAsia="宋体" w:cs="Times New Roman"/>
          <w:b/>
          <w:bCs w:val="0"/>
          <w:color w:val="auto"/>
          <w:spacing w:val="4"/>
          <w:kern w:val="2"/>
        </w:rPr>
      </w:pPr>
      <w:r>
        <w:rPr>
          <w:rFonts w:hint="eastAsia" w:hAnsi="宋体" w:eastAsia="宋体" w:cs="Times New Roman"/>
          <w:b/>
          <w:bCs w:val="0"/>
          <w:color w:val="auto"/>
          <w:spacing w:val="4"/>
          <w:kern w:val="2"/>
        </w:rPr>
        <w:t>2、乡镇水源地</w:t>
      </w:r>
    </w:p>
    <w:p>
      <w:pPr>
        <w:spacing w:line="480" w:lineRule="exact"/>
        <w:ind w:firstLine="480" w:firstLineChars="200"/>
        <w:rPr>
          <w:sz w:val="24"/>
          <w:szCs w:val="24"/>
        </w:rPr>
      </w:pPr>
      <w:r>
        <w:rPr>
          <w:rFonts w:hint="eastAsia"/>
          <w:sz w:val="24"/>
          <w:szCs w:val="24"/>
        </w:rPr>
        <w:t>根据山西省人民政府于2013年2月6日发布的晋政函[2013]15号“山西省人民政府关于同意吕梁市乡镇集中式饮用水水源地保护区划定方案的批复”，汾阳市乡镇集中式饮用水水源地保护区划定情况见表4.1-1。</w:t>
      </w:r>
    </w:p>
    <w:p>
      <w:pPr>
        <w:spacing w:line="480" w:lineRule="exact"/>
        <w:jc w:val="center"/>
        <w:rPr>
          <w:rFonts w:ascii="黑体" w:hAnsi="黑体" w:eastAsia="黑体"/>
          <w:sz w:val="32"/>
          <w:szCs w:val="24"/>
        </w:rPr>
      </w:pPr>
      <w:r>
        <w:rPr>
          <w:rFonts w:hint="eastAsia" w:ascii="黑体" w:hAnsi="黑体" w:eastAsia="黑体"/>
          <w:sz w:val="24"/>
          <w:szCs w:val="21"/>
        </w:rPr>
        <w:t>表4.1-1  汾阳市乡镇集中式饮用水水源地保护区划定情况</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4"/>
        <w:gridCol w:w="1258"/>
        <w:gridCol w:w="1328"/>
        <w:gridCol w:w="1254"/>
        <w:gridCol w:w="1721"/>
        <w:gridCol w:w="901"/>
        <w:gridCol w:w="966"/>
        <w:gridCol w:w="11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restart"/>
            <w:vAlign w:val="center"/>
          </w:tcPr>
          <w:p>
            <w:pPr>
              <w:jc w:val="center"/>
              <w:rPr>
                <w:szCs w:val="21"/>
              </w:rPr>
            </w:pPr>
            <w:r>
              <w:rPr>
                <w:rFonts w:hint="eastAsia"/>
                <w:szCs w:val="21"/>
              </w:rPr>
              <w:t>序号</w:t>
            </w:r>
          </w:p>
        </w:tc>
        <w:tc>
          <w:tcPr>
            <w:tcW w:w="694" w:type="pct"/>
            <w:vMerge w:val="restart"/>
            <w:vAlign w:val="center"/>
          </w:tcPr>
          <w:p>
            <w:pPr>
              <w:jc w:val="center"/>
              <w:rPr>
                <w:szCs w:val="21"/>
              </w:rPr>
            </w:pPr>
            <w:r>
              <w:rPr>
                <w:rFonts w:hint="eastAsia"/>
                <w:szCs w:val="21"/>
              </w:rPr>
              <w:t>水源地名称</w:t>
            </w:r>
          </w:p>
        </w:tc>
        <w:tc>
          <w:tcPr>
            <w:tcW w:w="733" w:type="pct"/>
            <w:vMerge w:val="restart"/>
            <w:vAlign w:val="center"/>
          </w:tcPr>
          <w:p>
            <w:pPr>
              <w:jc w:val="center"/>
              <w:rPr>
                <w:szCs w:val="21"/>
              </w:rPr>
            </w:pPr>
            <w:r>
              <w:rPr>
                <w:rFonts w:hint="eastAsia"/>
                <w:szCs w:val="21"/>
              </w:rPr>
              <w:t>经度</w:t>
            </w:r>
          </w:p>
        </w:tc>
        <w:tc>
          <w:tcPr>
            <w:tcW w:w="692" w:type="pct"/>
            <w:vMerge w:val="restart"/>
            <w:vAlign w:val="center"/>
          </w:tcPr>
          <w:p>
            <w:pPr>
              <w:jc w:val="center"/>
              <w:rPr>
                <w:szCs w:val="21"/>
              </w:rPr>
            </w:pPr>
            <w:r>
              <w:rPr>
                <w:rFonts w:hint="eastAsia"/>
                <w:szCs w:val="21"/>
              </w:rPr>
              <w:t>纬度</w:t>
            </w:r>
          </w:p>
        </w:tc>
        <w:tc>
          <w:tcPr>
            <w:tcW w:w="950" w:type="pct"/>
            <w:vMerge w:val="restart"/>
            <w:vAlign w:val="center"/>
          </w:tcPr>
          <w:p>
            <w:pPr>
              <w:jc w:val="center"/>
              <w:rPr>
                <w:szCs w:val="21"/>
              </w:rPr>
            </w:pPr>
            <w:r>
              <w:rPr>
                <w:rFonts w:hint="eastAsia"/>
                <w:szCs w:val="21"/>
              </w:rPr>
              <w:t>服务对象</w:t>
            </w:r>
          </w:p>
        </w:tc>
        <w:tc>
          <w:tcPr>
            <w:tcW w:w="497" w:type="pct"/>
            <w:vMerge w:val="restart"/>
            <w:vAlign w:val="center"/>
          </w:tcPr>
          <w:p>
            <w:pPr>
              <w:jc w:val="center"/>
              <w:rPr>
                <w:szCs w:val="21"/>
              </w:rPr>
            </w:pPr>
            <w:r>
              <w:rPr>
                <w:rFonts w:hint="eastAsia"/>
                <w:szCs w:val="21"/>
              </w:rPr>
              <w:t>取水口数量</w:t>
            </w:r>
          </w:p>
        </w:tc>
        <w:tc>
          <w:tcPr>
            <w:tcW w:w="1194" w:type="pct"/>
            <w:gridSpan w:val="2"/>
            <w:vAlign w:val="center"/>
          </w:tcPr>
          <w:p>
            <w:pPr>
              <w:jc w:val="center"/>
              <w:rPr>
                <w:szCs w:val="21"/>
              </w:rPr>
            </w:pPr>
            <w:r>
              <w:rPr>
                <w:rFonts w:hint="eastAsia"/>
                <w:szCs w:val="21"/>
              </w:rPr>
              <w:t>一级保护区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continue"/>
            <w:vAlign w:val="center"/>
          </w:tcPr>
          <w:p>
            <w:pPr>
              <w:jc w:val="center"/>
              <w:rPr>
                <w:szCs w:val="21"/>
              </w:rPr>
            </w:pPr>
          </w:p>
        </w:tc>
        <w:tc>
          <w:tcPr>
            <w:tcW w:w="694" w:type="pct"/>
            <w:vMerge w:val="continue"/>
            <w:vAlign w:val="center"/>
          </w:tcPr>
          <w:p>
            <w:pPr>
              <w:jc w:val="center"/>
              <w:rPr>
                <w:szCs w:val="21"/>
              </w:rPr>
            </w:pPr>
          </w:p>
        </w:tc>
        <w:tc>
          <w:tcPr>
            <w:tcW w:w="733" w:type="pct"/>
            <w:vMerge w:val="continue"/>
            <w:vAlign w:val="center"/>
          </w:tcPr>
          <w:p>
            <w:pPr>
              <w:jc w:val="center"/>
              <w:rPr>
                <w:szCs w:val="21"/>
              </w:rPr>
            </w:pPr>
          </w:p>
        </w:tc>
        <w:tc>
          <w:tcPr>
            <w:tcW w:w="692" w:type="pct"/>
            <w:vMerge w:val="continue"/>
            <w:vAlign w:val="center"/>
          </w:tcPr>
          <w:p>
            <w:pPr>
              <w:jc w:val="center"/>
              <w:rPr>
                <w:szCs w:val="21"/>
              </w:rPr>
            </w:pPr>
          </w:p>
        </w:tc>
        <w:tc>
          <w:tcPr>
            <w:tcW w:w="950" w:type="pct"/>
            <w:vMerge w:val="continue"/>
            <w:vAlign w:val="center"/>
          </w:tcPr>
          <w:p>
            <w:pPr>
              <w:jc w:val="center"/>
              <w:rPr>
                <w:szCs w:val="21"/>
              </w:rPr>
            </w:pPr>
          </w:p>
        </w:tc>
        <w:tc>
          <w:tcPr>
            <w:tcW w:w="497" w:type="pct"/>
            <w:vMerge w:val="continue"/>
            <w:vAlign w:val="center"/>
          </w:tcPr>
          <w:p>
            <w:pPr>
              <w:jc w:val="center"/>
              <w:rPr>
                <w:szCs w:val="21"/>
              </w:rPr>
            </w:pPr>
          </w:p>
        </w:tc>
        <w:tc>
          <w:tcPr>
            <w:tcW w:w="533" w:type="pct"/>
            <w:vAlign w:val="center"/>
          </w:tcPr>
          <w:p>
            <w:pPr>
              <w:jc w:val="center"/>
              <w:rPr>
                <w:szCs w:val="21"/>
              </w:rPr>
            </w:pPr>
            <w:r>
              <w:rPr>
                <w:rFonts w:hint="eastAsia"/>
                <w:szCs w:val="21"/>
              </w:rPr>
              <w:t>半径（m）</w:t>
            </w:r>
          </w:p>
        </w:tc>
        <w:tc>
          <w:tcPr>
            <w:tcW w:w="661" w:type="pct"/>
            <w:vAlign w:val="center"/>
          </w:tcPr>
          <w:p>
            <w:pPr>
              <w:jc w:val="center"/>
              <w:rPr>
                <w:szCs w:val="21"/>
              </w:rPr>
            </w:pPr>
            <w:r>
              <w:rPr>
                <w:rFonts w:hint="eastAsia"/>
                <w:szCs w:val="21"/>
              </w:rPr>
              <w:t>面积（km</w:t>
            </w:r>
            <w:r>
              <w:rPr>
                <w:rFonts w:hint="eastAsia"/>
                <w:szCs w:val="21"/>
                <w:vertAlign w:val="superscript"/>
              </w:rPr>
              <w:t>2</w:t>
            </w:r>
            <w:r>
              <w:rPr>
                <w:rFonts w:hint="eastAsia"/>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Align w:val="center"/>
          </w:tcPr>
          <w:p>
            <w:pPr>
              <w:jc w:val="center"/>
              <w:rPr>
                <w:szCs w:val="21"/>
              </w:rPr>
            </w:pPr>
            <w:r>
              <w:rPr>
                <w:rFonts w:hint="eastAsia"/>
                <w:szCs w:val="21"/>
              </w:rPr>
              <w:t>1</w:t>
            </w:r>
          </w:p>
        </w:tc>
        <w:tc>
          <w:tcPr>
            <w:tcW w:w="694" w:type="pct"/>
            <w:vAlign w:val="center"/>
          </w:tcPr>
          <w:p>
            <w:pPr>
              <w:jc w:val="center"/>
              <w:rPr>
                <w:szCs w:val="21"/>
              </w:rPr>
            </w:pPr>
            <w:r>
              <w:rPr>
                <w:rFonts w:hint="eastAsia"/>
                <w:szCs w:val="21"/>
              </w:rPr>
              <w:t>贾家庄镇集中供水水源地</w:t>
            </w:r>
          </w:p>
        </w:tc>
        <w:tc>
          <w:tcPr>
            <w:tcW w:w="733" w:type="pct"/>
            <w:vAlign w:val="center"/>
          </w:tcPr>
          <w:p>
            <w:pPr>
              <w:jc w:val="center"/>
              <w:rPr>
                <w:szCs w:val="21"/>
              </w:rPr>
            </w:pPr>
            <w:r>
              <w:rPr>
                <w:szCs w:val="21"/>
              </w:rPr>
              <w:t>111°44′04.0″</w:t>
            </w:r>
          </w:p>
        </w:tc>
        <w:tc>
          <w:tcPr>
            <w:tcW w:w="692" w:type="pct"/>
            <w:vAlign w:val="center"/>
          </w:tcPr>
          <w:p>
            <w:pPr>
              <w:jc w:val="center"/>
              <w:rPr>
                <w:szCs w:val="21"/>
              </w:rPr>
            </w:pPr>
            <w:r>
              <w:rPr>
                <w:rFonts w:hint="eastAsia"/>
                <w:szCs w:val="21"/>
              </w:rPr>
              <w:t>37</w:t>
            </w:r>
            <w:r>
              <w:rPr>
                <w:szCs w:val="21"/>
              </w:rPr>
              <w:t>°</w:t>
            </w:r>
            <w:r>
              <w:rPr>
                <w:rFonts w:hint="eastAsia"/>
                <w:szCs w:val="21"/>
              </w:rPr>
              <w:t>18</w:t>
            </w:r>
            <w:r>
              <w:rPr>
                <w:szCs w:val="21"/>
              </w:rPr>
              <w:t>′0</w:t>
            </w:r>
            <w:r>
              <w:rPr>
                <w:rFonts w:hint="eastAsia"/>
                <w:szCs w:val="21"/>
              </w:rPr>
              <w:t>6.3</w:t>
            </w:r>
            <w:r>
              <w:rPr>
                <w:szCs w:val="21"/>
              </w:rPr>
              <w:t>″</w:t>
            </w:r>
          </w:p>
        </w:tc>
        <w:tc>
          <w:tcPr>
            <w:tcW w:w="950" w:type="pct"/>
            <w:vAlign w:val="center"/>
          </w:tcPr>
          <w:p>
            <w:pPr>
              <w:jc w:val="center"/>
              <w:rPr>
                <w:szCs w:val="21"/>
              </w:rPr>
            </w:pPr>
            <w:r>
              <w:rPr>
                <w:rFonts w:hint="eastAsia"/>
                <w:szCs w:val="21"/>
              </w:rPr>
              <w:t>贾家庄村等4个村、学校及驻地企事业单位</w:t>
            </w:r>
          </w:p>
        </w:tc>
        <w:tc>
          <w:tcPr>
            <w:tcW w:w="497" w:type="pct"/>
            <w:vAlign w:val="center"/>
          </w:tcPr>
          <w:p>
            <w:pPr>
              <w:jc w:val="center"/>
              <w:rPr>
                <w:szCs w:val="21"/>
              </w:rPr>
            </w:pPr>
            <w:r>
              <w:rPr>
                <w:rFonts w:hint="eastAsia"/>
                <w:szCs w:val="21"/>
              </w:rPr>
              <w:t>1</w:t>
            </w:r>
          </w:p>
        </w:tc>
        <w:tc>
          <w:tcPr>
            <w:tcW w:w="533" w:type="pct"/>
            <w:vAlign w:val="center"/>
          </w:tcPr>
          <w:p>
            <w:pPr>
              <w:jc w:val="center"/>
              <w:rPr>
                <w:szCs w:val="21"/>
              </w:rPr>
            </w:pPr>
            <w:r>
              <w:rPr>
                <w:rFonts w:hint="eastAsia"/>
                <w:szCs w:val="21"/>
              </w:rPr>
              <w:t>25</w:t>
            </w:r>
          </w:p>
        </w:tc>
        <w:tc>
          <w:tcPr>
            <w:tcW w:w="661" w:type="pct"/>
            <w:vAlign w:val="center"/>
          </w:tcPr>
          <w:p>
            <w:pPr>
              <w:jc w:val="center"/>
              <w:rPr>
                <w:szCs w:val="21"/>
              </w:rPr>
            </w:pPr>
            <w:r>
              <w:rPr>
                <w:rFonts w:hint="eastAsia"/>
                <w:szCs w:val="21"/>
              </w:rPr>
              <w:t>0.0020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restart"/>
            <w:vAlign w:val="center"/>
          </w:tcPr>
          <w:p>
            <w:pPr>
              <w:jc w:val="center"/>
              <w:rPr>
                <w:szCs w:val="21"/>
              </w:rPr>
            </w:pPr>
            <w:r>
              <w:rPr>
                <w:rFonts w:hint="eastAsia"/>
                <w:szCs w:val="21"/>
              </w:rPr>
              <w:t>2</w:t>
            </w:r>
          </w:p>
        </w:tc>
        <w:tc>
          <w:tcPr>
            <w:tcW w:w="694" w:type="pct"/>
            <w:vMerge w:val="restart"/>
            <w:vAlign w:val="center"/>
          </w:tcPr>
          <w:p>
            <w:pPr>
              <w:jc w:val="center"/>
              <w:rPr>
                <w:szCs w:val="21"/>
              </w:rPr>
            </w:pPr>
            <w:r>
              <w:rPr>
                <w:rFonts w:hint="eastAsia"/>
                <w:szCs w:val="21"/>
              </w:rPr>
              <w:t>杏花村镇集中供水水源地</w:t>
            </w:r>
          </w:p>
        </w:tc>
        <w:tc>
          <w:tcPr>
            <w:tcW w:w="733" w:type="pct"/>
            <w:vAlign w:val="center"/>
          </w:tcPr>
          <w:p>
            <w:pPr>
              <w:jc w:val="center"/>
              <w:rPr>
                <w:szCs w:val="21"/>
              </w:rPr>
            </w:pPr>
            <w:r>
              <w:rPr>
                <w:szCs w:val="21"/>
              </w:rPr>
              <w:t>111°</w:t>
            </w:r>
            <w:r>
              <w:rPr>
                <w:rFonts w:hint="eastAsia"/>
                <w:szCs w:val="21"/>
              </w:rPr>
              <w:t>53</w:t>
            </w:r>
            <w:r>
              <w:rPr>
                <w:szCs w:val="21"/>
              </w:rPr>
              <w:t>′</w:t>
            </w:r>
            <w:r>
              <w:rPr>
                <w:rFonts w:hint="eastAsia"/>
                <w:szCs w:val="21"/>
              </w:rPr>
              <w:t>43.7</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21</w:t>
            </w:r>
            <w:r>
              <w:rPr>
                <w:szCs w:val="21"/>
              </w:rPr>
              <w:t>′0</w:t>
            </w:r>
            <w:r>
              <w:rPr>
                <w:rFonts w:hint="eastAsia"/>
                <w:szCs w:val="21"/>
              </w:rPr>
              <w:t>2.4</w:t>
            </w:r>
            <w:r>
              <w:rPr>
                <w:szCs w:val="21"/>
              </w:rPr>
              <w:t>″</w:t>
            </w:r>
          </w:p>
        </w:tc>
        <w:tc>
          <w:tcPr>
            <w:tcW w:w="950" w:type="pct"/>
            <w:vMerge w:val="restart"/>
            <w:vAlign w:val="center"/>
          </w:tcPr>
          <w:p>
            <w:pPr>
              <w:jc w:val="center"/>
              <w:rPr>
                <w:szCs w:val="21"/>
              </w:rPr>
            </w:pPr>
            <w:r>
              <w:rPr>
                <w:rFonts w:hint="eastAsia"/>
                <w:szCs w:val="21"/>
              </w:rPr>
              <w:t>西堡村等7个村、学校及驻地企事业单位</w:t>
            </w:r>
          </w:p>
        </w:tc>
        <w:tc>
          <w:tcPr>
            <w:tcW w:w="497" w:type="pct"/>
            <w:vMerge w:val="restart"/>
            <w:vAlign w:val="center"/>
          </w:tcPr>
          <w:p>
            <w:pPr>
              <w:jc w:val="center"/>
              <w:rPr>
                <w:szCs w:val="21"/>
              </w:rPr>
            </w:pPr>
            <w:r>
              <w:rPr>
                <w:rFonts w:hint="eastAsia"/>
                <w:szCs w:val="21"/>
              </w:rPr>
              <w:t>2</w:t>
            </w:r>
          </w:p>
        </w:tc>
        <w:tc>
          <w:tcPr>
            <w:tcW w:w="533" w:type="pct"/>
            <w:vAlign w:val="center"/>
          </w:tcPr>
          <w:p>
            <w:pPr>
              <w:jc w:val="center"/>
              <w:rPr>
                <w:szCs w:val="21"/>
              </w:rPr>
            </w:pPr>
            <w:r>
              <w:rPr>
                <w:rFonts w:hint="eastAsia"/>
                <w:szCs w:val="21"/>
              </w:rPr>
              <w:t>70</w:t>
            </w:r>
          </w:p>
        </w:tc>
        <w:tc>
          <w:tcPr>
            <w:tcW w:w="661" w:type="pct"/>
            <w:vAlign w:val="center"/>
          </w:tcPr>
          <w:p>
            <w:pPr>
              <w:jc w:val="center"/>
              <w:rPr>
                <w:szCs w:val="21"/>
              </w:rPr>
            </w:pPr>
            <w:r>
              <w:rPr>
                <w:rFonts w:hint="eastAsia"/>
                <w:szCs w:val="21"/>
              </w:rPr>
              <w:t>0.0150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continue"/>
            <w:vAlign w:val="center"/>
          </w:tcPr>
          <w:p>
            <w:pPr>
              <w:jc w:val="center"/>
              <w:rPr>
                <w:szCs w:val="21"/>
              </w:rPr>
            </w:pPr>
          </w:p>
        </w:tc>
        <w:tc>
          <w:tcPr>
            <w:tcW w:w="694" w:type="pct"/>
            <w:vMerge w:val="continue"/>
            <w:vAlign w:val="center"/>
          </w:tcPr>
          <w:p>
            <w:pPr>
              <w:jc w:val="center"/>
              <w:rPr>
                <w:szCs w:val="21"/>
              </w:rPr>
            </w:pPr>
          </w:p>
        </w:tc>
        <w:tc>
          <w:tcPr>
            <w:tcW w:w="733" w:type="pct"/>
            <w:vAlign w:val="center"/>
          </w:tcPr>
          <w:p>
            <w:pPr>
              <w:jc w:val="center"/>
              <w:rPr>
                <w:szCs w:val="21"/>
              </w:rPr>
            </w:pPr>
            <w:r>
              <w:rPr>
                <w:szCs w:val="21"/>
              </w:rPr>
              <w:t>111°</w:t>
            </w:r>
            <w:r>
              <w:rPr>
                <w:rFonts w:hint="eastAsia"/>
                <w:szCs w:val="21"/>
              </w:rPr>
              <w:t>53</w:t>
            </w:r>
            <w:r>
              <w:rPr>
                <w:szCs w:val="21"/>
              </w:rPr>
              <w:t>′</w:t>
            </w:r>
            <w:r>
              <w:rPr>
                <w:rFonts w:hint="eastAsia"/>
                <w:szCs w:val="21"/>
              </w:rPr>
              <w:t>40.8</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20</w:t>
            </w:r>
            <w:r>
              <w:rPr>
                <w:szCs w:val="21"/>
              </w:rPr>
              <w:t>′</w:t>
            </w:r>
            <w:r>
              <w:rPr>
                <w:rFonts w:hint="eastAsia"/>
                <w:szCs w:val="21"/>
              </w:rPr>
              <w:t>51.2</w:t>
            </w:r>
            <w:r>
              <w:rPr>
                <w:szCs w:val="21"/>
              </w:rPr>
              <w:t>″</w:t>
            </w:r>
          </w:p>
        </w:tc>
        <w:tc>
          <w:tcPr>
            <w:tcW w:w="950" w:type="pct"/>
            <w:vMerge w:val="continue"/>
            <w:vAlign w:val="center"/>
          </w:tcPr>
          <w:p>
            <w:pPr>
              <w:jc w:val="center"/>
              <w:rPr>
                <w:szCs w:val="21"/>
              </w:rPr>
            </w:pPr>
          </w:p>
        </w:tc>
        <w:tc>
          <w:tcPr>
            <w:tcW w:w="497" w:type="pct"/>
            <w:vMerge w:val="continue"/>
            <w:vAlign w:val="center"/>
          </w:tcPr>
          <w:p>
            <w:pPr>
              <w:jc w:val="center"/>
              <w:rPr>
                <w:szCs w:val="21"/>
              </w:rPr>
            </w:pPr>
          </w:p>
        </w:tc>
        <w:tc>
          <w:tcPr>
            <w:tcW w:w="533" w:type="pct"/>
            <w:vAlign w:val="center"/>
          </w:tcPr>
          <w:p>
            <w:pPr>
              <w:jc w:val="center"/>
              <w:rPr>
                <w:szCs w:val="21"/>
              </w:rPr>
            </w:pPr>
            <w:r>
              <w:rPr>
                <w:rFonts w:hint="eastAsia"/>
                <w:szCs w:val="21"/>
              </w:rPr>
              <w:t>70</w:t>
            </w:r>
          </w:p>
        </w:tc>
        <w:tc>
          <w:tcPr>
            <w:tcW w:w="661" w:type="pct"/>
            <w:vAlign w:val="center"/>
          </w:tcPr>
          <w:p>
            <w:pPr>
              <w:jc w:val="center"/>
              <w:rPr>
                <w:szCs w:val="21"/>
              </w:rPr>
            </w:pPr>
            <w:r>
              <w:rPr>
                <w:rFonts w:hint="eastAsia"/>
                <w:szCs w:val="21"/>
              </w:rPr>
              <w:t>0.0150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Align w:val="center"/>
          </w:tcPr>
          <w:p>
            <w:pPr>
              <w:jc w:val="center"/>
              <w:rPr>
                <w:szCs w:val="21"/>
              </w:rPr>
            </w:pPr>
            <w:r>
              <w:rPr>
                <w:rFonts w:hint="eastAsia"/>
                <w:szCs w:val="21"/>
              </w:rPr>
              <w:t>3</w:t>
            </w:r>
          </w:p>
        </w:tc>
        <w:tc>
          <w:tcPr>
            <w:tcW w:w="694" w:type="pct"/>
            <w:vAlign w:val="center"/>
          </w:tcPr>
          <w:p>
            <w:pPr>
              <w:jc w:val="center"/>
              <w:rPr>
                <w:szCs w:val="21"/>
              </w:rPr>
            </w:pPr>
            <w:r>
              <w:rPr>
                <w:rFonts w:hint="eastAsia"/>
                <w:szCs w:val="21"/>
              </w:rPr>
              <w:t>冀村镇集中供水水源地</w:t>
            </w:r>
          </w:p>
        </w:tc>
        <w:tc>
          <w:tcPr>
            <w:tcW w:w="733" w:type="pct"/>
            <w:vAlign w:val="center"/>
          </w:tcPr>
          <w:p>
            <w:pPr>
              <w:jc w:val="center"/>
              <w:rPr>
                <w:szCs w:val="21"/>
              </w:rPr>
            </w:pPr>
            <w:r>
              <w:rPr>
                <w:szCs w:val="21"/>
              </w:rPr>
              <w:t>111°</w:t>
            </w:r>
            <w:r>
              <w:rPr>
                <w:rFonts w:hint="eastAsia"/>
                <w:szCs w:val="21"/>
              </w:rPr>
              <w:t>58</w:t>
            </w:r>
            <w:r>
              <w:rPr>
                <w:szCs w:val="21"/>
              </w:rPr>
              <w:t>′</w:t>
            </w:r>
            <w:r>
              <w:rPr>
                <w:rFonts w:hint="eastAsia"/>
                <w:szCs w:val="21"/>
              </w:rPr>
              <w:t>01.0</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20</w:t>
            </w:r>
            <w:r>
              <w:rPr>
                <w:szCs w:val="21"/>
              </w:rPr>
              <w:t>′</w:t>
            </w:r>
            <w:r>
              <w:rPr>
                <w:rFonts w:hint="eastAsia"/>
                <w:szCs w:val="21"/>
              </w:rPr>
              <w:t>00.1</w:t>
            </w:r>
            <w:r>
              <w:rPr>
                <w:szCs w:val="21"/>
              </w:rPr>
              <w:t>″</w:t>
            </w:r>
          </w:p>
        </w:tc>
        <w:tc>
          <w:tcPr>
            <w:tcW w:w="950" w:type="pct"/>
            <w:vAlign w:val="center"/>
          </w:tcPr>
          <w:p>
            <w:pPr>
              <w:jc w:val="center"/>
              <w:rPr>
                <w:szCs w:val="21"/>
              </w:rPr>
            </w:pPr>
            <w:r>
              <w:rPr>
                <w:rFonts w:hint="eastAsia"/>
                <w:szCs w:val="21"/>
              </w:rPr>
              <w:t>冀村等3个村、学校及驻地企事业单位</w:t>
            </w:r>
          </w:p>
        </w:tc>
        <w:tc>
          <w:tcPr>
            <w:tcW w:w="497" w:type="pct"/>
            <w:vAlign w:val="center"/>
          </w:tcPr>
          <w:p>
            <w:pPr>
              <w:jc w:val="center"/>
              <w:rPr>
                <w:szCs w:val="21"/>
              </w:rPr>
            </w:pPr>
            <w:r>
              <w:rPr>
                <w:rFonts w:hint="eastAsia"/>
                <w:szCs w:val="21"/>
              </w:rPr>
              <w:t>1</w:t>
            </w:r>
          </w:p>
        </w:tc>
        <w:tc>
          <w:tcPr>
            <w:tcW w:w="533" w:type="pct"/>
            <w:vAlign w:val="center"/>
          </w:tcPr>
          <w:p>
            <w:pPr>
              <w:jc w:val="center"/>
              <w:rPr>
                <w:szCs w:val="21"/>
              </w:rPr>
            </w:pPr>
            <w:r>
              <w:rPr>
                <w:rFonts w:hint="eastAsia"/>
                <w:szCs w:val="21"/>
              </w:rPr>
              <w:t>80</w:t>
            </w:r>
          </w:p>
        </w:tc>
        <w:tc>
          <w:tcPr>
            <w:tcW w:w="661" w:type="pct"/>
            <w:vAlign w:val="center"/>
          </w:tcPr>
          <w:p>
            <w:pPr>
              <w:jc w:val="center"/>
              <w:rPr>
                <w:szCs w:val="21"/>
              </w:rPr>
            </w:pPr>
            <w:r>
              <w:rPr>
                <w:rFonts w:hint="eastAsia"/>
                <w:szCs w:val="21"/>
              </w:rPr>
              <w:t>0.0200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restart"/>
            <w:vAlign w:val="center"/>
          </w:tcPr>
          <w:p>
            <w:pPr>
              <w:jc w:val="center"/>
              <w:rPr>
                <w:szCs w:val="21"/>
              </w:rPr>
            </w:pPr>
            <w:r>
              <w:rPr>
                <w:rFonts w:hint="eastAsia"/>
                <w:szCs w:val="21"/>
              </w:rPr>
              <w:t>4</w:t>
            </w:r>
          </w:p>
        </w:tc>
        <w:tc>
          <w:tcPr>
            <w:tcW w:w="694" w:type="pct"/>
            <w:vMerge w:val="restart"/>
            <w:vAlign w:val="center"/>
          </w:tcPr>
          <w:p>
            <w:pPr>
              <w:jc w:val="center"/>
              <w:rPr>
                <w:szCs w:val="21"/>
              </w:rPr>
            </w:pPr>
            <w:r>
              <w:rPr>
                <w:rFonts w:hint="eastAsia"/>
                <w:szCs w:val="21"/>
              </w:rPr>
              <w:t>肖家庄镇集中供水水源地</w:t>
            </w:r>
          </w:p>
        </w:tc>
        <w:tc>
          <w:tcPr>
            <w:tcW w:w="733" w:type="pct"/>
            <w:vAlign w:val="center"/>
          </w:tcPr>
          <w:p>
            <w:pPr>
              <w:jc w:val="center"/>
              <w:rPr>
                <w:szCs w:val="21"/>
              </w:rPr>
            </w:pPr>
            <w:r>
              <w:rPr>
                <w:szCs w:val="21"/>
              </w:rPr>
              <w:t>111°</w:t>
            </w:r>
            <w:r>
              <w:rPr>
                <w:rFonts w:hint="eastAsia"/>
                <w:szCs w:val="21"/>
              </w:rPr>
              <w:t>44</w:t>
            </w:r>
            <w:r>
              <w:rPr>
                <w:szCs w:val="21"/>
              </w:rPr>
              <w:t>′</w:t>
            </w:r>
            <w:r>
              <w:rPr>
                <w:rFonts w:hint="eastAsia"/>
                <w:szCs w:val="21"/>
              </w:rPr>
              <w:t>30.3</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17</w:t>
            </w:r>
            <w:r>
              <w:rPr>
                <w:szCs w:val="21"/>
              </w:rPr>
              <w:t>′</w:t>
            </w:r>
            <w:r>
              <w:rPr>
                <w:rFonts w:hint="eastAsia"/>
                <w:szCs w:val="21"/>
              </w:rPr>
              <w:t>42.4</w:t>
            </w:r>
            <w:r>
              <w:rPr>
                <w:szCs w:val="21"/>
              </w:rPr>
              <w:t>″</w:t>
            </w:r>
          </w:p>
        </w:tc>
        <w:tc>
          <w:tcPr>
            <w:tcW w:w="950" w:type="pct"/>
            <w:vMerge w:val="restart"/>
            <w:vAlign w:val="center"/>
          </w:tcPr>
          <w:p>
            <w:pPr>
              <w:jc w:val="center"/>
              <w:rPr>
                <w:szCs w:val="21"/>
              </w:rPr>
            </w:pPr>
            <w:r>
              <w:rPr>
                <w:rFonts w:hint="eastAsia"/>
                <w:szCs w:val="21"/>
              </w:rPr>
              <w:t>肖家庄村等5个村、学校及驻地企事业单位</w:t>
            </w:r>
          </w:p>
        </w:tc>
        <w:tc>
          <w:tcPr>
            <w:tcW w:w="497" w:type="pct"/>
            <w:vMerge w:val="restart"/>
            <w:vAlign w:val="center"/>
          </w:tcPr>
          <w:p>
            <w:pPr>
              <w:jc w:val="center"/>
              <w:rPr>
                <w:szCs w:val="21"/>
              </w:rPr>
            </w:pPr>
            <w:r>
              <w:rPr>
                <w:rFonts w:hint="eastAsia"/>
                <w:szCs w:val="21"/>
              </w:rPr>
              <w:t>2</w:t>
            </w:r>
          </w:p>
        </w:tc>
        <w:tc>
          <w:tcPr>
            <w:tcW w:w="533" w:type="pct"/>
            <w:vAlign w:val="center"/>
          </w:tcPr>
          <w:p>
            <w:pPr>
              <w:jc w:val="center"/>
              <w:rPr>
                <w:szCs w:val="21"/>
              </w:rPr>
            </w:pPr>
            <w:r>
              <w:rPr>
                <w:rFonts w:hint="eastAsia"/>
                <w:szCs w:val="21"/>
              </w:rPr>
              <w:t>25</w:t>
            </w:r>
          </w:p>
        </w:tc>
        <w:tc>
          <w:tcPr>
            <w:tcW w:w="661" w:type="pct"/>
            <w:vAlign w:val="center"/>
          </w:tcPr>
          <w:p>
            <w:pPr>
              <w:jc w:val="center"/>
              <w:rPr>
                <w:szCs w:val="21"/>
              </w:rPr>
            </w:pPr>
            <w:r>
              <w:rPr>
                <w:rFonts w:hint="eastAsia"/>
                <w:szCs w:val="21"/>
              </w:rPr>
              <w:t>0.0020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continue"/>
            <w:vAlign w:val="center"/>
          </w:tcPr>
          <w:p>
            <w:pPr>
              <w:jc w:val="center"/>
              <w:rPr>
                <w:szCs w:val="21"/>
              </w:rPr>
            </w:pPr>
          </w:p>
        </w:tc>
        <w:tc>
          <w:tcPr>
            <w:tcW w:w="694" w:type="pct"/>
            <w:vMerge w:val="continue"/>
            <w:vAlign w:val="center"/>
          </w:tcPr>
          <w:p>
            <w:pPr>
              <w:jc w:val="center"/>
              <w:rPr>
                <w:szCs w:val="21"/>
              </w:rPr>
            </w:pPr>
          </w:p>
        </w:tc>
        <w:tc>
          <w:tcPr>
            <w:tcW w:w="733" w:type="pct"/>
            <w:vAlign w:val="center"/>
          </w:tcPr>
          <w:p>
            <w:pPr>
              <w:jc w:val="center"/>
              <w:rPr>
                <w:szCs w:val="21"/>
              </w:rPr>
            </w:pPr>
            <w:r>
              <w:rPr>
                <w:szCs w:val="21"/>
              </w:rPr>
              <w:t>111°</w:t>
            </w:r>
            <w:r>
              <w:rPr>
                <w:rFonts w:hint="eastAsia"/>
                <w:szCs w:val="21"/>
              </w:rPr>
              <w:t>44</w:t>
            </w:r>
            <w:r>
              <w:rPr>
                <w:szCs w:val="21"/>
              </w:rPr>
              <w:t>′</w:t>
            </w:r>
            <w:r>
              <w:rPr>
                <w:rFonts w:hint="eastAsia"/>
                <w:szCs w:val="21"/>
              </w:rPr>
              <w:t>23.8</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17</w:t>
            </w:r>
            <w:r>
              <w:rPr>
                <w:szCs w:val="21"/>
              </w:rPr>
              <w:t>′</w:t>
            </w:r>
            <w:r>
              <w:rPr>
                <w:rFonts w:hint="eastAsia"/>
                <w:szCs w:val="21"/>
              </w:rPr>
              <w:t>48.4</w:t>
            </w:r>
            <w:r>
              <w:rPr>
                <w:szCs w:val="21"/>
              </w:rPr>
              <w:t>″</w:t>
            </w:r>
          </w:p>
        </w:tc>
        <w:tc>
          <w:tcPr>
            <w:tcW w:w="950" w:type="pct"/>
            <w:vMerge w:val="continue"/>
            <w:vAlign w:val="center"/>
          </w:tcPr>
          <w:p>
            <w:pPr>
              <w:jc w:val="center"/>
              <w:rPr>
                <w:szCs w:val="21"/>
              </w:rPr>
            </w:pPr>
          </w:p>
        </w:tc>
        <w:tc>
          <w:tcPr>
            <w:tcW w:w="497" w:type="pct"/>
            <w:vMerge w:val="continue"/>
            <w:vAlign w:val="center"/>
          </w:tcPr>
          <w:p>
            <w:pPr>
              <w:jc w:val="center"/>
              <w:rPr>
                <w:szCs w:val="21"/>
              </w:rPr>
            </w:pPr>
          </w:p>
        </w:tc>
        <w:tc>
          <w:tcPr>
            <w:tcW w:w="533" w:type="pct"/>
            <w:vAlign w:val="center"/>
          </w:tcPr>
          <w:p>
            <w:pPr>
              <w:jc w:val="center"/>
              <w:rPr>
                <w:szCs w:val="21"/>
              </w:rPr>
            </w:pPr>
            <w:r>
              <w:rPr>
                <w:rFonts w:hint="eastAsia"/>
                <w:szCs w:val="21"/>
              </w:rPr>
              <w:t>25</w:t>
            </w:r>
          </w:p>
        </w:tc>
        <w:tc>
          <w:tcPr>
            <w:tcW w:w="661" w:type="pct"/>
            <w:vAlign w:val="center"/>
          </w:tcPr>
          <w:p>
            <w:pPr>
              <w:jc w:val="center"/>
              <w:rPr>
                <w:szCs w:val="21"/>
              </w:rPr>
            </w:pPr>
            <w:r>
              <w:rPr>
                <w:rFonts w:hint="eastAsia"/>
                <w:szCs w:val="21"/>
              </w:rPr>
              <w:t>0.0020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restart"/>
            <w:vAlign w:val="center"/>
          </w:tcPr>
          <w:p>
            <w:pPr>
              <w:jc w:val="center"/>
              <w:rPr>
                <w:szCs w:val="21"/>
              </w:rPr>
            </w:pPr>
            <w:r>
              <w:rPr>
                <w:rFonts w:hint="eastAsia"/>
                <w:szCs w:val="21"/>
              </w:rPr>
              <w:t>5</w:t>
            </w:r>
          </w:p>
        </w:tc>
        <w:tc>
          <w:tcPr>
            <w:tcW w:w="694" w:type="pct"/>
            <w:vMerge w:val="restart"/>
            <w:vAlign w:val="center"/>
          </w:tcPr>
          <w:p>
            <w:pPr>
              <w:jc w:val="center"/>
              <w:rPr>
                <w:szCs w:val="21"/>
              </w:rPr>
            </w:pPr>
            <w:r>
              <w:rPr>
                <w:rFonts w:hint="eastAsia"/>
                <w:szCs w:val="21"/>
              </w:rPr>
              <w:t>演武镇集中供水水源地</w:t>
            </w:r>
          </w:p>
        </w:tc>
        <w:tc>
          <w:tcPr>
            <w:tcW w:w="733" w:type="pct"/>
            <w:vAlign w:val="center"/>
          </w:tcPr>
          <w:p>
            <w:pPr>
              <w:jc w:val="center"/>
              <w:rPr>
                <w:szCs w:val="21"/>
              </w:rPr>
            </w:pPr>
            <w:r>
              <w:rPr>
                <w:szCs w:val="21"/>
              </w:rPr>
              <w:t>111°</w:t>
            </w:r>
            <w:r>
              <w:rPr>
                <w:rFonts w:hint="eastAsia"/>
                <w:szCs w:val="21"/>
              </w:rPr>
              <w:t>44</w:t>
            </w:r>
            <w:r>
              <w:rPr>
                <w:szCs w:val="21"/>
              </w:rPr>
              <w:t>′</w:t>
            </w:r>
            <w:r>
              <w:rPr>
                <w:rFonts w:hint="eastAsia"/>
                <w:szCs w:val="21"/>
              </w:rPr>
              <w:t>21.8</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17</w:t>
            </w:r>
            <w:r>
              <w:rPr>
                <w:szCs w:val="21"/>
              </w:rPr>
              <w:t>′</w:t>
            </w:r>
            <w:r>
              <w:rPr>
                <w:rFonts w:hint="eastAsia"/>
                <w:szCs w:val="21"/>
              </w:rPr>
              <w:t>43.5</w:t>
            </w:r>
            <w:r>
              <w:rPr>
                <w:szCs w:val="21"/>
              </w:rPr>
              <w:t>″</w:t>
            </w:r>
          </w:p>
        </w:tc>
        <w:tc>
          <w:tcPr>
            <w:tcW w:w="950" w:type="pct"/>
            <w:vMerge w:val="restart"/>
            <w:vAlign w:val="center"/>
          </w:tcPr>
          <w:p>
            <w:pPr>
              <w:jc w:val="center"/>
              <w:rPr>
                <w:szCs w:val="21"/>
              </w:rPr>
            </w:pPr>
            <w:r>
              <w:rPr>
                <w:rFonts w:hint="eastAsia"/>
                <w:szCs w:val="21"/>
              </w:rPr>
              <w:t>演武村等7个村、学校及驻地企事业单位</w:t>
            </w:r>
          </w:p>
        </w:tc>
        <w:tc>
          <w:tcPr>
            <w:tcW w:w="497" w:type="pct"/>
            <w:vMerge w:val="restart"/>
            <w:vAlign w:val="center"/>
          </w:tcPr>
          <w:p>
            <w:pPr>
              <w:jc w:val="center"/>
              <w:rPr>
                <w:szCs w:val="21"/>
              </w:rPr>
            </w:pPr>
            <w:r>
              <w:rPr>
                <w:rFonts w:hint="eastAsia"/>
                <w:szCs w:val="21"/>
              </w:rPr>
              <w:t>2</w:t>
            </w:r>
          </w:p>
        </w:tc>
        <w:tc>
          <w:tcPr>
            <w:tcW w:w="533" w:type="pct"/>
            <w:vAlign w:val="center"/>
          </w:tcPr>
          <w:p>
            <w:pPr>
              <w:jc w:val="center"/>
              <w:rPr>
                <w:szCs w:val="21"/>
              </w:rPr>
            </w:pPr>
            <w:r>
              <w:rPr>
                <w:rFonts w:hint="eastAsia"/>
                <w:szCs w:val="21"/>
              </w:rPr>
              <w:t>25</w:t>
            </w:r>
          </w:p>
        </w:tc>
        <w:tc>
          <w:tcPr>
            <w:tcW w:w="661" w:type="pct"/>
            <w:vAlign w:val="center"/>
          </w:tcPr>
          <w:p>
            <w:pPr>
              <w:jc w:val="center"/>
              <w:rPr>
                <w:szCs w:val="21"/>
              </w:rPr>
            </w:pPr>
            <w:r>
              <w:rPr>
                <w:rFonts w:hint="eastAsia"/>
                <w:szCs w:val="21"/>
              </w:rPr>
              <w:t>0.0020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continue"/>
            <w:vAlign w:val="center"/>
          </w:tcPr>
          <w:p>
            <w:pPr>
              <w:jc w:val="center"/>
              <w:rPr>
                <w:szCs w:val="21"/>
              </w:rPr>
            </w:pPr>
          </w:p>
        </w:tc>
        <w:tc>
          <w:tcPr>
            <w:tcW w:w="694" w:type="pct"/>
            <w:vMerge w:val="continue"/>
            <w:vAlign w:val="center"/>
          </w:tcPr>
          <w:p>
            <w:pPr>
              <w:jc w:val="center"/>
              <w:rPr>
                <w:szCs w:val="21"/>
              </w:rPr>
            </w:pPr>
          </w:p>
        </w:tc>
        <w:tc>
          <w:tcPr>
            <w:tcW w:w="733" w:type="pct"/>
            <w:vAlign w:val="center"/>
          </w:tcPr>
          <w:p>
            <w:pPr>
              <w:jc w:val="center"/>
              <w:rPr>
                <w:szCs w:val="21"/>
              </w:rPr>
            </w:pPr>
            <w:r>
              <w:rPr>
                <w:szCs w:val="21"/>
              </w:rPr>
              <w:t>111°</w:t>
            </w:r>
            <w:r>
              <w:rPr>
                <w:rFonts w:hint="eastAsia"/>
                <w:szCs w:val="21"/>
              </w:rPr>
              <w:t>44</w:t>
            </w:r>
            <w:r>
              <w:rPr>
                <w:szCs w:val="21"/>
              </w:rPr>
              <w:t>′</w:t>
            </w:r>
            <w:r>
              <w:rPr>
                <w:rFonts w:hint="eastAsia"/>
                <w:szCs w:val="21"/>
              </w:rPr>
              <w:t>13.9</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17</w:t>
            </w:r>
            <w:r>
              <w:rPr>
                <w:szCs w:val="21"/>
              </w:rPr>
              <w:t>′</w:t>
            </w:r>
            <w:r>
              <w:rPr>
                <w:rFonts w:hint="eastAsia"/>
                <w:szCs w:val="21"/>
              </w:rPr>
              <w:t>55.5</w:t>
            </w:r>
            <w:r>
              <w:rPr>
                <w:szCs w:val="21"/>
              </w:rPr>
              <w:t>″</w:t>
            </w:r>
          </w:p>
        </w:tc>
        <w:tc>
          <w:tcPr>
            <w:tcW w:w="950" w:type="pct"/>
            <w:vMerge w:val="continue"/>
            <w:vAlign w:val="center"/>
          </w:tcPr>
          <w:p>
            <w:pPr>
              <w:jc w:val="center"/>
              <w:rPr>
                <w:szCs w:val="21"/>
              </w:rPr>
            </w:pPr>
          </w:p>
        </w:tc>
        <w:tc>
          <w:tcPr>
            <w:tcW w:w="497" w:type="pct"/>
            <w:vMerge w:val="continue"/>
            <w:vAlign w:val="center"/>
          </w:tcPr>
          <w:p>
            <w:pPr>
              <w:jc w:val="center"/>
              <w:rPr>
                <w:szCs w:val="21"/>
              </w:rPr>
            </w:pPr>
          </w:p>
        </w:tc>
        <w:tc>
          <w:tcPr>
            <w:tcW w:w="533" w:type="pct"/>
            <w:vAlign w:val="center"/>
          </w:tcPr>
          <w:p>
            <w:pPr>
              <w:jc w:val="center"/>
              <w:rPr>
                <w:szCs w:val="21"/>
              </w:rPr>
            </w:pPr>
            <w:r>
              <w:rPr>
                <w:rFonts w:hint="eastAsia"/>
                <w:szCs w:val="21"/>
              </w:rPr>
              <w:t>25</w:t>
            </w:r>
          </w:p>
        </w:tc>
        <w:tc>
          <w:tcPr>
            <w:tcW w:w="661" w:type="pct"/>
            <w:vAlign w:val="center"/>
          </w:tcPr>
          <w:p>
            <w:pPr>
              <w:jc w:val="center"/>
              <w:rPr>
                <w:szCs w:val="21"/>
              </w:rPr>
            </w:pPr>
            <w:r>
              <w:rPr>
                <w:rFonts w:hint="eastAsia"/>
                <w:szCs w:val="21"/>
              </w:rPr>
              <w:t>0.0020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Align w:val="center"/>
          </w:tcPr>
          <w:p>
            <w:pPr>
              <w:jc w:val="center"/>
              <w:rPr>
                <w:szCs w:val="21"/>
              </w:rPr>
            </w:pPr>
            <w:r>
              <w:rPr>
                <w:rFonts w:hint="eastAsia"/>
                <w:szCs w:val="21"/>
              </w:rPr>
              <w:t>6</w:t>
            </w:r>
          </w:p>
        </w:tc>
        <w:tc>
          <w:tcPr>
            <w:tcW w:w="694" w:type="pct"/>
            <w:vAlign w:val="center"/>
          </w:tcPr>
          <w:p>
            <w:pPr>
              <w:jc w:val="center"/>
              <w:rPr>
                <w:szCs w:val="21"/>
              </w:rPr>
            </w:pPr>
            <w:r>
              <w:rPr>
                <w:rFonts w:hint="eastAsia"/>
                <w:szCs w:val="21"/>
              </w:rPr>
              <w:t>三泉镇集中供水水源地</w:t>
            </w:r>
          </w:p>
        </w:tc>
        <w:tc>
          <w:tcPr>
            <w:tcW w:w="733" w:type="pct"/>
            <w:vAlign w:val="center"/>
          </w:tcPr>
          <w:p>
            <w:pPr>
              <w:jc w:val="center"/>
              <w:rPr>
                <w:szCs w:val="21"/>
              </w:rPr>
            </w:pPr>
            <w:r>
              <w:rPr>
                <w:szCs w:val="21"/>
              </w:rPr>
              <w:t>111°</w:t>
            </w:r>
            <w:r>
              <w:rPr>
                <w:rFonts w:hint="eastAsia"/>
                <w:szCs w:val="21"/>
              </w:rPr>
              <w:t>40</w:t>
            </w:r>
            <w:r>
              <w:rPr>
                <w:szCs w:val="21"/>
              </w:rPr>
              <w:t>′</w:t>
            </w:r>
            <w:r>
              <w:rPr>
                <w:rFonts w:hint="eastAsia"/>
                <w:szCs w:val="21"/>
              </w:rPr>
              <w:t>01.4</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11</w:t>
            </w:r>
            <w:r>
              <w:rPr>
                <w:szCs w:val="21"/>
              </w:rPr>
              <w:t>′</w:t>
            </w:r>
            <w:r>
              <w:rPr>
                <w:rFonts w:hint="eastAsia"/>
                <w:szCs w:val="21"/>
              </w:rPr>
              <w:t>20.0</w:t>
            </w:r>
            <w:r>
              <w:rPr>
                <w:szCs w:val="21"/>
              </w:rPr>
              <w:t>″</w:t>
            </w:r>
          </w:p>
        </w:tc>
        <w:tc>
          <w:tcPr>
            <w:tcW w:w="950" w:type="pct"/>
            <w:vAlign w:val="center"/>
          </w:tcPr>
          <w:p>
            <w:pPr>
              <w:jc w:val="center"/>
              <w:rPr>
                <w:szCs w:val="21"/>
              </w:rPr>
            </w:pPr>
            <w:r>
              <w:rPr>
                <w:rFonts w:hint="eastAsia"/>
                <w:szCs w:val="21"/>
              </w:rPr>
              <w:t>员庄村等10个村、学校及驻地企事业单位</w:t>
            </w:r>
          </w:p>
        </w:tc>
        <w:tc>
          <w:tcPr>
            <w:tcW w:w="497" w:type="pct"/>
            <w:vAlign w:val="center"/>
          </w:tcPr>
          <w:p>
            <w:pPr>
              <w:jc w:val="center"/>
              <w:rPr>
                <w:szCs w:val="21"/>
              </w:rPr>
            </w:pPr>
            <w:r>
              <w:rPr>
                <w:rFonts w:hint="eastAsia"/>
                <w:szCs w:val="21"/>
              </w:rPr>
              <w:t>1</w:t>
            </w:r>
          </w:p>
        </w:tc>
        <w:tc>
          <w:tcPr>
            <w:tcW w:w="533" w:type="pct"/>
            <w:vAlign w:val="center"/>
          </w:tcPr>
          <w:p>
            <w:pPr>
              <w:jc w:val="center"/>
              <w:rPr>
                <w:szCs w:val="21"/>
              </w:rPr>
            </w:pPr>
            <w:r>
              <w:rPr>
                <w:rFonts w:hint="eastAsia"/>
                <w:szCs w:val="21"/>
              </w:rPr>
              <w:t>30</w:t>
            </w:r>
          </w:p>
        </w:tc>
        <w:tc>
          <w:tcPr>
            <w:tcW w:w="661" w:type="pct"/>
            <w:vAlign w:val="center"/>
          </w:tcPr>
          <w:p>
            <w:pPr>
              <w:jc w:val="center"/>
              <w:rPr>
                <w:szCs w:val="21"/>
              </w:rPr>
            </w:pPr>
            <w:r>
              <w:rPr>
                <w:rFonts w:hint="eastAsia"/>
                <w:szCs w:val="21"/>
              </w:rPr>
              <w:t>0.0028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Align w:val="center"/>
          </w:tcPr>
          <w:p>
            <w:pPr>
              <w:jc w:val="center"/>
              <w:rPr>
                <w:szCs w:val="21"/>
              </w:rPr>
            </w:pPr>
            <w:r>
              <w:rPr>
                <w:rFonts w:hint="eastAsia"/>
                <w:szCs w:val="21"/>
              </w:rPr>
              <w:t>7</w:t>
            </w:r>
          </w:p>
        </w:tc>
        <w:tc>
          <w:tcPr>
            <w:tcW w:w="694" w:type="pct"/>
            <w:vAlign w:val="center"/>
          </w:tcPr>
          <w:p>
            <w:pPr>
              <w:jc w:val="center"/>
              <w:rPr>
                <w:szCs w:val="21"/>
              </w:rPr>
            </w:pPr>
            <w:r>
              <w:rPr>
                <w:rFonts w:hint="eastAsia"/>
                <w:szCs w:val="21"/>
              </w:rPr>
              <w:t>石庄镇集中供水水源地</w:t>
            </w:r>
          </w:p>
        </w:tc>
        <w:tc>
          <w:tcPr>
            <w:tcW w:w="733" w:type="pct"/>
            <w:vAlign w:val="center"/>
          </w:tcPr>
          <w:p>
            <w:pPr>
              <w:jc w:val="center"/>
              <w:rPr>
                <w:szCs w:val="21"/>
              </w:rPr>
            </w:pPr>
            <w:r>
              <w:rPr>
                <w:szCs w:val="21"/>
              </w:rPr>
              <w:t>111°</w:t>
            </w:r>
            <w:r>
              <w:rPr>
                <w:rFonts w:hint="eastAsia"/>
                <w:szCs w:val="21"/>
              </w:rPr>
              <w:t>33</w:t>
            </w:r>
            <w:r>
              <w:rPr>
                <w:szCs w:val="21"/>
              </w:rPr>
              <w:t>′</w:t>
            </w:r>
            <w:r>
              <w:rPr>
                <w:rFonts w:hint="eastAsia"/>
                <w:szCs w:val="21"/>
              </w:rPr>
              <w:t>54.8</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13</w:t>
            </w:r>
            <w:r>
              <w:rPr>
                <w:szCs w:val="21"/>
              </w:rPr>
              <w:t>′</w:t>
            </w:r>
            <w:r>
              <w:rPr>
                <w:rFonts w:hint="eastAsia"/>
                <w:szCs w:val="21"/>
              </w:rPr>
              <w:t>37.5</w:t>
            </w:r>
            <w:r>
              <w:rPr>
                <w:szCs w:val="21"/>
              </w:rPr>
              <w:t>″</w:t>
            </w:r>
          </w:p>
        </w:tc>
        <w:tc>
          <w:tcPr>
            <w:tcW w:w="950" w:type="pct"/>
            <w:vAlign w:val="center"/>
          </w:tcPr>
          <w:p>
            <w:pPr>
              <w:jc w:val="center"/>
              <w:rPr>
                <w:szCs w:val="21"/>
              </w:rPr>
            </w:pPr>
            <w:r>
              <w:rPr>
                <w:rFonts w:hint="eastAsia"/>
                <w:szCs w:val="21"/>
              </w:rPr>
              <w:t>石庄村等5个村、学校及驻地企事业单位</w:t>
            </w:r>
          </w:p>
        </w:tc>
        <w:tc>
          <w:tcPr>
            <w:tcW w:w="497" w:type="pct"/>
            <w:vAlign w:val="center"/>
          </w:tcPr>
          <w:p>
            <w:pPr>
              <w:jc w:val="center"/>
              <w:rPr>
                <w:szCs w:val="21"/>
              </w:rPr>
            </w:pPr>
            <w:r>
              <w:rPr>
                <w:rFonts w:hint="eastAsia"/>
                <w:szCs w:val="21"/>
              </w:rPr>
              <w:t>1</w:t>
            </w:r>
          </w:p>
        </w:tc>
        <w:tc>
          <w:tcPr>
            <w:tcW w:w="533" w:type="pct"/>
            <w:vAlign w:val="center"/>
          </w:tcPr>
          <w:p>
            <w:pPr>
              <w:jc w:val="center"/>
              <w:rPr>
                <w:szCs w:val="21"/>
              </w:rPr>
            </w:pPr>
            <w:r>
              <w:rPr>
                <w:rFonts w:hint="eastAsia"/>
                <w:szCs w:val="21"/>
              </w:rPr>
              <w:t>20</w:t>
            </w:r>
          </w:p>
        </w:tc>
        <w:tc>
          <w:tcPr>
            <w:tcW w:w="661" w:type="pct"/>
            <w:vAlign w:val="center"/>
          </w:tcPr>
          <w:p>
            <w:pPr>
              <w:jc w:val="center"/>
              <w:rPr>
                <w:szCs w:val="21"/>
              </w:rPr>
            </w:pPr>
            <w:r>
              <w:rPr>
                <w:rFonts w:hint="eastAsia"/>
                <w:szCs w:val="21"/>
              </w:rPr>
              <w:t>0.0013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restart"/>
            <w:vAlign w:val="center"/>
          </w:tcPr>
          <w:p>
            <w:pPr>
              <w:jc w:val="center"/>
              <w:rPr>
                <w:szCs w:val="21"/>
              </w:rPr>
            </w:pPr>
            <w:r>
              <w:rPr>
                <w:rFonts w:hint="eastAsia"/>
                <w:szCs w:val="21"/>
              </w:rPr>
              <w:t>8</w:t>
            </w:r>
          </w:p>
        </w:tc>
        <w:tc>
          <w:tcPr>
            <w:tcW w:w="694" w:type="pct"/>
            <w:vMerge w:val="restart"/>
            <w:vAlign w:val="center"/>
          </w:tcPr>
          <w:p>
            <w:pPr>
              <w:jc w:val="center"/>
              <w:rPr>
                <w:szCs w:val="21"/>
              </w:rPr>
            </w:pPr>
            <w:r>
              <w:rPr>
                <w:rFonts w:hint="eastAsia"/>
                <w:szCs w:val="21"/>
              </w:rPr>
              <w:t>杨家庄镇集中供水水源地</w:t>
            </w:r>
          </w:p>
        </w:tc>
        <w:tc>
          <w:tcPr>
            <w:tcW w:w="733" w:type="pct"/>
            <w:vAlign w:val="center"/>
          </w:tcPr>
          <w:p>
            <w:pPr>
              <w:jc w:val="center"/>
              <w:rPr>
                <w:szCs w:val="21"/>
              </w:rPr>
            </w:pPr>
            <w:r>
              <w:rPr>
                <w:szCs w:val="21"/>
              </w:rPr>
              <w:t>111°</w:t>
            </w:r>
            <w:r>
              <w:rPr>
                <w:rFonts w:hint="eastAsia"/>
                <w:szCs w:val="21"/>
              </w:rPr>
              <w:t>39</w:t>
            </w:r>
            <w:r>
              <w:rPr>
                <w:szCs w:val="21"/>
              </w:rPr>
              <w:t>′</w:t>
            </w:r>
            <w:r>
              <w:rPr>
                <w:rFonts w:hint="eastAsia"/>
                <w:szCs w:val="21"/>
              </w:rPr>
              <w:t>56.8</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14</w:t>
            </w:r>
            <w:r>
              <w:rPr>
                <w:szCs w:val="21"/>
              </w:rPr>
              <w:t>′</w:t>
            </w:r>
            <w:r>
              <w:rPr>
                <w:rFonts w:hint="eastAsia"/>
                <w:szCs w:val="21"/>
              </w:rPr>
              <w:t>35.1</w:t>
            </w:r>
            <w:r>
              <w:rPr>
                <w:szCs w:val="21"/>
              </w:rPr>
              <w:t>″</w:t>
            </w:r>
          </w:p>
        </w:tc>
        <w:tc>
          <w:tcPr>
            <w:tcW w:w="950" w:type="pct"/>
            <w:vMerge w:val="restart"/>
            <w:vAlign w:val="center"/>
          </w:tcPr>
          <w:p>
            <w:pPr>
              <w:jc w:val="center"/>
              <w:rPr>
                <w:szCs w:val="21"/>
              </w:rPr>
            </w:pPr>
            <w:r>
              <w:rPr>
                <w:rFonts w:hint="eastAsia"/>
                <w:szCs w:val="21"/>
              </w:rPr>
              <w:t>杨家庄村等17个村、学校及驻地企事业单位</w:t>
            </w:r>
          </w:p>
        </w:tc>
        <w:tc>
          <w:tcPr>
            <w:tcW w:w="497" w:type="pct"/>
            <w:vMerge w:val="restart"/>
            <w:vAlign w:val="center"/>
          </w:tcPr>
          <w:p>
            <w:pPr>
              <w:jc w:val="center"/>
              <w:rPr>
                <w:szCs w:val="21"/>
              </w:rPr>
            </w:pPr>
            <w:r>
              <w:rPr>
                <w:rFonts w:hint="eastAsia"/>
                <w:szCs w:val="21"/>
              </w:rPr>
              <w:t>3</w:t>
            </w:r>
          </w:p>
        </w:tc>
        <w:tc>
          <w:tcPr>
            <w:tcW w:w="533" w:type="pct"/>
            <w:vAlign w:val="center"/>
          </w:tcPr>
          <w:p>
            <w:pPr>
              <w:jc w:val="center"/>
              <w:rPr>
                <w:szCs w:val="21"/>
              </w:rPr>
            </w:pPr>
            <w:r>
              <w:rPr>
                <w:rFonts w:hint="eastAsia"/>
                <w:szCs w:val="21"/>
              </w:rPr>
              <w:t>25</w:t>
            </w:r>
          </w:p>
        </w:tc>
        <w:tc>
          <w:tcPr>
            <w:tcW w:w="661" w:type="pct"/>
            <w:vAlign w:val="center"/>
          </w:tcPr>
          <w:p>
            <w:pPr>
              <w:jc w:val="center"/>
              <w:rPr>
                <w:szCs w:val="21"/>
              </w:rPr>
            </w:pPr>
            <w:r>
              <w:rPr>
                <w:rFonts w:hint="eastAsia"/>
                <w:szCs w:val="21"/>
              </w:rPr>
              <w:t>0.0020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continue"/>
            <w:vAlign w:val="center"/>
          </w:tcPr>
          <w:p>
            <w:pPr>
              <w:jc w:val="center"/>
              <w:rPr>
                <w:szCs w:val="21"/>
              </w:rPr>
            </w:pPr>
          </w:p>
        </w:tc>
        <w:tc>
          <w:tcPr>
            <w:tcW w:w="694" w:type="pct"/>
            <w:vMerge w:val="continue"/>
            <w:vAlign w:val="center"/>
          </w:tcPr>
          <w:p>
            <w:pPr>
              <w:jc w:val="center"/>
              <w:rPr>
                <w:szCs w:val="21"/>
              </w:rPr>
            </w:pPr>
          </w:p>
        </w:tc>
        <w:tc>
          <w:tcPr>
            <w:tcW w:w="733" w:type="pct"/>
            <w:vAlign w:val="center"/>
          </w:tcPr>
          <w:p>
            <w:pPr>
              <w:jc w:val="center"/>
              <w:rPr>
                <w:szCs w:val="21"/>
              </w:rPr>
            </w:pPr>
            <w:r>
              <w:rPr>
                <w:szCs w:val="21"/>
              </w:rPr>
              <w:t>111°</w:t>
            </w:r>
            <w:r>
              <w:rPr>
                <w:rFonts w:hint="eastAsia"/>
                <w:szCs w:val="21"/>
              </w:rPr>
              <w:t>39</w:t>
            </w:r>
            <w:r>
              <w:rPr>
                <w:szCs w:val="21"/>
              </w:rPr>
              <w:t>′</w:t>
            </w:r>
            <w:r>
              <w:rPr>
                <w:rFonts w:hint="eastAsia"/>
                <w:szCs w:val="21"/>
              </w:rPr>
              <w:t>40.0</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14</w:t>
            </w:r>
            <w:r>
              <w:rPr>
                <w:szCs w:val="21"/>
              </w:rPr>
              <w:t>′</w:t>
            </w:r>
            <w:r>
              <w:rPr>
                <w:rFonts w:hint="eastAsia"/>
                <w:szCs w:val="21"/>
              </w:rPr>
              <w:t>45.0</w:t>
            </w:r>
            <w:r>
              <w:rPr>
                <w:szCs w:val="21"/>
              </w:rPr>
              <w:t>″</w:t>
            </w:r>
          </w:p>
        </w:tc>
        <w:tc>
          <w:tcPr>
            <w:tcW w:w="950" w:type="pct"/>
            <w:vMerge w:val="continue"/>
            <w:vAlign w:val="center"/>
          </w:tcPr>
          <w:p>
            <w:pPr>
              <w:jc w:val="center"/>
              <w:rPr>
                <w:szCs w:val="21"/>
              </w:rPr>
            </w:pPr>
          </w:p>
        </w:tc>
        <w:tc>
          <w:tcPr>
            <w:tcW w:w="497" w:type="pct"/>
            <w:vMerge w:val="continue"/>
            <w:vAlign w:val="center"/>
          </w:tcPr>
          <w:p>
            <w:pPr>
              <w:jc w:val="center"/>
              <w:rPr>
                <w:szCs w:val="21"/>
              </w:rPr>
            </w:pPr>
          </w:p>
        </w:tc>
        <w:tc>
          <w:tcPr>
            <w:tcW w:w="533" w:type="pct"/>
            <w:vAlign w:val="center"/>
          </w:tcPr>
          <w:p>
            <w:pPr>
              <w:jc w:val="center"/>
              <w:rPr>
                <w:szCs w:val="21"/>
              </w:rPr>
            </w:pPr>
            <w:r>
              <w:rPr>
                <w:rFonts w:hint="eastAsia"/>
                <w:szCs w:val="21"/>
              </w:rPr>
              <w:t>50</w:t>
            </w:r>
          </w:p>
        </w:tc>
        <w:tc>
          <w:tcPr>
            <w:tcW w:w="661" w:type="pct"/>
            <w:vAlign w:val="center"/>
          </w:tcPr>
          <w:p>
            <w:pPr>
              <w:jc w:val="center"/>
              <w:rPr>
                <w:szCs w:val="21"/>
              </w:rPr>
            </w:pPr>
            <w:r>
              <w:rPr>
                <w:rFonts w:hint="eastAsia"/>
                <w:szCs w:val="21"/>
              </w:rPr>
              <w:t>0.0079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continue"/>
            <w:vAlign w:val="center"/>
          </w:tcPr>
          <w:p>
            <w:pPr>
              <w:jc w:val="center"/>
              <w:rPr>
                <w:szCs w:val="21"/>
              </w:rPr>
            </w:pPr>
          </w:p>
        </w:tc>
        <w:tc>
          <w:tcPr>
            <w:tcW w:w="694" w:type="pct"/>
            <w:vMerge w:val="continue"/>
            <w:vAlign w:val="center"/>
          </w:tcPr>
          <w:p>
            <w:pPr>
              <w:jc w:val="center"/>
              <w:rPr>
                <w:szCs w:val="21"/>
              </w:rPr>
            </w:pPr>
          </w:p>
        </w:tc>
        <w:tc>
          <w:tcPr>
            <w:tcW w:w="733" w:type="pct"/>
            <w:vAlign w:val="center"/>
          </w:tcPr>
          <w:p>
            <w:pPr>
              <w:jc w:val="center"/>
              <w:rPr>
                <w:szCs w:val="21"/>
              </w:rPr>
            </w:pPr>
            <w:r>
              <w:rPr>
                <w:szCs w:val="21"/>
              </w:rPr>
              <w:t>111°</w:t>
            </w:r>
            <w:r>
              <w:rPr>
                <w:rFonts w:hint="eastAsia"/>
                <w:szCs w:val="21"/>
              </w:rPr>
              <w:t>39</w:t>
            </w:r>
            <w:r>
              <w:rPr>
                <w:szCs w:val="21"/>
              </w:rPr>
              <w:t>′</w:t>
            </w:r>
            <w:r>
              <w:rPr>
                <w:rFonts w:hint="eastAsia"/>
                <w:szCs w:val="21"/>
              </w:rPr>
              <w:t>38.7</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14</w:t>
            </w:r>
            <w:r>
              <w:rPr>
                <w:szCs w:val="21"/>
              </w:rPr>
              <w:t>′</w:t>
            </w:r>
            <w:r>
              <w:rPr>
                <w:rFonts w:hint="eastAsia"/>
                <w:szCs w:val="21"/>
              </w:rPr>
              <w:t>41.6</w:t>
            </w:r>
            <w:r>
              <w:rPr>
                <w:szCs w:val="21"/>
              </w:rPr>
              <w:t>″</w:t>
            </w:r>
          </w:p>
        </w:tc>
        <w:tc>
          <w:tcPr>
            <w:tcW w:w="950" w:type="pct"/>
            <w:vMerge w:val="continue"/>
            <w:vAlign w:val="center"/>
          </w:tcPr>
          <w:p>
            <w:pPr>
              <w:jc w:val="center"/>
              <w:rPr>
                <w:szCs w:val="21"/>
              </w:rPr>
            </w:pPr>
          </w:p>
        </w:tc>
        <w:tc>
          <w:tcPr>
            <w:tcW w:w="497" w:type="pct"/>
            <w:vMerge w:val="continue"/>
            <w:vAlign w:val="center"/>
          </w:tcPr>
          <w:p>
            <w:pPr>
              <w:jc w:val="center"/>
              <w:rPr>
                <w:szCs w:val="21"/>
              </w:rPr>
            </w:pPr>
          </w:p>
        </w:tc>
        <w:tc>
          <w:tcPr>
            <w:tcW w:w="533" w:type="pct"/>
            <w:vAlign w:val="center"/>
          </w:tcPr>
          <w:p>
            <w:pPr>
              <w:jc w:val="center"/>
              <w:rPr>
                <w:szCs w:val="21"/>
              </w:rPr>
            </w:pPr>
            <w:r>
              <w:rPr>
                <w:rFonts w:hint="eastAsia"/>
                <w:szCs w:val="21"/>
              </w:rPr>
              <w:t>50</w:t>
            </w:r>
          </w:p>
        </w:tc>
        <w:tc>
          <w:tcPr>
            <w:tcW w:w="661" w:type="pct"/>
            <w:vAlign w:val="center"/>
          </w:tcPr>
          <w:p>
            <w:pPr>
              <w:jc w:val="center"/>
              <w:rPr>
                <w:szCs w:val="21"/>
              </w:rPr>
            </w:pPr>
            <w:r>
              <w:rPr>
                <w:rFonts w:hint="eastAsia"/>
                <w:szCs w:val="21"/>
              </w:rPr>
              <w:t>0.0079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Align w:val="center"/>
          </w:tcPr>
          <w:p>
            <w:pPr>
              <w:jc w:val="center"/>
              <w:rPr>
                <w:szCs w:val="21"/>
              </w:rPr>
            </w:pPr>
            <w:r>
              <w:rPr>
                <w:rFonts w:hint="eastAsia"/>
                <w:szCs w:val="21"/>
              </w:rPr>
              <w:t>9</w:t>
            </w:r>
          </w:p>
        </w:tc>
        <w:tc>
          <w:tcPr>
            <w:tcW w:w="694" w:type="pct"/>
            <w:vAlign w:val="center"/>
          </w:tcPr>
          <w:p>
            <w:pPr>
              <w:jc w:val="center"/>
              <w:rPr>
                <w:szCs w:val="21"/>
              </w:rPr>
            </w:pPr>
            <w:r>
              <w:rPr>
                <w:rFonts w:hint="eastAsia"/>
                <w:szCs w:val="21"/>
              </w:rPr>
              <w:t>峪道河镇集中供水水源地</w:t>
            </w:r>
          </w:p>
        </w:tc>
        <w:tc>
          <w:tcPr>
            <w:tcW w:w="733" w:type="pct"/>
            <w:vAlign w:val="center"/>
          </w:tcPr>
          <w:p>
            <w:pPr>
              <w:jc w:val="center"/>
              <w:rPr>
                <w:szCs w:val="21"/>
              </w:rPr>
            </w:pPr>
            <w:r>
              <w:rPr>
                <w:szCs w:val="21"/>
              </w:rPr>
              <w:t>111°</w:t>
            </w:r>
            <w:r>
              <w:rPr>
                <w:rFonts w:hint="eastAsia"/>
                <w:szCs w:val="21"/>
              </w:rPr>
              <w:t>46</w:t>
            </w:r>
            <w:r>
              <w:rPr>
                <w:szCs w:val="21"/>
              </w:rPr>
              <w:t>′</w:t>
            </w:r>
            <w:r>
              <w:rPr>
                <w:rFonts w:hint="eastAsia"/>
                <w:szCs w:val="21"/>
              </w:rPr>
              <w:t>37.8</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20</w:t>
            </w:r>
            <w:r>
              <w:rPr>
                <w:szCs w:val="21"/>
              </w:rPr>
              <w:t>′</w:t>
            </w:r>
            <w:r>
              <w:rPr>
                <w:rFonts w:hint="eastAsia"/>
                <w:szCs w:val="21"/>
              </w:rPr>
              <w:t>37.6</w:t>
            </w:r>
            <w:r>
              <w:rPr>
                <w:szCs w:val="21"/>
              </w:rPr>
              <w:t>″</w:t>
            </w:r>
          </w:p>
        </w:tc>
        <w:tc>
          <w:tcPr>
            <w:tcW w:w="950" w:type="pct"/>
            <w:vAlign w:val="center"/>
          </w:tcPr>
          <w:p>
            <w:pPr>
              <w:jc w:val="center"/>
              <w:rPr>
                <w:szCs w:val="21"/>
              </w:rPr>
            </w:pPr>
            <w:r>
              <w:rPr>
                <w:rFonts w:hint="eastAsia"/>
                <w:szCs w:val="21"/>
              </w:rPr>
              <w:t>水泉村等4个村、学校及驻地企事业单位</w:t>
            </w:r>
          </w:p>
        </w:tc>
        <w:tc>
          <w:tcPr>
            <w:tcW w:w="497" w:type="pct"/>
            <w:vAlign w:val="center"/>
          </w:tcPr>
          <w:p>
            <w:pPr>
              <w:jc w:val="center"/>
              <w:rPr>
                <w:szCs w:val="21"/>
              </w:rPr>
            </w:pPr>
            <w:r>
              <w:rPr>
                <w:rFonts w:hint="eastAsia"/>
                <w:szCs w:val="21"/>
              </w:rPr>
              <w:t>1</w:t>
            </w:r>
          </w:p>
        </w:tc>
        <w:tc>
          <w:tcPr>
            <w:tcW w:w="533" w:type="pct"/>
            <w:vAlign w:val="center"/>
          </w:tcPr>
          <w:p>
            <w:pPr>
              <w:jc w:val="center"/>
              <w:rPr>
                <w:szCs w:val="21"/>
              </w:rPr>
            </w:pPr>
            <w:r>
              <w:rPr>
                <w:rFonts w:hint="eastAsia"/>
                <w:szCs w:val="21"/>
              </w:rPr>
              <w:t>上游50m，下游20m，宽30m</w:t>
            </w:r>
          </w:p>
        </w:tc>
        <w:tc>
          <w:tcPr>
            <w:tcW w:w="661" w:type="pct"/>
            <w:vAlign w:val="center"/>
          </w:tcPr>
          <w:p>
            <w:pPr>
              <w:jc w:val="center"/>
              <w:rPr>
                <w:szCs w:val="21"/>
              </w:rPr>
            </w:pPr>
            <w:r>
              <w:rPr>
                <w:rFonts w:hint="eastAsia"/>
                <w:szCs w:val="21"/>
              </w:rPr>
              <w:t>0.0021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restart"/>
            <w:vAlign w:val="center"/>
          </w:tcPr>
          <w:p>
            <w:pPr>
              <w:jc w:val="center"/>
              <w:rPr>
                <w:szCs w:val="21"/>
              </w:rPr>
            </w:pPr>
            <w:r>
              <w:rPr>
                <w:rFonts w:hint="eastAsia"/>
                <w:szCs w:val="21"/>
              </w:rPr>
              <w:t>10</w:t>
            </w:r>
          </w:p>
        </w:tc>
        <w:tc>
          <w:tcPr>
            <w:tcW w:w="694" w:type="pct"/>
            <w:vMerge w:val="restart"/>
            <w:vAlign w:val="center"/>
          </w:tcPr>
          <w:p>
            <w:pPr>
              <w:jc w:val="center"/>
              <w:rPr>
                <w:szCs w:val="21"/>
              </w:rPr>
            </w:pPr>
            <w:r>
              <w:rPr>
                <w:rFonts w:hint="eastAsia"/>
                <w:szCs w:val="21"/>
              </w:rPr>
              <w:t>阳城乡集中供水水源地</w:t>
            </w:r>
          </w:p>
        </w:tc>
        <w:tc>
          <w:tcPr>
            <w:tcW w:w="733" w:type="pct"/>
            <w:vAlign w:val="center"/>
          </w:tcPr>
          <w:p>
            <w:pPr>
              <w:jc w:val="center"/>
              <w:rPr>
                <w:szCs w:val="21"/>
              </w:rPr>
            </w:pPr>
            <w:r>
              <w:rPr>
                <w:szCs w:val="21"/>
              </w:rPr>
              <w:t>111°</w:t>
            </w:r>
            <w:r>
              <w:rPr>
                <w:rFonts w:hint="eastAsia"/>
                <w:szCs w:val="21"/>
              </w:rPr>
              <w:t>43</w:t>
            </w:r>
            <w:r>
              <w:rPr>
                <w:szCs w:val="21"/>
              </w:rPr>
              <w:t>′</w:t>
            </w:r>
            <w:r>
              <w:rPr>
                <w:rFonts w:hint="eastAsia"/>
                <w:szCs w:val="21"/>
              </w:rPr>
              <w:t>04.3</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16</w:t>
            </w:r>
            <w:r>
              <w:rPr>
                <w:szCs w:val="21"/>
              </w:rPr>
              <w:t>′</w:t>
            </w:r>
            <w:r>
              <w:rPr>
                <w:rFonts w:hint="eastAsia"/>
                <w:szCs w:val="21"/>
              </w:rPr>
              <w:t>49.5</w:t>
            </w:r>
            <w:r>
              <w:rPr>
                <w:szCs w:val="21"/>
              </w:rPr>
              <w:t>″</w:t>
            </w:r>
          </w:p>
        </w:tc>
        <w:tc>
          <w:tcPr>
            <w:tcW w:w="950" w:type="pct"/>
            <w:vMerge w:val="restart"/>
            <w:vAlign w:val="center"/>
          </w:tcPr>
          <w:p>
            <w:pPr>
              <w:jc w:val="center"/>
              <w:rPr>
                <w:szCs w:val="21"/>
              </w:rPr>
            </w:pPr>
            <w:r>
              <w:rPr>
                <w:rFonts w:hint="eastAsia"/>
                <w:szCs w:val="21"/>
              </w:rPr>
              <w:t>阳城村等5个村、学校及驻地企事业单位</w:t>
            </w:r>
          </w:p>
        </w:tc>
        <w:tc>
          <w:tcPr>
            <w:tcW w:w="497" w:type="pct"/>
            <w:vMerge w:val="restart"/>
            <w:vAlign w:val="center"/>
          </w:tcPr>
          <w:p>
            <w:pPr>
              <w:jc w:val="center"/>
              <w:rPr>
                <w:szCs w:val="21"/>
              </w:rPr>
            </w:pPr>
            <w:r>
              <w:rPr>
                <w:rFonts w:hint="eastAsia"/>
                <w:szCs w:val="21"/>
              </w:rPr>
              <w:t>2</w:t>
            </w:r>
          </w:p>
        </w:tc>
        <w:tc>
          <w:tcPr>
            <w:tcW w:w="533" w:type="pct"/>
            <w:vAlign w:val="center"/>
          </w:tcPr>
          <w:p>
            <w:pPr>
              <w:jc w:val="center"/>
              <w:rPr>
                <w:szCs w:val="21"/>
              </w:rPr>
            </w:pPr>
            <w:r>
              <w:rPr>
                <w:rFonts w:hint="eastAsia"/>
                <w:szCs w:val="21"/>
              </w:rPr>
              <w:t>20</w:t>
            </w:r>
          </w:p>
        </w:tc>
        <w:tc>
          <w:tcPr>
            <w:tcW w:w="661" w:type="pct"/>
            <w:vAlign w:val="center"/>
          </w:tcPr>
          <w:p>
            <w:pPr>
              <w:jc w:val="center"/>
              <w:rPr>
                <w:szCs w:val="21"/>
              </w:rPr>
            </w:pPr>
            <w:r>
              <w:rPr>
                <w:rFonts w:hint="eastAsia"/>
                <w:szCs w:val="21"/>
              </w:rPr>
              <w:t>0.0013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continue"/>
            <w:vAlign w:val="center"/>
          </w:tcPr>
          <w:p>
            <w:pPr>
              <w:jc w:val="center"/>
              <w:rPr>
                <w:szCs w:val="21"/>
              </w:rPr>
            </w:pPr>
          </w:p>
        </w:tc>
        <w:tc>
          <w:tcPr>
            <w:tcW w:w="694" w:type="pct"/>
            <w:vMerge w:val="continue"/>
            <w:vAlign w:val="center"/>
          </w:tcPr>
          <w:p>
            <w:pPr>
              <w:jc w:val="center"/>
              <w:rPr>
                <w:szCs w:val="21"/>
              </w:rPr>
            </w:pPr>
          </w:p>
        </w:tc>
        <w:tc>
          <w:tcPr>
            <w:tcW w:w="733" w:type="pct"/>
            <w:vAlign w:val="center"/>
          </w:tcPr>
          <w:p>
            <w:pPr>
              <w:jc w:val="center"/>
              <w:rPr>
                <w:szCs w:val="21"/>
              </w:rPr>
            </w:pPr>
            <w:r>
              <w:rPr>
                <w:szCs w:val="21"/>
              </w:rPr>
              <w:t>111°</w:t>
            </w:r>
            <w:r>
              <w:rPr>
                <w:rFonts w:hint="eastAsia"/>
                <w:szCs w:val="21"/>
              </w:rPr>
              <w:t>43</w:t>
            </w:r>
            <w:r>
              <w:rPr>
                <w:szCs w:val="21"/>
              </w:rPr>
              <w:t>′</w:t>
            </w:r>
            <w:r>
              <w:rPr>
                <w:rFonts w:hint="eastAsia"/>
                <w:szCs w:val="21"/>
              </w:rPr>
              <w:t>09.9</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16</w:t>
            </w:r>
            <w:r>
              <w:rPr>
                <w:szCs w:val="21"/>
              </w:rPr>
              <w:t>′</w:t>
            </w:r>
            <w:r>
              <w:rPr>
                <w:rFonts w:hint="eastAsia"/>
                <w:szCs w:val="21"/>
              </w:rPr>
              <w:t>49.0</w:t>
            </w:r>
            <w:r>
              <w:rPr>
                <w:szCs w:val="21"/>
              </w:rPr>
              <w:t>″</w:t>
            </w:r>
          </w:p>
        </w:tc>
        <w:tc>
          <w:tcPr>
            <w:tcW w:w="950" w:type="pct"/>
            <w:vMerge w:val="continue"/>
            <w:vAlign w:val="center"/>
          </w:tcPr>
          <w:p>
            <w:pPr>
              <w:jc w:val="center"/>
              <w:rPr>
                <w:szCs w:val="21"/>
              </w:rPr>
            </w:pPr>
          </w:p>
        </w:tc>
        <w:tc>
          <w:tcPr>
            <w:tcW w:w="497" w:type="pct"/>
            <w:vMerge w:val="continue"/>
            <w:vAlign w:val="center"/>
          </w:tcPr>
          <w:p>
            <w:pPr>
              <w:jc w:val="center"/>
              <w:rPr>
                <w:szCs w:val="21"/>
              </w:rPr>
            </w:pPr>
          </w:p>
        </w:tc>
        <w:tc>
          <w:tcPr>
            <w:tcW w:w="533" w:type="pct"/>
            <w:vAlign w:val="center"/>
          </w:tcPr>
          <w:p>
            <w:pPr>
              <w:jc w:val="center"/>
              <w:rPr>
                <w:szCs w:val="21"/>
              </w:rPr>
            </w:pPr>
            <w:r>
              <w:rPr>
                <w:rFonts w:hint="eastAsia"/>
                <w:szCs w:val="21"/>
              </w:rPr>
              <w:t>20</w:t>
            </w:r>
          </w:p>
        </w:tc>
        <w:tc>
          <w:tcPr>
            <w:tcW w:w="661" w:type="pct"/>
            <w:vAlign w:val="center"/>
          </w:tcPr>
          <w:p>
            <w:pPr>
              <w:jc w:val="center"/>
              <w:rPr>
                <w:szCs w:val="21"/>
              </w:rPr>
            </w:pPr>
            <w:r>
              <w:rPr>
                <w:rFonts w:hint="eastAsia"/>
                <w:szCs w:val="21"/>
              </w:rPr>
              <w:t>0.0013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restart"/>
            <w:vAlign w:val="center"/>
          </w:tcPr>
          <w:p>
            <w:pPr>
              <w:jc w:val="center"/>
              <w:rPr>
                <w:szCs w:val="21"/>
              </w:rPr>
            </w:pPr>
            <w:r>
              <w:rPr>
                <w:rFonts w:hint="eastAsia"/>
                <w:szCs w:val="21"/>
              </w:rPr>
              <w:t>11</w:t>
            </w:r>
          </w:p>
        </w:tc>
        <w:tc>
          <w:tcPr>
            <w:tcW w:w="694" w:type="pct"/>
            <w:vMerge w:val="restart"/>
            <w:vAlign w:val="center"/>
          </w:tcPr>
          <w:p>
            <w:pPr>
              <w:jc w:val="center"/>
              <w:rPr>
                <w:szCs w:val="21"/>
              </w:rPr>
            </w:pPr>
            <w:r>
              <w:rPr>
                <w:rFonts w:hint="eastAsia"/>
                <w:szCs w:val="21"/>
              </w:rPr>
              <w:t>栗家庄乡集中供水水源地</w:t>
            </w:r>
          </w:p>
        </w:tc>
        <w:tc>
          <w:tcPr>
            <w:tcW w:w="733" w:type="pct"/>
            <w:vAlign w:val="center"/>
          </w:tcPr>
          <w:p>
            <w:pPr>
              <w:jc w:val="center"/>
              <w:rPr>
                <w:szCs w:val="21"/>
              </w:rPr>
            </w:pPr>
            <w:r>
              <w:rPr>
                <w:szCs w:val="21"/>
              </w:rPr>
              <w:t>111°</w:t>
            </w:r>
            <w:r>
              <w:rPr>
                <w:rFonts w:hint="eastAsia"/>
                <w:szCs w:val="21"/>
              </w:rPr>
              <w:t>43</w:t>
            </w:r>
            <w:r>
              <w:rPr>
                <w:szCs w:val="21"/>
              </w:rPr>
              <w:t>′</w:t>
            </w:r>
            <w:r>
              <w:rPr>
                <w:rFonts w:hint="eastAsia"/>
                <w:szCs w:val="21"/>
              </w:rPr>
              <w:t>50.6</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17</w:t>
            </w:r>
            <w:r>
              <w:rPr>
                <w:szCs w:val="21"/>
              </w:rPr>
              <w:t>′</w:t>
            </w:r>
            <w:r>
              <w:rPr>
                <w:rFonts w:hint="eastAsia"/>
                <w:szCs w:val="21"/>
              </w:rPr>
              <w:t>18.2</w:t>
            </w:r>
            <w:r>
              <w:rPr>
                <w:szCs w:val="21"/>
              </w:rPr>
              <w:t>″</w:t>
            </w:r>
          </w:p>
        </w:tc>
        <w:tc>
          <w:tcPr>
            <w:tcW w:w="950" w:type="pct"/>
            <w:vMerge w:val="restart"/>
            <w:vAlign w:val="center"/>
          </w:tcPr>
          <w:p>
            <w:pPr>
              <w:jc w:val="center"/>
              <w:rPr>
                <w:szCs w:val="21"/>
              </w:rPr>
            </w:pPr>
            <w:r>
              <w:rPr>
                <w:rFonts w:hint="eastAsia"/>
                <w:szCs w:val="21"/>
              </w:rPr>
              <w:t>栗家庄村等2个村、学校及驻地企事业单位</w:t>
            </w:r>
          </w:p>
        </w:tc>
        <w:tc>
          <w:tcPr>
            <w:tcW w:w="497" w:type="pct"/>
            <w:vMerge w:val="restart"/>
            <w:vAlign w:val="center"/>
          </w:tcPr>
          <w:p>
            <w:pPr>
              <w:jc w:val="center"/>
              <w:rPr>
                <w:szCs w:val="21"/>
              </w:rPr>
            </w:pPr>
            <w:r>
              <w:rPr>
                <w:rFonts w:hint="eastAsia"/>
                <w:szCs w:val="21"/>
              </w:rPr>
              <w:t>2</w:t>
            </w:r>
          </w:p>
        </w:tc>
        <w:tc>
          <w:tcPr>
            <w:tcW w:w="533" w:type="pct"/>
            <w:vAlign w:val="center"/>
          </w:tcPr>
          <w:p>
            <w:pPr>
              <w:jc w:val="center"/>
              <w:rPr>
                <w:szCs w:val="21"/>
              </w:rPr>
            </w:pPr>
            <w:r>
              <w:rPr>
                <w:rFonts w:hint="eastAsia"/>
                <w:szCs w:val="21"/>
              </w:rPr>
              <w:t>30</w:t>
            </w:r>
          </w:p>
        </w:tc>
        <w:tc>
          <w:tcPr>
            <w:tcW w:w="661" w:type="pct"/>
            <w:vAlign w:val="center"/>
          </w:tcPr>
          <w:p>
            <w:pPr>
              <w:jc w:val="center"/>
              <w:rPr>
                <w:szCs w:val="21"/>
              </w:rPr>
            </w:pPr>
            <w:r>
              <w:rPr>
                <w:rFonts w:hint="eastAsia"/>
                <w:szCs w:val="21"/>
              </w:rPr>
              <w:t>0.0028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40" w:type="pct"/>
            <w:vMerge w:val="continue"/>
            <w:vAlign w:val="center"/>
          </w:tcPr>
          <w:p>
            <w:pPr>
              <w:jc w:val="center"/>
              <w:rPr>
                <w:szCs w:val="21"/>
              </w:rPr>
            </w:pPr>
          </w:p>
        </w:tc>
        <w:tc>
          <w:tcPr>
            <w:tcW w:w="694" w:type="pct"/>
            <w:vMerge w:val="continue"/>
            <w:vAlign w:val="center"/>
          </w:tcPr>
          <w:p>
            <w:pPr>
              <w:jc w:val="center"/>
              <w:rPr>
                <w:szCs w:val="21"/>
              </w:rPr>
            </w:pPr>
          </w:p>
        </w:tc>
        <w:tc>
          <w:tcPr>
            <w:tcW w:w="733" w:type="pct"/>
            <w:vAlign w:val="center"/>
          </w:tcPr>
          <w:p>
            <w:pPr>
              <w:jc w:val="center"/>
              <w:rPr>
                <w:szCs w:val="21"/>
              </w:rPr>
            </w:pPr>
            <w:r>
              <w:rPr>
                <w:szCs w:val="21"/>
              </w:rPr>
              <w:t>111°</w:t>
            </w:r>
            <w:r>
              <w:rPr>
                <w:rFonts w:hint="eastAsia"/>
                <w:szCs w:val="21"/>
              </w:rPr>
              <w:t>44</w:t>
            </w:r>
            <w:r>
              <w:rPr>
                <w:szCs w:val="21"/>
              </w:rPr>
              <w:t>′</w:t>
            </w:r>
            <w:r>
              <w:rPr>
                <w:rFonts w:hint="eastAsia"/>
                <w:szCs w:val="21"/>
              </w:rPr>
              <w:t>08.7</w:t>
            </w:r>
            <w:r>
              <w:rPr>
                <w:szCs w:val="21"/>
              </w:rPr>
              <w:t>″</w:t>
            </w:r>
          </w:p>
        </w:tc>
        <w:tc>
          <w:tcPr>
            <w:tcW w:w="692" w:type="pct"/>
            <w:vAlign w:val="center"/>
          </w:tcPr>
          <w:p>
            <w:pPr>
              <w:jc w:val="center"/>
              <w:rPr>
                <w:szCs w:val="21"/>
              </w:rPr>
            </w:pPr>
            <w:r>
              <w:rPr>
                <w:rFonts w:hint="eastAsia"/>
                <w:szCs w:val="21"/>
              </w:rPr>
              <w:t>37</w:t>
            </w:r>
            <w:r>
              <w:rPr>
                <w:szCs w:val="21"/>
              </w:rPr>
              <w:t>°</w:t>
            </w:r>
            <w:r>
              <w:rPr>
                <w:rFonts w:hint="eastAsia"/>
                <w:szCs w:val="21"/>
              </w:rPr>
              <w:t>17</w:t>
            </w:r>
            <w:r>
              <w:rPr>
                <w:szCs w:val="21"/>
              </w:rPr>
              <w:t>′</w:t>
            </w:r>
            <w:r>
              <w:rPr>
                <w:rFonts w:hint="eastAsia"/>
                <w:szCs w:val="21"/>
              </w:rPr>
              <w:t>31.5</w:t>
            </w:r>
            <w:r>
              <w:rPr>
                <w:szCs w:val="21"/>
              </w:rPr>
              <w:t>″</w:t>
            </w:r>
          </w:p>
        </w:tc>
        <w:tc>
          <w:tcPr>
            <w:tcW w:w="950" w:type="pct"/>
            <w:vMerge w:val="continue"/>
            <w:vAlign w:val="center"/>
          </w:tcPr>
          <w:p>
            <w:pPr>
              <w:jc w:val="center"/>
              <w:rPr>
                <w:szCs w:val="21"/>
              </w:rPr>
            </w:pPr>
          </w:p>
        </w:tc>
        <w:tc>
          <w:tcPr>
            <w:tcW w:w="497" w:type="pct"/>
            <w:vMerge w:val="continue"/>
            <w:vAlign w:val="center"/>
          </w:tcPr>
          <w:p>
            <w:pPr>
              <w:jc w:val="center"/>
              <w:rPr>
                <w:szCs w:val="21"/>
              </w:rPr>
            </w:pPr>
          </w:p>
        </w:tc>
        <w:tc>
          <w:tcPr>
            <w:tcW w:w="533" w:type="pct"/>
            <w:vAlign w:val="center"/>
          </w:tcPr>
          <w:p>
            <w:pPr>
              <w:jc w:val="center"/>
              <w:rPr>
                <w:szCs w:val="21"/>
              </w:rPr>
            </w:pPr>
            <w:r>
              <w:rPr>
                <w:rFonts w:hint="eastAsia"/>
                <w:szCs w:val="21"/>
              </w:rPr>
              <w:t>30</w:t>
            </w:r>
          </w:p>
        </w:tc>
        <w:tc>
          <w:tcPr>
            <w:tcW w:w="661" w:type="pct"/>
            <w:vAlign w:val="center"/>
          </w:tcPr>
          <w:p>
            <w:pPr>
              <w:jc w:val="center"/>
              <w:rPr>
                <w:szCs w:val="21"/>
              </w:rPr>
            </w:pPr>
            <w:r>
              <w:rPr>
                <w:rFonts w:hint="eastAsia"/>
                <w:szCs w:val="21"/>
              </w:rPr>
              <w:t>0.0028</w:t>
            </w:r>
          </w:p>
        </w:tc>
      </w:tr>
    </w:tbl>
    <w:p>
      <w:pPr>
        <w:spacing w:line="480" w:lineRule="exact"/>
        <w:ind w:firstLine="480" w:firstLineChars="200"/>
        <w:rPr>
          <w:sz w:val="24"/>
        </w:rPr>
      </w:pPr>
      <w:r>
        <w:rPr>
          <w:rFonts w:hint="eastAsia"/>
          <w:sz w:val="24"/>
        </w:rPr>
        <w:t>汾阳市乡镇集中式饮用水源地供水井多分布于栗家庄乡，沿禹门河分布较多；距离本项目最近的乡镇水源地为峪道河镇集中供水水源地，约为1.47</w:t>
      </w:r>
      <w:r>
        <w:rPr>
          <w:sz w:val="24"/>
        </w:rPr>
        <w:t>km，</w:t>
      </w:r>
      <w:r>
        <w:rPr>
          <w:rFonts w:hint="eastAsia"/>
          <w:sz w:val="24"/>
        </w:rPr>
        <w:t>且处于厂址上游方向，不在其保护范围之内。</w:t>
      </w:r>
    </w:p>
    <w:p>
      <w:pPr>
        <w:spacing w:line="480" w:lineRule="exact"/>
        <w:ind w:firstLine="480" w:firstLineChars="200"/>
        <w:rPr>
          <w:sz w:val="24"/>
          <w:szCs w:val="24"/>
        </w:rPr>
      </w:pPr>
      <w:r>
        <w:rPr>
          <w:rFonts w:hint="eastAsia"/>
          <w:sz w:val="24"/>
          <w:szCs w:val="24"/>
        </w:rPr>
        <w:t>本项目与汾阳市乡镇水源地相对位置图见图4</w:t>
      </w:r>
      <w:r>
        <w:rPr>
          <w:sz w:val="24"/>
          <w:szCs w:val="24"/>
        </w:rPr>
        <w:t>.1-3</w:t>
      </w:r>
      <w:r>
        <w:rPr>
          <w:rFonts w:hint="eastAsia"/>
          <w:sz w:val="24"/>
          <w:szCs w:val="24"/>
        </w:rPr>
        <w:t>，4.1-4。</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1</w:t>
      </w:r>
      <w:r>
        <w:rPr>
          <w:b/>
        </w:rPr>
        <w:t>.</w:t>
      </w:r>
      <w:r>
        <w:rPr>
          <w:rFonts w:hint="eastAsia"/>
          <w:b/>
        </w:rPr>
        <w:t>4</w:t>
      </w:r>
      <w:r>
        <w:rPr>
          <w:b/>
        </w:rPr>
        <w:t>.</w:t>
      </w:r>
      <w:r>
        <w:rPr>
          <w:rFonts w:hint="eastAsia"/>
          <w:b/>
        </w:rPr>
        <w:t>4</w:t>
      </w:r>
      <w:r>
        <w:rPr>
          <w:rFonts w:hint="eastAsia" w:ascii="宋体" w:hAnsi="宋体"/>
          <w:b/>
        </w:rPr>
        <w:t>郭庄泉域</w:t>
      </w:r>
    </w:p>
    <w:p>
      <w:pPr>
        <w:pStyle w:val="85"/>
        <w:spacing w:line="480" w:lineRule="exact"/>
        <w:ind w:firstLine="480"/>
        <w:rPr>
          <w:rFonts w:ascii="Times New Roman" w:hAnsi="Times New Roman" w:cs="Times New Roman"/>
          <w:bCs/>
          <w:sz w:val="24"/>
          <w:szCs w:val="24"/>
        </w:rPr>
      </w:pPr>
      <w:bookmarkStart w:id="67" w:name="_Toc213838421"/>
      <w:bookmarkStart w:id="68" w:name="_Toc222392932"/>
      <w:bookmarkStart w:id="69" w:name="_Toc158783682"/>
      <w:r>
        <w:rPr>
          <w:rFonts w:ascii="Times New Roman" w:hAnsi="Times New Roman" w:cs="Times New Roman"/>
          <w:bCs/>
          <w:sz w:val="24"/>
          <w:szCs w:val="24"/>
        </w:rPr>
        <w:t>郭庄泉出露于霍州市南7km处东湾村至郭庄村汾河河谷中，南北分布长度约1.2km，面积约0.5km</w:t>
      </w:r>
      <w:r>
        <w:rPr>
          <w:rFonts w:ascii="Times New Roman" w:hAnsi="Times New Roman" w:cs="Times New Roman"/>
          <w:bCs/>
          <w:sz w:val="24"/>
          <w:szCs w:val="24"/>
          <w:vertAlign w:val="superscript"/>
        </w:rPr>
        <w:t>2</w:t>
      </w:r>
      <w:r>
        <w:rPr>
          <w:rFonts w:ascii="Times New Roman" w:hAnsi="Times New Roman" w:cs="Times New Roman"/>
          <w:bCs/>
          <w:sz w:val="24"/>
          <w:szCs w:val="24"/>
        </w:rPr>
        <w:t>。天然状态下，泉水以泉群或散泉形式出露，大小泉眼共60多个。泉水水化学类型为HCO</w:t>
      </w:r>
      <w:r>
        <w:rPr>
          <w:rFonts w:ascii="Times New Roman" w:hAnsi="Times New Roman" w:cs="Times New Roman"/>
          <w:bCs/>
          <w:sz w:val="24"/>
          <w:szCs w:val="24"/>
          <w:vertAlign w:val="subscript"/>
        </w:rPr>
        <w:t>3</w:t>
      </w:r>
      <w:r>
        <w:rPr>
          <w:rFonts w:ascii="Times New Roman" w:hAnsi="Times New Roman" w:eastAsia="微软雅黑" w:cs="Times New Roman"/>
          <w:bCs/>
          <w:sz w:val="24"/>
          <w:szCs w:val="24"/>
        </w:rPr>
        <w:t>∙</w:t>
      </w:r>
      <w:r>
        <w:rPr>
          <w:rFonts w:ascii="Times New Roman" w:hAnsi="Times New Roman" w:cs="Times New Roman"/>
          <w:bCs/>
          <w:sz w:val="24"/>
          <w:szCs w:val="24"/>
        </w:rPr>
        <w:t>SO</w:t>
      </w:r>
      <w:r>
        <w:rPr>
          <w:rFonts w:ascii="Times New Roman" w:hAnsi="Times New Roman" w:cs="Times New Roman"/>
          <w:bCs/>
          <w:sz w:val="24"/>
          <w:szCs w:val="24"/>
          <w:vertAlign w:val="subscript"/>
        </w:rPr>
        <w:t>4</w:t>
      </w:r>
      <w:r>
        <w:rPr>
          <w:rFonts w:ascii="Times New Roman" w:hAnsi="Times New Roman" w:cs="Times New Roman"/>
          <w:bCs/>
          <w:sz w:val="24"/>
          <w:szCs w:val="24"/>
        </w:rPr>
        <w:t>-Ca</w:t>
      </w:r>
      <w:r>
        <w:rPr>
          <w:rFonts w:ascii="Times New Roman" w:hAnsi="Times New Roman" w:eastAsia="微软雅黑" w:cs="Times New Roman"/>
          <w:bCs/>
          <w:sz w:val="24"/>
          <w:szCs w:val="24"/>
        </w:rPr>
        <w:t>∙</w:t>
      </w:r>
      <w:r>
        <w:rPr>
          <w:rFonts w:ascii="Times New Roman" w:hAnsi="Times New Roman" w:cs="Times New Roman"/>
          <w:bCs/>
          <w:sz w:val="24"/>
          <w:szCs w:val="24"/>
        </w:rPr>
        <w:t>Mg型，矿化度为430-920mg/L，总硬度为445.7mg/L，水温为16-18.5</w:t>
      </w:r>
      <w:r>
        <w:rPr>
          <w:rFonts w:ascii="Times New Roman" w:hAnsi="Times New Roman" w:cs="Times New Roman"/>
          <w:bCs/>
          <w:sz w:val="24"/>
          <w:szCs w:val="24"/>
          <w:vertAlign w:val="superscript"/>
        </w:rPr>
        <w:t>o</w:t>
      </w:r>
      <w:r>
        <w:rPr>
          <w:rFonts w:ascii="Times New Roman" w:hAnsi="Times New Roman" w:cs="Times New Roman"/>
          <w:bCs/>
          <w:sz w:val="24"/>
          <w:szCs w:val="24"/>
        </w:rPr>
        <w:t>C。</w:t>
      </w:r>
    </w:p>
    <w:p>
      <w:pPr>
        <w:pStyle w:val="85"/>
        <w:spacing w:line="480" w:lineRule="exact"/>
        <w:ind w:firstLine="480"/>
        <w:rPr>
          <w:rFonts w:ascii="Times New Roman" w:hAnsi="Times New Roman" w:cs="Times New Roman"/>
          <w:bCs/>
          <w:sz w:val="24"/>
          <w:szCs w:val="24"/>
        </w:rPr>
      </w:pPr>
      <w:r>
        <w:rPr>
          <w:rFonts w:ascii="Times New Roman" w:hAnsi="Times New Roman" w:cs="Times New Roman"/>
          <w:bCs/>
          <w:sz w:val="24"/>
          <w:szCs w:val="24"/>
        </w:rPr>
        <w:t>郭庄泉域分布范围包括临汾地区的汾西、霍州、洪洞，晋中地区的灵石、介休、吕梁地区的汾阳、文水、孝义、交口等市。泉域面积为5600km</w:t>
      </w:r>
      <w:r>
        <w:rPr>
          <w:rFonts w:ascii="Times New Roman" w:hAnsi="Times New Roman" w:cs="Times New Roman"/>
          <w:bCs/>
          <w:sz w:val="24"/>
          <w:szCs w:val="24"/>
          <w:vertAlign w:val="superscript"/>
        </w:rPr>
        <w:t>2</w:t>
      </w:r>
      <w:r>
        <w:rPr>
          <w:rFonts w:ascii="Times New Roman" w:hAnsi="Times New Roman" w:cs="Times New Roman"/>
          <w:bCs/>
          <w:sz w:val="24"/>
          <w:szCs w:val="24"/>
        </w:rPr>
        <w:t>，其中裸露可溶岩面积1400km</w:t>
      </w:r>
      <w:r>
        <w:rPr>
          <w:rFonts w:ascii="Times New Roman" w:hAnsi="Times New Roman" w:cs="Times New Roman"/>
          <w:bCs/>
          <w:sz w:val="24"/>
          <w:szCs w:val="24"/>
          <w:vertAlign w:val="superscript"/>
        </w:rPr>
        <w:t>2</w:t>
      </w:r>
      <w:r>
        <w:rPr>
          <w:rFonts w:ascii="Times New Roman" w:hAnsi="Times New Roman" w:cs="Times New Roman"/>
          <w:bCs/>
          <w:sz w:val="24"/>
          <w:szCs w:val="24"/>
        </w:rPr>
        <w:t>。重点保护区面积145km</w:t>
      </w:r>
      <w:r>
        <w:rPr>
          <w:rFonts w:ascii="Times New Roman" w:hAnsi="Times New Roman" w:cs="Times New Roman"/>
          <w:bCs/>
          <w:sz w:val="24"/>
          <w:szCs w:val="24"/>
          <w:vertAlign w:val="superscript"/>
        </w:rPr>
        <w:t>2</w:t>
      </w:r>
      <w:r>
        <w:rPr>
          <w:rFonts w:ascii="Times New Roman" w:hAnsi="Times New Roman" w:cs="Times New Roman"/>
          <w:bCs/>
          <w:sz w:val="24"/>
          <w:szCs w:val="24"/>
        </w:rPr>
        <w:t>。重点保护区范围为：以汾河河谷为中心，北起什林大桥，南到团柏河口，东部以辛置—邢家泉—三孔窑—朱杨庄—什林镇为界，西部以申村韩家垣—上柏团—滩里—前庄—后柏木沟—许村为界。</w:t>
      </w:r>
    </w:p>
    <w:p>
      <w:pPr>
        <w:pStyle w:val="85"/>
        <w:spacing w:line="480" w:lineRule="exact"/>
        <w:ind w:firstLine="480"/>
        <w:rPr>
          <w:rFonts w:ascii="Times New Roman" w:hAnsi="Times New Roman" w:cs="Times New Roman"/>
          <w:sz w:val="24"/>
          <w:szCs w:val="24"/>
        </w:rPr>
      </w:pPr>
      <w:r>
        <w:rPr>
          <w:rFonts w:ascii="Times New Roman" w:hAnsi="Times New Roman" w:cs="Times New Roman"/>
          <w:bCs/>
          <w:sz w:val="24"/>
          <w:szCs w:val="24"/>
        </w:rPr>
        <w:t>本项目建设</w:t>
      </w:r>
      <w:r>
        <w:rPr>
          <w:rFonts w:hint="eastAsia" w:ascii="Times New Roman" w:hAnsi="Times New Roman" w:cs="Times New Roman"/>
          <w:bCs/>
          <w:sz w:val="24"/>
          <w:szCs w:val="24"/>
        </w:rPr>
        <w:t>厂址位于</w:t>
      </w:r>
      <w:r>
        <w:rPr>
          <w:rFonts w:ascii="Times New Roman" w:hAnsi="Times New Roman" w:cs="Times New Roman"/>
          <w:bCs/>
          <w:sz w:val="24"/>
          <w:szCs w:val="24"/>
        </w:rPr>
        <w:t>郭庄泉域范围内，距</w:t>
      </w:r>
      <w:r>
        <w:rPr>
          <w:rFonts w:hint="eastAsia" w:ascii="Times New Roman" w:hAnsi="Times New Roman" w:cs="Times New Roman"/>
          <w:bCs/>
          <w:sz w:val="24"/>
          <w:szCs w:val="24"/>
        </w:rPr>
        <w:t>重点保护区</w:t>
      </w:r>
      <w:r>
        <w:rPr>
          <w:rFonts w:ascii="Times New Roman" w:hAnsi="Times New Roman" w:cs="Times New Roman"/>
          <w:bCs/>
          <w:sz w:val="24"/>
          <w:szCs w:val="24"/>
        </w:rPr>
        <w:t>边界约</w:t>
      </w:r>
      <w:r>
        <w:rPr>
          <w:rFonts w:hint="eastAsia" w:ascii="Times New Roman" w:hAnsi="Times New Roman" w:cs="Times New Roman"/>
          <w:bCs/>
          <w:sz w:val="24"/>
          <w:szCs w:val="24"/>
        </w:rPr>
        <w:t>70</w:t>
      </w:r>
      <w:r>
        <w:rPr>
          <w:rFonts w:ascii="Times New Roman" w:hAnsi="Times New Roman" w:cs="Times New Roman"/>
          <w:bCs/>
          <w:sz w:val="24"/>
          <w:szCs w:val="24"/>
        </w:rPr>
        <w:t>km。</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本项目与郭庄泉域相对位置图见图4</w:t>
      </w:r>
      <w:r>
        <w:rPr>
          <w:rFonts w:ascii="Times New Roman" w:hAnsi="Times New Roman" w:cs="Times New Roman"/>
          <w:sz w:val="24"/>
          <w:szCs w:val="24"/>
        </w:rPr>
        <w:t>.1-</w:t>
      </w:r>
      <w:r>
        <w:rPr>
          <w:rFonts w:hint="eastAsia" w:ascii="Times New Roman" w:hAnsi="Times New Roman" w:cs="Times New Roman"/>
          <w:sz w:val="24"/>
          <w:szCs w:val="24"/>
        </w:rPr>
        <w:t>5。</w:t>
      </w:r>
    </w:p>
    <w:bookmarkEnd w:id="67"/>
    <w:bookmarkEnd w:id="68"/>
    <w:bookmarkEnd w:id="69"/>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4.1.5</w:t>
      </w:r>
      <w:r>
        <w:rPr>
          <w:rFonts w:ascii="宋体" w:hAnsi="宋体" w:eastAsia="宋体"/>
          <w:b/>
        </w:rPr>
        <w:t>气象</w:t>
      </w:r>
    </w:p>
    <w:p>
      <w:pPr>
        <w:pStyle w:val="57"/>
        <w:spacing w:before="0" w:after="0" w:line="480" w:lineRule="exact"/>
        <w:ind w:firstLine="480"/>
      </w:pPr>
      <w:r>
        <w:rPr>
          <w:rFonts w:hAnsi="宋体"/>
        </w:rPr>
        <w:t>汾阳属温带大陆性季风气候，春季多风干旱，夏季炎热多雨，秋季天高气爽，冬季寒冷少雪。冬暖、春寒、伏旱、秋涝等反常天气，时有出现。年均气温由东南县西北逐渐降低，东西相差</w:t>
      </w:r>
      <w:r>
        <w:t>4</w:t>
      </w:r>
      <w:r>
        <w:rPr>
          <w:rFonts w:hAnsi="宋体"/>
        </w:rPr>
        <w:t>～</w:t>
      </w:r>
      <w:r>
        <w:t>5</w:t>
      </w:r>
      <w:r>
        <w:rPr>
          <w:rFonts w:hAnsi="宋体"/>
        </w:rPr>
        <w:t>℃。全市年均气温</w:t>
      </w:r>
      <w:r>
        <w:t>10.1</w:t>
      </w:r>
      <w:r>
        <w:rPr>
          <w:rFonts w:hAnsi="宋体"/>
        </w:rPr>
        <w:t>℃，最高气温</w:t>
      </w:r>
      <w:r>
        <w:t>39.9</w:t>
      </w:r>
      <w:r>
        <w:rPr>
          <w:rFonts w:hAnsi="宋体"/>
        </w:rPr>
        <w:t>℃，最低气温</w:t>
      </w:r>
      <w:r>
        <w:t>-27.4</w:t>
      </w:r>
      <w:r>
        <w:rPr>
          <w:rFonts w:hAnsi="宋体"/>
        </w:rPr>
        <w:t>℃。雨量由东南向西北逐渐增多。一年内按季节分配也极不均匀，春季</w:t>
      </w:r>
      <w:r>
        <w:t>3</w:t>
      </w:r>
      <w:r>
        <w:rPr>
          <w:rFonts w:hAnsi="宋体"/>
        </w:rPr>
        <w:t>～</w:t>
      </w:r>
      <w:r>
        <w:t>5</w:t>
      </w:r>
      <w:r>
        <w:rPr>
          <w:rFonts w:hAnsi="宋体"/>
        </w:rPr>
        <w:t>月降水量为</w:t>
      </w:r>
      <w:r>
        <w:t>70.1mm</w:t>
      </w:r>
      <w:r>
        <w:rPr>
          <w:rFonts w:hAnsi="宋体"/>
        </w:rPr>
        <w:t>，占全年</w:t>
      </w:r>
      <w:r>
        <w:t>15%</w:t>
      </w:r>
      <w:r>
        <w:rPr>
          <w:rFonts w:hAnsi="宋体"/>
        </w:rPr>
        <w:t>；夏季</w:t>
      </w:r>
      <w:r>
        <w:t>6</w:t>
      </w:r>
      <w:r>
        <w:rPr>
          <w:rFonts w:hAnsi="宋体"/>
        </w:rPr>
        <w:t>～</w:t>
      </w:r>
      <w:r>
        <w:t>8</w:t>
      </w:r>
      <w:r>
        <w:rPr>
          <w:rFonts w:hAnsi="宋体"/>
        </w:rPr>
        <w:t>月降水量为</w:t>
      </w:r>
      <w:r>
        <w:t>270.6mm</w:t>
      </w:r>
      <w:r>
        <w:rPr>
          <w:rFonts w:hAnsi="宋体"/>
        </w:rPr>
        <w:t>，占全年</w:t>
      </w:r>
      <w:r>
        <w:t>58%</w:t>
      </w:r>
      <w:r>
        <w:rPr>
          <w:rFonts w:hAnsi="宋体"/>
        </w:rPr>
        <w:t>；秋季季</w:t>
      </w:r>
      <w:r>
        <w:t>9</w:t>
      </w:r>
      <w:r>
        <w:rPr>
          <w:rFonts w:hAnsi="宋体"/>
        </w:rPr>
        <w:t>～</w:t>
      </w:r>
      <w:r>
        <w:t>11</w:t>
      </w:r>
      <w:r>
        <w:rPr>
          <w:rFonts w:hAnsi="宋体"/>
        </w:rPr>
        <w:t>月降水量为</w:t>
      </w:r>
      <w:r>
        <w:t>115.0mm</w:t>
      </w:r>
      <w:r>
        <w:rPr>
          <w:rFonts w:hAnsi="宋体"/>
        </w:rPr>
        <w:t>，占全年</w:t>
      </w:r>
      <w:r>
        <w:t>25%</w:t>
      </w:r>
      <w:r>
        <w:rPr>
          <w:rFonts w:hAnsi="宋体"/>
        </w:rPr>
        <w:t>；冬季</w:t>
      </w:r>
      <w:r>
        <w:t>12</w:t>
      </w:r>
      <w:r>
        <w:rPr>
          <w:rFonts w:hAnsi="宋体"/>
        </w:rPr>
        <w:t>～</w:t>
      </w:r>
      <w:r>
        <w:t>2</w:t>
      </w:r>
      <w:r>
        <w:rPr>
          <w:rFonts w:hAnsi="宋体"/>
        </w:rPr>
        <w:t>月降水量为</w:t>
      </w:r>
      <w:r>
        <w:t>11.6mm</w:t>
      </w:r>
      <w:r>
        <w:rPr>
          <w:rFonts w:hAnsi="宋体"/>
        </w:rPr>
        <w:t>，占全年</w:t>
      </w:r>
      <w:r>
        <w:t>2%</w:t>
      </w:r>
      <w:r>
        <w:rPr>
          <w:rFonts w:hAnsi="宋体"/>
        </w:rPr>
        <w:t>。年均降水量为</w:t>
      </w:r>
      <w:r>
        <w:t>438.4mm</w:t>
      </w:r>
      <w:r>
        <w:rPr>
          <w:rFonts w:hAnsi="宋体"/>
        </w:rPr>
        <w:t>，最高降水</w:t>
      </w:r>
      <w:r>
        <w:t>826.4mm</w:t>
      </w:r>
      <w:r>
        <w:rPr>
          <w:rFonts w:hAnsi="宋体"/>
        </w:rPr>
        <w:t>，最低降水</w:t>
      </w:r>
      <w:r>
        <w:t>262.2mm</w:t>
      </w:r>
      <w:r>
        <w:rPr>
          <w:rFonts w:hAnsi="宋体"/>
        </w:rPr>
        <w:t>。无霜期差异较大，东南部平川为</w:t>
      </w:r>
      <w:r>
        <w:t>180</w:t>
      </w:r>
      <w:r>
        <w:rPr>
          <w:rFonts w:hAnsi="宋体"/>
        </w:rPr>
        <w:t>天，西北部山区仅有</w:t>
      </w:r>
      <w:r>
        <w:t>134</w:t>
      </w:r>
      <w:r>
        <w:rPr>
          <w:rFonts w:hAnsi="宋体"/>
        </w:rPr>
        <w:t>天。汾阳光热条件较好，太阳年辐射量为</w:t>
      </w:r>
      <w:r>
        <w:t>132.4</w:t>
      </w:r>
      <w:r>
        <w:rPr>
          <w:rFonts w:hAnsi="宋体"/>
        </w:rPr>
        <w:t>千卡</w:t>
      </w:r>
      <w:r>
        <w:t>/</w:t>
      </w:r>
      <w:r>
        <w:rPr>
          <w:rFonts w:hAnsi="宋体"/>
        </w:rPr>
        <w:t>平方厘米左右，大部分地区年日照时数在</w:t>
      </w:r>
      <w:r>
        <w:t>2607</w:t>
      </w:r>
      <w:r>
        <w:rPr>
          <w:rFonts w:hAnsi="宋体"/>
        </w:rPr>
        <w:t>～</w:t>
      </w:r>
      <w:r>
        <w:t>2974</w:t>
      </w:r>
      <w:r>
        <w:rPr>
          <w:rFonts w:hAnsi="宋体"/>
        </w:rPr>
        <w:t>小时之间，平均</w:t>
      </w:r>
      <w:r>
        <w:t>2610.4</w:t>
      </w:r>
      <w:r>
        <w:rPr>
          <w:rFonts w:hAnsi="宋体"/>
        </w:rPr>
        <w:t>小时。</w:t>
      </w:r>
    </w:p>
    <w:p>
      <w:pPr>
        <w:spacing w:line="480" w:lineRule="exact"/>
        <w:ind w:firstLine="480" w:firstLineChars="200"/>
        <w:rPr>
          <w:bCs/>
          <w:sz w:val="24"/>
          <w:szCs w:val="24"/>
        </w:rPr>
      </w:pPr>
      <w:r>
        <w:rPr>
          <w:rFonts w:hAnsi="宋体"/>
          <w:sz w:val="24"/>
          <w:szCs w:val="24"/>
        </w:rPr>
        <w:t>汾阳市全年最多风向为西北风，静风频率为</w:t>
      </w:r>
      <w:r>
        <w:rPr>
          <w:sz w:val="24"/>
          <w:szCs w:val="24"/>
        </w:rPr>
        <w:t>29%</w:t>
      </w:r>
      <w:r>
        <w:rPr>
          <w:rFonts w:hAnsi="宋体"/>
          <w:sz w:val="24"/>
          <w:szCs w:val="24"/>
        </w:rPr>
        <w:t>。境内年平均风速为</w:t>
      </w:r>
      <w:r>
        <w:rPr>
          <w:sz w:val="24"/>
          <w:szCs w:val="24"/>
        </w:rPr>
        <w:t>2.3m/s</w:t>
      </w:r>
      <w:r>
        <w:rPr>
          <w:rFonts w:hAnsi="宋体"/>
          <w:sz w:val="24"/>
          <w:szCs w:val="24"/>
        </w:rPr>
        <w:t>。</w:t>
      </w:r>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4.1.6</w:t>
      </w:r>
      <w:r>
        <w:rPr>
          <w:rFonts w:hint="eastAsia" w:ascii="宋体" w:hAnsi="宋体" w:eastAsia="宋体"/>
          <w:b/>
        </w:rPr>
        <w:t>土壤</w:t>
      </w:r>
    </w:p>
    <w:p>
      <w:pPr>
        <w:pStyle w:val="59"/>
        <w:spacing w:line="480" w:lineRule="exact"/>
        <w:ind w:firstLine="480" w:firstLineChars="200"/>
        <w:rPr>
          <w:rFonts w:eastAsia="宋体" w:cs="Times New Roman"/>
        </w:rPr>
      </w:pPr>
      <w:r>
        <w:rPr>
          <w:rFonts w:hAnsi="宋体" w:eastAsia="宋体" w:cs="Times New Roman"/>
        </w:rPr>
        <w:t>汾阳市土壤种类较多，主要类型有棕壤、褐土和草甸土三个类型。棕壤类土主要分布在万宝山乡西北部的墙板山、元宝山等海拔</w:t>
      </w:r>
      <w:r>
        <w:rPr>
          <w:rFonts w:eastAsia="宋体" w:cs="Times New Roman"/>
        </w:rPr>
        <w:t>1820</w:t>
      </w:r>
      <w:r>
        <w:rPr>
          <w:rFonts w:hAnsi="宋体" w:eastAsia="宋体" w:cs="Times New Roman"/>
        </w:rPr>
        <w:t>米以上的高中山区，占全市总面积的</w:t>
      </w:r>
      <w:r>
        <w:rPr>
          <w:rFonts w:eastAsia="宋体" w:cs="Times New Roman"/>
        </w:rPr>
        <w:t>0.9%</w:t>
      </w:r>
      <w:r>
        <w:rPr>
          <w:rFonts w:hAnsi="宋体" w:eastAsia="宋体" w:cs="Times New Roman"/>
        </w:rPr>
        <w:t>。褐土是本市主要的土壤类型，广泛分布于西部和中部的</w:t>
      </w:r>
      <w:r>
        <w:rPr>
          <w:rFonts w:eastAsia="宋体" w:cs="Times New Roman"/>
        </w:rPr>
        <w:t>12</w:t>
      </w:r>
      <w:r>
        <w:rPr>
          <w:rFonts w:hAnsi="宋体" w:eastAsia="宋体" w:cs="Times New Roman"/>
        </w:rPr>
        <w:t>个乡镇。总面积</w:t>
      </w:r>
      <w:r>
        <w:rPr>
          <w:rFonts w:eastAsia="宋体" w:cs="Times New Roman"/>
        </w:rPr>
        <w:t>121.68</w:t>
      </w:r>
      <w:r>
        <w:rPr>
          <w:rFonts w:hAnsi="宋体" w:eastAsia="宋体" w:cs="Times New Roman"/>
        </w:rPr>
        <w:t>万亩，占全县总土地面积的</w:t>
      </w:r>
      <w:r>
        <w:rPr>
          <w:rFonts w:eastAsia="宋体" w:cs="Times New Roman"/>
        </w:rPr>
        <w:t>69%</w:t>
      </w:r>
      <w:r>
        <w:rPr>
          <w:rFonts w:hAnsi="宋体" w:eastAsia="宋体" w:cs="Times New Roman"/>
        </w:rPr>
        <w:t>。草甸土主要分布于河谷平原一级阶地几个交接洼地中，洪积扇缘也有小面积分布。是市内主要农业土壤类型之一，占全市总面积的</w:t>
      </w:r>
      <w:r>
        <w:rPr>
          <w:rFonts w:eastAsia="宋体" w:cs="Times New Roman"/>
        </w:rPr>
        <w:t>18.6%</w:t>
      </w:r>
      <w:r>
        <w:rPr>
          <w:rFonts w:hAnsi="宋体" w:eastAsia="宋体" w:cs="Times New Roman"/>
        </w:rPr>
        <w:t>。各类土壤中，除山地棕壤、淋溶褐土外，其它土壤的</w:t>
      </w:r>
      <w:r>
        <w:rPr>
          <w:rFonts w:eastAsia="宋体" w:cs="Times New Roman"/>
        </w:rPr>
        <w:t>pH</w:t>
      </w:r>
      <w:r>
        <w:rPr>
          <w:rFonts w:hAnsi="宋体" w:eastAsia="宋体" w:cs="Times New Roman"/>
        </w:rPr>
        <w:t>值普遍偏高，皆在</w:t>
      </w:r>
      <w:r>
        <w:rPr>
          <w:rFonts w:eastAsia="宋体" w:cs="Times New Roman"/>
        </w:rPr>
        <w:t>7.0</w:t>
      </w:r>
      <w:r>
        <w:rPr>
          <w:rFonts w:hAnsi="宋体" w:eastAsia="宋体" w:cs="Times New Roman"/>
        </w:rPr>
        <w:t>以上。土壤的有机质含量普遍偏低，仅</w:t>
      </w:r>
      <w:r>
        <w:rPr>
          <w:rFonts w:eastAsia="宋体" w:cs="Times New Roman"/>
        </w:rPr>
        <w:t>1.2%</w:t>
      </w:r>
      <w:r>
        <w:rPr>
          <w:rFonts w:hAnsi="宋体" w:eastAsia="宋体" w:cs="Times New Roman"/>
        </w:rPr>
        <w:t>，丘陵区则在</w:t>
      </w:r>
      <w:r>
        <w:rPr>
          <w:rFonts w:eastAsia="宋体" w:cs="Times New Roman"/>
        </w:rPr>
        <w:t>1%</w:t>
      </w:r>
      <w:r>
        <w:rPr>
          <w:rFonts w:hAnsi="宋体" w:eastAsia="宋体" w:cs="Times New Roman"/>
        </w:rPr>
        <w:t>以下。</w:t>
      </w:r>
    </w:p>
    <w:p>
      <w:pPr>
        <w:spacing w:line="480" w:lineRule="exact"/>
        <w:ind w:firstLine="480" w:firstLineChars="200"/>
        <w:rPr>
          <w:bCs/>
          <w:sz w:val="24"/>
          <w:szCs w:val="24"/>
        </w:rPr>
      </w:pPr>
      <w:r>
        <w:rPr>
          <w:rFonts w:hAnsi="宋体"/>
          <w:sz w:val="24"/>
          <w:szCs w:val="24"/>
        </w:rPr>
        <w:t>本项目建设厂址所在区域的土壤类型为褐土，有机质含量少，耕地较为贫瘠。</w:t>
      </w:r>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4.1.7</w:t>
      </w:r>
      <w:r>
        <w:rPr>
          <w:rFonts w:hint="eastAsia" w:ascii="宋体" w:hAnsi="宋体" w:eastAsia="宋体"/>
          <w:b/>
        </w:rPr>
        <w:t>生态</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1</w:t>
      </w:r>
      <w:r>
        <w:rPr>
          <w:b/>
        </w:rPr>
        <w:t>.</w:t>
      </w:r>
      <w:r>
        <w:rPr>
          <w:rFonts w:hint="eastAsia"/>
          <w:b/>
        </w:rPr>
        <w:t>7</w:t>
      </w:r>
      <w:r>
        <w:rPr>
          <w:b/>
        </w:rPr>
        <w:t>.</w:t>
      </w:r>
      <w:r>
        <w:rPr>
          <w:rFonts w:hint="eastAsia"/>
          <w:b/>
        </w:rPr>
        <w:t>1</w:t>
      </w:r>
      <w:r>
        <w:rPr>
          <w:rFonts w:hint="eastAsia" w:ascii="宋体" w:hAnsi="宋体"/>
          <w:b/>
        </w:rPr>
        <w:t>植被</w:t>
      </w:r>
    </w:p>
    <w:p>
      <w:pPr>
        <w:pStyle w:val="59"/>
        <w:spacing w:line="480" w:lineRule="exact"/>
        <w:ind w:firstLine="480" w:firstLineChars="200"/>
        <w:rPr>
          <w:rFonts w:eastAsia="宋体" w:cs="Times New Roman"/>
        </w:rPr>
      </w:pPr>
      <w:r>
        <w:rPr>
          <w:rFonts w:hAnsi="宋体" w:eastAsia="宋体" w:cs="Times New Roman"/>
        </w:rPr>
        <w:t>本市为夏绿林地带，植被主要有针叶林，针、阔叶混杂林和灌木类。受地形、气候、水文及海拔高度等因素的影响，各类植被具有垂直分布的特点，并呈自然穿插。本市是个少林地区，</w:t>
      </w:r>
      <w:r>
        <w:rPr>
          <w:rFonts w:eastAsia="宋体" w:cs="Times New Roman"/>
        </w:rPr>
        <w:t>85</w:t>
      </w:r>
      <w:r>
        <w:rPr>
          <w:rFonts w:hAnsi="宋体" w:eastAsia="宋体" w:cs="Times New Roman"/>
        </w:rPr>
        <w:t>年森林面积为</w:t>
      </w:r>
      <w:r>
        <w:rPr>
          <w:rFonts w:eastAsia="宋体" w:cs="Times New Roman"/>
        </w:rPr>
        <w:t>494052</w:t>
      </w:r>
      <w:r>
        <w:rPr>
          <w:rFonts w:hAnsi="宋体" w:eastAsia="宋体" w:cs="Times New Roman"/>
        </w:rPr>
        <w:t>亩，占到全市总土地面积的</w:t>
      </w:r>
      <w:r>
        <w:rPr>
          <w:rFonts w:eastAsia="宋体" w:cs="Times New Roman"/>
        </w:rPr>
        <w:t>27.9%</w:t>
      </w:r>
      <w:r>
        <w:rPr>
          <w:rFonts w:hAnsi="宋体" w:eastAsia="宋体" w:cs="Times New Roman"/>
        </w:rPr>
        <w:t>。森林资源主要分布于西北部山区，多数属幼龄木和中龄木。全市有灌木林</w:t>
      </w:r>
      <w:r>
        <w:rPr>
          <w:rFonts w:eastAsia="宋体" w:cs="Times New Roman"/>
        </w:rPr>
        <w:t>128250</w:t>
      </w:r>
      <w:r>
        <w:rPr>
          <w:rFonts w:hAnsi="宋体" w:eastAsia="宋体" w:cs="Times New Roman"/>
        </w:rPr>
        <w:t>亩，草坡草地</w:t>
      </w:r>
      <w:r>
        <w:rPr>
          <w:rFonts w:eastAsia="宋体" w:cs="Times New Roman"/>
        </w:rPr>
        <w:t>348030</w:t>
      </w:r>
      <w:r>
        <w:rPr>
          <w:rFonts w:hAnsi="宋体" w:eastAsia="宋体" w:cs="Times New Roman"/>
        </w:rPr>
        <w:t>亩。</w:t>
      </w:r>
    </w:p>
    <w:p>
      <w:pPr>
        <w:spacing w:line="480" w:lineRule="exact"/>
        <w:ind w:firstLine="480" w:firstLineChars="200"/>
        <w:rPr>
          <w:bCs/>
          <w:sz w:val="24"/>
          <w:szCs w:val="24"/>
        </w:rPr>
      </w:pPr>
      <w:r>
        <w:rPr>
          <w:rFonts w:hAnsi="宋体"/>
          <w:sz w:val="24"/>
          <w:szCs w:val="24"/>
        </w:rPr>
        <w:t>厂址周围区域内自然植被较少，主要在荒地、田边、沟谷内分布有一些荆条、白草等自然植物，其余为农垦地，因此，厂址周围生态环境较为简单，主要以农业生态为主，主要种植小麦、谷子、豆类、玉米等，粮食产量不高。</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1</w:t>
      </w:r>
      <w:r>
        <w:rPr>
          <w:b/>
        </w:rPr>
        <w:t>.</w:t>
      </w:r>
      <w:r>
        <w:rPr>
          <w:rFonts w:hint="eastAsia"/>
          <w:b/>
        </w:rPr>
        <w:t>7</w:t>
      </w:r>
      <w:r>
        <w:rPr>
          <w:b/>
        </w:rPr>
        <w:t>.</w:t>
      </w:r>
      <w:r>
        <w:rPr>
          <w:rFonts w:hint="eastAsia"/>
          <w:b/>
        </w:rPr>
        <w:t>2</w:t>
      </w:r>
      <w:r>
        <w:rPr>
          <w:rFonts w:hint="eastAsia" w:ascii="宋体" w:hAnsi="宋体"/>
          <w:b/>
        </w:rPr>
        <w:t>野生动物</w:t>
      </w:r>
    </w:p>
    <w:p>
      <w:pPr>
        <w:pStyle w:val="57"/>
        <w:spacing w:before="0" w:after="0" w:line="480" w:lineRule="exact"/>
        <w:ind w:firstLine="480"/>
      </w:pPr>
      <w:r>
        <w:rPr>
          <w:rFonts w:hAnsi="宋体"/>
        </w:rPr>
        <w:t>汾阳市境内动物种类繁多，包括金钱豹、狼、褐马鸡、穿山甲等，主要分布于万宝山、宋家庄、杨家庄、石庄、南偏城和张家堡</w:t>
      </w:r>
      <w:r>
        <w:t>6</w:t>
      </w:r>
      <w:r>
        <w:rPr>
          <w:rFonts w:hAnsi="宋体"/>
        </w:rPr>
        <w:t>乡（镇）的森林地带。其中麝属于国家二级野生保护动物，褐马鸡属于国家一类野生保护动物。</w:t>
      </w:r>
    </w:p>
    <w:p>
      <w:pPr>
        <w:spacing w:line="480" w:lineRule="exact"/>
        <w:ind w:firstLine="480" w:firstLineChars="200"/>
        <w:rPr>
          <w:bCs/>
          <w:sz w:val="24"/>
          <w:szCs w:val="24"/>
        </w:rPr>
      </w:pPr>
      <w:r>
        <w:rPr>
          <w:rFonts w:hAnsi="宋体"/>
          <w:sz w:val="24"/>
          <w:szCs w:val="24"/>
        </w:rPr>
        <w:t>本区属于工业、居住、农业混杂区，因人为活动影响，未见有珍稀保护动植物。</w:t>
      </w:r>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4.1.8</w:t>
      </w:r>
      <w:r>
        <w:rPr>
          <w:rFonts w:hint="eastAsia" w:ascii="宋体" w:hAnsi="宋体" w:eastAsia="宋体"/>
          <w:b/>
        </w:rPr>
        <w:t>地震</w:t>
      </w:r>
    </w:p>
    <w:p>
      <w:pPr>
        <w:spacing w:line="480" w:lineRule="exact"/>
        <w:ind w:firstLine="480" w:firstLineChars="200"/>
        <w:rPr>
          <w:bCs/>
          <w:sz w:val="24"/>
          <w:szCs w:val="24"/>
        </w:rPr>
      </w:pPr>
      <w:r>
        <w:rPr>
          <w:rFonts w:hint="eastAsia"/>
          <w:bCs/>
          <w:sz w:val="24"/>
          <w:szCs w:val="24"/>
        </w:rPr>
        <w:t>根据《建筑抗震设计规范》（GB50011—2010）中确定汾阳市地震一般建筑抗震设防烈度为8度，设计基本地震加速度值为0.20g；规划一般建筑按八度设防。</w:t>
      </w:r>
    </w:p>
    <w:p>
      <w:pPr>
        <w:pStyle w:val="57"/>
        <w:keepNext/>
        <w:keepLines/>
        <w:spacing w:before="156" w:beforeLines="50" w:after="0" w:line="480" w:lineRule="exact"/>
        <w:ind w:firstLine="0" w:firstLineChars="0"/>
        <w:outlineLvl w:val="1"/>
        <w:rPr>
          <w:rFonts w:eastAsia="黑体"/>
          <w:b/>
          <w:sz w:val="28"/>
          <w:szCs w:val="28"/>
        </w:rPr>
      </w:pPr>
      <w:bookmarkStart w:id="70" w:name="_Toc19105462"/>
      <w:r>
        <w:rPr>
          <w:rFonts w:eastAsia="黑体"/>
          <w:b/>
          <w:sz w:val="28"/>
          <w:szCs w:val="28"/>
        </w:rPr>
        <w:t>4.</w:t>
      </w:r>
      <w:r>
        <w:rPr>
          <w:rFonts w:hint="eastAsia" w:eastAsia="黑体"/>
          <w:b/>
          <w:sz w:val="28"/>
          <w:szCs w:val="28"/>
        </w:rPr>
        <w:t>2环境保护目标调查</w:t>
      </w:r>
      <w:bookmarkEnd w:id="70"/>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4.2.1</w:t>
      </w:r>
      <w:r>
        <w:rPr>
          <w:rFonts w:hint="eastAsia" w:ascii="宋体" w:hAnsi="宋体" w:eastAsia="宋体"/>
          <w:b/>
          <w:bCs/>
        </w:rPr>
        <w:t>区域环境功能区划调查</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评价区位于</w:t>
      </w:r>
      <w:r>
        <w:rPr>
          <w:rFonts w:hint="eastAsia" w:ascii="Times New Roman" w:hAnsi="Times New Roman" w:cs="Times New Roman"/>
          <w:bCs/>
          <w:sz w:val="24"/>
          <w:szCs w:val="24"/>
        </w:rPr>
        <w:t>汾阳市峪道河镇田褚村西侧约1km</w:t>
      </w:r>
      <w:r>
        <w:rPr>
          <w:rFonts w:hint="eastAsia" w:ascii="Times New Roman" w:hAnsi="Times New Roman" w:cs="Times New Roman"/>
          <w:sz w:val="24"/>
          <w:szCs w:val="24"/>
        </w:rPr>
        <w:t>处，确定环境功能区划为：</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环境空气</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项目厂址处于工业、农业、商业、居住混合区，根据《环境空气质量标准》（GB3095-2012）中的环境空气质量功能区分类规定，评价区域属于二类区，结合本区域的具体情况，评价区域环境空气质量执行《环境空气质量标准》（GB3095-2012）中二级标准。</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（2）地表水</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根据《山西省地表水水环境功能区划》DB14/67-2014，</w:t>
      </w:r>
      <w:r>
        <w:rPr>
          <w:rFonts w:hint="eastAsia" w:ascii="Times New Roman" w:hAnsi="Times New Roman" w:cs="Times New Roman"/>
          <w:bCs/>
          <w:sz w:val="24"/>
          <w:szCs w:val="24"/>
        </w:rPr>
        <w:t>文峪河汾阳段水环境功能区划为农业用水保护，磁窑河“坡底—入汾河”段水环境功能为农业用水保护，</w:t>
      </w:r>
      <w:r>
        <w:rPr>
          <w:rFonts w:ascii="Times New Roman" w:hAnsi="Times New Roman" w:cs="Times New Roman"/>
          <w:bCs/>
          <w:sz w:val="24"/>
          <w:szCs w:val="24"/>
        </w:rPr>
        <w:t>执行《地表水环境质量标准》（GB38382-2002）Ⅴ类标准。</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（3）地下水</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根据</w:t>
      </w:r>
      <w:bookmarkStart w:id="71" w:name="_Hlk519066941"/>
      <w:r>
        <w:rPr>
          <w:rFonts w:hint="eastAsia" w:ascii="Times New Roman" w:hAnsi="Times New Roman" w:cs="Times New Roman"/>
          <w:sz w:val="24"/>
          <w:szCs w:val="24"/>
        </w:rPr>
        <w:t>《地下水质量标准》（GB/T14848-2017）</w:t>
      </w:r>
      <w:bookmarkEnd w:id="71"/>
      <w:r>
        <w:rPr>
          <w:rFonts w:ascii="Times New Roman" w:hAnsi="Times New Roman" w:cs="Times New Roman"/>
          <w:sz w:val="24"/>
          <w:szCs w:val="24"/>
        </w:rPr>
        <w:t>中地下水的分类要求：</w:t>
      </w:r>
      <w:r>
        <w:rPr>
          <w:rFonts w:hint="eastAsia" w:ascii="Times New Roman" w:hAnsi="Times New Roman" w:cs="Times New Roman"/>
          <w:sz w:val="24"/>
          <w:szCs w:val="24"/>
        </w:rPr>
        <w:t>“地下水化雪组分含量中等，以G</w:t>
      </w:r>
      <w:r>
        <w:rPr>
          <w:rFonts w:ascii="Times New Roman" w:hAnsi="Times New Roman" w:cs="Times New Roman"/>
          <w:sz w:val="24"/>
          <w:szCs w:val="24"/>
        </w:rPr>
        <w:t>B5749-2006</w:t>
      </w:r>
      <w:r>
        <w:rPr>
          <w:rFonts w:hint="eastAsia" w:ascii="Times New Roman" w:hAnsi="Times New Roman" w:cs="Times New Roman"/>
          <w:sz w:val="24"/>
          <w:szCs w:val="24"/>
        </w:rPr>
        <w:t>为依据，主要适用于集中式生活饮用水水源及工农业用水”</w:t>
      </w:r>
      <w:r>
        <w:rPr>
          <w:rFonts w:ascii="Times New Roman" w:hAnsi="Times New Roman" w:cs="Times New Roman"/>
          <w:sz w:val="24"/>
          <w:szCs w:val="24"/>
        </w:rPr>
        <w:t>，本区域地下水应执行</w:t>
      </w:r>
      <w:r>
        <w:rPr>
          <w:rFonts w:hint="eastAsia" w:ascii="Times New Roman" w:hAnsi="Times New Roman" w:cs="Times New Roman"/>
          <w:sz w:val="24"/>
          <w:szCs w:val="24"/>
        </w:rPr>
        <w:t>III</w:t>
      </w:r>
      <w:r>
        <w:rPr>
          <w:rFonts w:ascii="Times New Roman" w:hAnsi="Times New Roman" w:cs="Times New Roman"/>
          <w:sz w:val="24"/>
          <w:szCs w:val="24"/>
        </w:rPr>
        <w:t>类标准。</w:t>
      </w:r>
    </w:p>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声环境</w:t>
      </w:r>
    </w:p>
    <w:p>
      <w:pPr>
        <w:spacing w:line="480" w:lineRule="exact"/>
        <w:ind w:firstLine="480" w:firstLineChars="200"/>
        <w:rPr>
          <w:sz w:val="24"/>
          <w:szCs w:val="24"/>
        </w:rPr>
      </w:pPr>
      <w:r>
        <w:rPr>
          <w:sz w:val="24"/>
          <w:szCs w:val="24"/>
        </w:rPr>
        <w:t>根据《声环境质量标准》（GB3096-2008）和《环境影响评价技术导则 声环境》（HJ2.4-2009）规定，</w:t>
      </w:r>
      <w:r>
        <w:rPr>
          <w:rFonts w:hint="eastAsia"/>
          <w:sz w:val="24"/>
          <w:szCs w:val="24"/>
        </w:rPr>
        <w:t>厂界</w:t>
      </w:r>
      <w:r>
        <w:rPr>
          <w:sz w:val="24"/>
          <w:szCs w:val="24"/>
        </w:rPr>
        <w:t>属于</w:t>
      </w:r>
      <w:r>
        <w:rPr>
          <w:rFonts w:hint="eastAsia"/>
          <w:sz w:val="24"/>
          <w:szCs w:val="24"/>
        </w:rPr>
        <w:t>2</w:t>
      </w:r>
      <w:r>
        <w:rPr>
          <w:sz w:val="24"/>
          <w:szCs w:val="24"/>
        </w:rPr>
        <w:t>类区，执行《声环境质量标准》（GB3096-2008）</w:t>
      </w:r>
      <w:r>
        <w:rPr>
          <w:rFonts w:hint="eastAsia"/>
          <w:sz w:val="24"/>
          <w:szCs w:val="24"/>
        </w:rPr>
        <w:t>2</w:t>
      </w:r>
      <w:r>
        <w:rPr>
          <w:sz w:val="24"/>
          <w:szCs w:val="24"/>
        </w:rPr>
        <w:t>类标准。</w:t>
      </w:r>
    </w:p>
    <w:p>
      <w:pPr>
        <w:spacing w:line="480" w:lineRule="exact"/>
        <w:ind w:firstLine="480" w:firstLineChars="200"/>
        <w:rPr>
          <w:kern w:val="0"/>
          <w:sz w:val="24"/>
        </w:rPr>
      </w:pPr>
      <w:r>
        <w:rPr>
          <w:rFonts w:hint="eastAsia"/>
          <w:kern w:val="0"/>
          <w:sz w:val="24"/>
        </w:rPr>
        <w:t>（5）土壤环境</w:t>
      </w:r>
    </w:p>
    <w:p>
      <w:pPr>
        <w:spacing w:line="480" w:lineRule="exact"/>
        <w:ind w:firstLine="480" w:firstLineChars="200"/>
        <w:rPr>
          <w:sz w:val="24"/>
          <w:szCs w:val="24"/>
        </w:rPr>
      </w:pPr>
      <w:r>
        <w:rPr>
          <w:rFonts w:hint="eastAsia"/>
          <w:kern w:val="0"/>
          <w:sz w:val="24"/>
        </w:rPr>
        <w:t>根据《中华人民共和国国家标准</w:t>
      </w:r>
      <w:r>
        <w:rPr>
          <w:kern w:val="0"/>
          <w:sz w:val="24"/>
        </w:rPr>
        <w:t xml:space="preserve"> </w:t>
      </w:r>
      <w:r>
        <w:rPr>
          <w:rFonts w:hint="eastAsia"/>
          <w:kern w:val="0"/>
          <w:sz w:val="24"/>
        </w:rPr>
        <w:t>城乡用地分类与规划建设用地标准》（</w:t>
      </w:r>
      <w:r>
        <w:rPr>
          <w:kern w:val="0"/>
          <w:sz w:val="24"/>
        </w:rPr>
        <w:t>GB50137</w:t>
      </w:r>
      <w:r>
        <w:rPr>
          <w:rFonts w:hint="eastAsia"/>
          <w:kern w:val="0"/>
          <w:sz w:val="24"/>
        </w:rPr>
        <w:t>）中建设用地分类，本项目建设用地为镇建设用地</w:t>
      </w:r>
      <w:r>
        <w:rPr>
          <w:kern w:val="0"/>
          <w:sz w:val="24"/>
        </w:rPr>
        <w:t>B</w:t>
      </w:r>
      <w:r>
        <w:rPr>
          <w:rFonts w:hint="eastAsia"/>
          <w:kern w:val="0"/>
          <w:sz w:val="24"/>
        </w:rPr>
        <w:t>类商业服务业设施用地中</w:t>
      </w:r>
      <w:r>
        <w:rPr>
          <w:kern w:val="0"/>
          <w:sz w:val="24"/>
        </w:rPr>
        <w:t>B2</w:t>
      </w:r>
      <w:r>
        <w:rPr>
          <w:rFonts w:hint="eastAsia"/>
          <w:kern w:val="0"/>
          <w:sz w:val="24"/>
        </w:rPr>
        <w:t>类公用设施营业网点用地。根据《土壤环境质量</w:t>
      </w:r>
      <w:r>
        <w:rPr>
          <w:kern w:val="0"/>
          <w:sz w:val="24"/>
        </w:rPr>
        <w:t xml:space="preserve"> </w:t>
      </w:r>
      <w:r>
        <w:rPr>
          <w:rFonts w:hint="eastAsia"/>
          <w:kern w:val="0"/>
          <w:sz w:val="24"/>
        </w:rPr>
        <w:t>建设用地土壤污染风险管控标准》（试行）中建设用地分类，本项目属于第二类用地，执行第二类用地建设用地土壤污染风险筛选值和管制值。</w:t>
      </w:r>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4.2.2</w:t>
      </w:r>
      <w:r>
        <w:rPr>
          <w:rFonts w:hint="eastAsia" w:ascii="宋体" w:hAnsi="宋体" w:eastAsia="宋体"/>
          <w:b/>
          <w:bCs/>
        </w:rPr>
        <w:t>区域环境敏感区调查</w:t>
      </w:r>
    </w:p>
    <w:p>
      <w:pPr>
        <w:spacing w:line="480" w:lineRule="exact"/>
        <w:ind w:firstLine="480" w:firstLineChars="200"/>
        <w:rPr>
          <w:bCs/>
          <w:sz w:val="32"/>
          <w:szCs w:val="24"/>
        </w:rPr>
      </w:pPr>
      <w:r>
        <w:rPr>
          <w:rFonts w:hint="eastAsia"/>
          <w:bCs/>
          <w:sz w:val="24"/>
          <w:szCs w:val="24"/>
        </w:rPr>
        <w:t>本项目位于汾阳市峪道河镇田褚村西侧约1km</w:t>
      </w:r>
      <w:r>
        <w:rPr>
          <w:rFonts w:hint="eastAsia"/>
          <w:sz w:val="24"/>
          <w:szCs w:val="24"/>
        </w:rPr>
        <w:t>处</w:t>
      </w:r>
      <w:r>
        <w:rPr>
          <w:rFonts w:hint="eastAsia"/>
          <w:bCs/>
          <w:sz w:val="24"/>
          <w:szCs w:val="24"/>
        </w:rPr>
        <w:t>，</w:t>
      </w:r>
      <w:r>
        <w:rPr>
          <w:rFonts w:hint="eastAsia"/>
          <w:bCs/>
          <w:sz w:val="24"/>
        </w:rPr>
        <w:t>评价区范围不属于国家级自然保护区、世界文化自然遗产、国家级风景名胜区、国家森林公园和国家地质公园等禁止开发区域，不属于</w:t>
      </w:r>
      <w:r>
        <w:rPr>
          <w:sz w:val="24"/>
        </w:rPr>
        <w:t>水源涵养区、水土保持区、防风固沙区、生物多样性维护区等</w:t>
      </w:r>
      <w:r>
        <w:rPr>
          <w:rFonts w:hint="eastAsia"/>
          <w:sz w:val="24"/>
        </w:rPr>
        <w:t>重点生态功能区，不属于</w:t>
      </w:r>
      <w:r>
        <w:rPr>
          <w:sz w:val="24"/>
        </w:rPr>
        <w:t>水土流失敏感区、土地沙化敏感区、石漠化敏感区、高寒生态脆弱区、干旱、半干旱生态脆弱区</w:t>
      </w:r>
      <w:r>
        <w:rPr>
          <w:rFonts w:hint="eastAsia"/>
          <w:sz w:val="24"/>
        </w:rPr>
        <w:t>等生态敏感/脆弱区</w:t>
      </w:r>
      <w:r>
        <w:rPr>
          <w:rFonts w:hint="eastAsia"/>
          <w:bCs/>
          <w:sz w:val="24"/>
        </w:rPr>
        <w:t>。</w:t>
      </w:r>
    </w:p>
    <w:p>
      <w:pPr>
        <w:pStyle w:val="57"/>
        <w:keepNext/>
        <w:keepLines/>
        <w:spacing w:before="156" w:beforeLines="50" w:after="0" w:line="480" w:lineRule="exact"/>
        <w:ind w:firstLine="0" w:firstLineChars="0"/>
        <w:outlineLvl w:val="1"/>
        <w:rPr>
          <w:rFonts w:eastAsia="黑体"/>
          <w:b/>
          <w:sz w:val="28"/>
          <w:szCs w:val="28"/>
        </w:rPr>
      </w:pPr>
      <w:bookmarkStart w:id="72" w:name="_Toc19105463"/>
      <w:r>
        <w:rPr>
          <w:rFonts w:eastAsia="黑体"/>
          <w:b/>
          <w:sz w:val="28"/>
          <w:szCs w:val="28"/>
        </w:rPr>
        <w:t>4.</w:t>
      </w:r>
      <w:r>
        <w:rPr>
          <w:rFonts w:hint="eastAsia" w:eastAsia="黑体"/>
          <w:b/>
          <w:sz w:val="28"/>
          <w:szCs w:val="28"/>
        </w:rPr>
        <w:t>3环境质量现状调查与评价</w:t>
      </w:r>
      <w:bookmarkEnd w:id="72"/>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4.3.1</w:t>
      </w:r>
      <w:r>
        <w:rPr>
          <w:rFonts w:ascii="宋体" w:hAnsi="宋体" w:eastAsia="宋体"/>
          <w:b/>
          <w:bCs/>
        </w:rPr>
        <w:t>环境空气质量现状监测</w:t>
      </w:r>
    </w:p>
    <w:p>
      <w:pPr>
        <w:spacing w:line="480" w:lineRule="exact"/>
        <w:ind w:firstLine="480" w:firstLineChars="200"/>
        <w:rPr>
          <w:bCs/>
          <w:sz w:val="24"/>
          <w:szCs w:val="24"/>
        </w:rPr>
      </w:pPr>
      <w:r>
        <w:rPr>
          <w:rFonts w:hint="eastAsia"/>
          <w:bCs/>
          <w:sz w:val="24"/>
          <w:szCs w:val="24"/>
        </w:rPr>
        <w:t>根据《山西省大气污染防治工作领导组办公室发布的关于2</w:t>
      </w:r>
      <w:r>
        <w:rPr>
          <w:bCs/>
          <w:sz w:val="24"/>
          <w:szCs w:val="24"/>
        </w:rPr>
        <w:t>018</w:t>
      </w:r>
      <w:r>
        <w:rPr>
          <w:rFonts w:hint="eastAsia"/>
          <w:bCs/>
          <w:sz w:val="24"/>
          <w:szCs w:val="24"/>
        </w:rPr>
        <w:t>年度全省各县（市、区）环境空气质量状况的通报》（晋气防办函[</w:t>
      </w:r>
      <w:r>
        <w:rPr>
          <w:bCs/>
          <w:sz w:val="24"/>
          <w:szCs w:val="24"/>
        </w:rPr>
        <w:t>2019]11</w:t>
      </w:r>
      <w:r>
        <w:rPr>
          <w:rFonts w:hint="eastAsia"/>
          <w:bCs/>
          <w:sz w:val="24"/>
          <w:szCs w:val="24"/>
        </w:rPr>
        <w:t>号）中汾阳市2</w:t>
      </w:r>
      <w:r>
        <w:rPr>
          <w:bCs/>
          <w:sz w:val="24"/>
          <w:szCs w:val="24"/>
        </w:rPr>
        <w:t>018</w:t>
      </w:r>
      <w:r>
        <w:rPr>
          <w:rFonts w:hint="eastAsia"/>
          <w:bCs/>
          <w:sz w:val="24"/>
          <w:szCs w:val="24"/>
        </w:rPr>
        <w:t>年度环境空气质量状况判定汾阳市为非达标区，具体判断结果见表</w:t>
      </w:r>
      <w:r>
        <w:rPr>
          <w:bCs/>
          <w:sz w:val="24"/>
          <w:szCs w:val="24"/>
        </w:rPr>
        <w:t>4.3-1</w:t>
      </w:r>
      <w:r>
        <w:rPr>
          <w:rFonts w:hint="eastAsia"/>
          <w:bCs/>
          <w:sz w:val="24"/>
          <w:szCs w:val="24"/>
        </w:rPr>
        <w:t>。</w:t>
      </w:r>
    </w:p>
    <w:p>
      <w:pPr>
        <w:spacing w:line="480" w:lineRule="exact"/>
        <w:jc w:val="center"/>
        <w:rPr>
          <w:rFonts w:ascii="黑体" w:hAnsi="黑体" w:eastAsia="黑体"/>
          <w:bCs/>
          <w:sz w:val="24"/>
          <w:szCs w:val="24"/>
        </w:rPr>
      </w:pPr>
    </w:p>
    <w:p>
      <w:pPr>
        <w:spacing w:line="480" w:lineRule="exact"/>
        <w:jc w:val="center"/>
        <w:rPr>
          <w:rFonts w:ascii="黑体" w:hAnsi="黑体" w:eastAsia="黑体"/>
          <w:bCs/>
          <w:sz w:val="24"/>
          <w:szCs w:val="24"/>
        </w:rPr>
      </w:pPr>
      <w:r>
        <w:rPr>
          <w:rFonts w:hint="eastAsia" w:ascii="黑体" w:hAnsi="黑体" w:eastAsia="黑体"/>
          <w:bCs/>
          <w:sz w:val="24"/>
          <w:szCs w:val="24"/>
        </w:rPr>
        <w:t>表</w:t>
      </w:r>
      <w:r>
        <w:rPr>
          <w:rFonts w:ascii="黑体" w:hAnsi="黑体" w:eastAsia="黑体"/>
          <w:bCs/>
          <w:sz w:val="24"/>
          <w:szCs w:val="24"/>
        </w:rPr>
        <w:t xml:space="preserve">4.3-1  </w:t>
      </w:r>
      <w:r>
        <w:rPr>
          <w:rFonts w:hint="eastAsia" w:ascii="黑体" w:hAnsi="黑体" w:eastAsia="黑体"/>
          <w:bCs/>
          <w:sz w:val="24"/>
          <w:szCs w:val="24"/>
        </w:rPr>
        <w:t>区域空气质量现状评价表</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81"/>
        <w:gridCol w:w="3392"/>
        <w:gridCol w:w="1580"/>
        <w:gridCol w:w="1437"/>
        <w:gridCol w:w="1004"/>
        <w:gridCol w:w="7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vAlign w:val="center"/>
          </w:tcPr>
          <w:p>
            <w:pPr>
              <w:jc w:val="center"/>
              <w:rPr>
                <w:b/>
                <w:szCs w:val="21"/>
              </w:rPr>
            </w:pPr>
            <w:r>
              <w:rPr>
                <w:rFonts w:hint="eastAsia"/>
                <w:b/>
                <w:szCs w:val="21"/>
              </w:rPr>
              <w:t>污染物</w:t>
            </w:r>
          </w:p>
        </w:tc>
        <w:tc>
          <w:tcPr>
            <w:tcW w:w="1872" w:type="pct"/>
            <w:vAlign w:val="center"/>
          </w:tcPr>
          <w:p>
            <w:pPr>
              <w:jc w:val="center"/>
              <w:rPr>
                <w:b/>
                <w:szCs w:val="21"/>
              </w:rPr>
            </w:pPr>
            <w:r>
              <w:rPr>
                <w:rFonts w:hint="eastAsia"/>
                <w:b/>
                <w:szCs w:val="21"/>
              </w:rPr>
              <w:t>年评价指标</w:t>
            </w:r>
          </w:p>
        </w:tc>
        <w:tc>
          <w:tcPr>
            <w:tcW w:w="872" w:type="pct"/>
            <w:vAlign w:val="center"/>
          </w:tcPr>
          <w:p>
            <w:pPr>
              <w:jc w:val="center"/>
              <w:rPr>
                <w:b/>
                <w:szCs w:val="21"/>
              </w:rPr>
            </w:pPr>
            <w:r>
              <w:rPr>
                <w:rFonts w:hint="eastAsia"/>
                <w:b/>
                <w:szCs w:val="21"/>
              </w:rPr>
              <w:t>现状浓度</w:t>
            </w:r>
            <w:r>
              <w:rPr>
                <w:b/>
                <w:szCs w:val="21"/>
              </w:rPr>
              <w:t>/</w:t>
            </w:r>
            <w:r>
              <w:rPr>
                <w:rFonts w:hint="eastAsia"/>
                <w:b/>
                <w:szCs w:val="21"/>
              </w:rPr>
              <w:t>（</w:t>
            </w:r>
            <w:r>
              <w:rPr>
                <w:b/>
                <w:szCs w:val="21"/>
              </w:rPr>
              <w:t>µg/m</w:t>
            </w:r>
            <w:r>
              <w:rPr>
                <w:b/>
                <w:szCs w:val="21"/>
                <w:vertAlign w:val="superscript"/>
              </w:rPr>
              <w:t>3</w:t>
            </w:r>
            <w:r>
              <w:rPr>
                <w:rFonts w:hint="eastAsia"/>
                <w:b/>
                <w:szCs w:val="21"/>
              </w:rPr>
              <w:t>）</w:t>
            </w:r>
          </w:p>
        </w:tc>
        <w:tc>
          <w:tcPr>
            <w:tcW w:w="793" w:type="pct"/>
            <w:vAlign w:val="center"/>
          </w:tcPr>
          <w:p>
            <w:pPr>
              <w:jc w:val="center"/>
              <w:rPr>
                <w:b/>
                <w:szCs w:val="21"/>
              </w:rPr>
            </w:pPr>
            <w:r>
              <w:rPr>
                <w:rFonts w:hint="eastAsia"/>
                <w:b/>
                <w:szCs w:val="21"/>
              </w:rPr>
              <w:t>标准值</w:t>
            </w:r>
            <w:r>
              <w:rPr>
                <w:b/>
                <w:szCs w:val="21"/>
              </w:rPr>
              <w:t>/</w:t>
            </w:r>
            <w:r>
              <w:rPr>
                <w:rFonts w:hint="eastAsia"/>
                <w:b/>
                <w:szCs w:val="21"/>
              </w:rPr>
              <w:t>（</w:t>
            </w:r>
            <w:r>
              <w:rPr>
                <w:b/>
                <w:szCs w:val="21"/>
              </w:rPr>
              <w:t>µg/m</w:t>
            </w:r>
            <w:r>
              <w:rPr>
                <w:b/>
                <w:szCs w:val="21"/>
                <w:vertAlign w:val="superscript"/>
              </w:rPr>
              <w:t>3</w:t>
            </w:r>
            <w:r>
              <w:rPr>
                <w:rFonts w:hint="eastAsia"/>
                <w:b/>
                <w:szCs w:val="21"/>
              </w:rPr>
              <w:t>）</w:t>
            </w:r>
          </w:p>
        </w:tc>
        <w:tc>
          <w:tcPr>
            <w:tcW w:w="554" w:type="pct"/>
            <w:vAlign w:val="center"/>
          </w:tcPr>
          <w:p>
            <w:pPr>
              <w:jc w:val="center"/>
              <w:rPr>
                <w:b/>
                <w:szCs w:val="21"/>
              </w:rPr>
            </w:pPr>
            <w:r>
              <w:rPr>
                <w:rFonts w:hint="eastAsia"/>
                <w:b/>
                <w:szCs w:val="21"/>
              </w:rPr>
              <w:t>占标率</w:t>
            </w:r>
            <w:r>
              <w:rPr>
                <w:b/>
                <w:szCs w:val="21"/>
              </w:rPr>
              <w:t>/%</w:t>
            </w:r>
          </w:p>
        </w:tc>
        <w:tc>
          <w:tcPr>
            <w:tcW w:w="423" w:type="pct"/>
            <w:vAlign w:val="center"/>
          </w:tcPr>
          <w:p>
            <w:pPr>
              <w:jc w:val="center"/>
              <w:rPr>
                <w:b/>
                <w:szCs w:val="21"/>
              </w:rPr>
            </w:pPr>
            <w:r>
              <w:rPr>
                <w:rFonts w:hint="eastAsia"/>
                <w:b/>
                <w:szCs w:val="21"/>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vAlign w:val="center"/>
          </w:tcPr>
          <w:p>
            <w:pPr>
              <w:jc w:val="center"/>
              <w:rPr>
                <w:szCs w:val="21"/>
              </w:rPr>
            </w:pPr>
            <w:r>
              <w:rPr>
                <w:szCs w:val="21"/>
              </w:rPr>
              <w:t>SO</w:t>
            </w:r>
            <w:r>
              <w:rPr>
                <w:szCs w:val="21"/>
                <w:vertAlign w:val="subscript"/>
              </w:rPr>
              <w:t>2</w:t>
            </w:r>
          </w:p>
        </w:tc>
        <w:tc>
          <w:tcPr>
            <w:tcW w:w="1872" w:type="pct"/>
            <w:vAlign w:val="center"/>
          </w:tcPr>
          <w:p>
            <w:pPr>
              <w:jc w:val="center"/>
              <w:rPr>
                <w:szCs w:val="21"/>
              </w:rPr>
            </w:pPr>
            <w:r>
              <w:rPr>
                <w:rFonts w:hint="eastAsia" w:hAnsi="宋体"/>
                <w:szCs w:val="21"/>
              </w:rPr>
              <w:t>年平均质量浓度</w:t>
            </w:r>
          </w:p>
        </w:tc>
        <w:tc>
          <w:tcPr>
            <w:tcW w:w="872" w:type="pct"/>
            <w:vAlign w:val="center"/>
          </w:tcPr>
          <w:p>
            <w:pPr>
              <w:jc w:val="center"/>
              <w:rPr>
                <w:szCs w:val="21"/>
              </w:rPr>
            </w:pPr>
            <w:r>
              <w:rPr>
                <w:szCs w:val="21"/>
              </w:rPr>
              <w:t>93</w:t>
            </w:r>
          </w:p>
        </w:tc>
        <w:tc>
          <w:tcPr>
            <w:tcW w:w="793" w:type="pct"/>
            <w:vAlign w:val="center"/>
          </w:tcPr>
          <w:p>
            <w:pPr>
              <w:jc w:val="center"/>
              <w:rPr>
                <w:szCs w:val="21"/>
              </w:rPr>
            </w:pPr>
            <w:r>
              <w:rPr>
                <w:szCs w:val="21"/>
              </w:rPr>
              <w:t>60</w:t>
            </w:r>
          </w:p>
        </w:tc>
        <w:tc>
          <w:tcPr>
            <w:tcW w:w="554" w:type="pct"/>
            <w:vAlign w:val="center"/>
          </w:tcPr>
          <w:p>
            <w:pPr>
              <w:jc w:val="center"/>
              <w:rPr>
                <w:szCs w:val="21"/>
              </w:rPr>
            </w:pPr>
            <w:r>
              <w:rPr>
                <w:rFonts w:hint="eastAsia"/>
                <w:szCs w:val="21"/>
              </w:rPr>
              <w:t>1</w:t>
            </w:r>
            <w:r>
              <w:rPr>
                <w:szCs w:val="21"/>
              </w:rPr>
              <w:t>55</w:t>
            </w:r>
          </w:p>
        </w:tc>
        <w:tc>
          <w:tcPr>
            <w:tcW w:w="423" w:type="pct"/>
            <w:vAlign w:val="center"/>
          </w:tcPr>
          <w:p>
            <w:pPr>
              <w:jc w:val="center"/>
              <w:rPr>
                <w:szCs w:val="21"/>
              </w:rPr>
            </w:pPr>
            <w:r>
              <w:rPr>
                <w:rFonts w:hint="eastAsia" w:hAnsi="宋体"/>
                <w:szCs w:val="21"/>
              </w:rPr>
              <w:t>超标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vAlign w:val="center"/>
          </w:tcPr>
          <w:p>
            <w:pPr>
              <w:jc w:val="center"/>
              <w:rPr>
                <w:szCs w:val="21"/>
              </w:rPr>
            </w:pPr>
            <w:r>
              <w:rPr>
                <w:szCs w:val="21"/>
              </w:rPr>
              <w:t>NO</w:t>
            </w:r>
            <w:r>
              <w:rPr>
                <w:szCs w:val="21"/>
                <w:vertAlign w:val="subscript"/>
              </w:rPr>
              <w:t>2</w:t>
            </w:r>
          </w:p>
        </w:tc>
        <w:tc>
          <w:tcPr>
            <w:tcW w:w="1872" w:type="pct"/>
            <w:vAlign w:val="center"/>
          </w:tcPr>
          <w:p>
            <w:pPr>
              <w:jc w:val="center"/>
              <w:rPr>
                <w:szCs w:val="21"/>
              </w:rPr>
            </w:pPr>
            <w:r>
              <w:rPr>
                <w:rFonts w:hint="eastAsia" w:hAnsi="宋体"/>
                <w:szCs w:val="21"/>
              </w:rPr>
              <w:t>年平均质量浓度</w:t>
            </w:r>
          </w:p>
        </w:tc>
        <w:tc>
          <w:tcPr>
            <w:tcW w:w="872" w:type="pct"/>
            <w:vAlign w:val="center"/>
          </w:tcPr>
          <w:p>
            <w:pPr>
              <w:jc w:val="center"/>
              <w:rPr>
                <w:szCs w:val="21"/>
              </w:rPr>
            </w:pPr>
            <w:r>
              <w:rPr>
                <w:szCs w:val="21"/>
              </w:rPr>
              <w:t>39</w:t>
            </w:r>
          </w:p>
        </w:tc>
        <w:tc>
          <w:tcPr>
            <w:tcW w:w="793" w:type="pct"/>
            <w:vAlign w:val="center"/>
          </w:tcPr>
          <w:p>
            <w:pPr>
              <w:jc w:val="center"/>
              <w:rPr>
                <w:szCs w:val="21"/>
              </w:rPr>
            </w:pPr>
            <w:r>
              <w:rPr>
                <w:szCs w:val="21"/>
              </w:rPr>
              <w:t>40</w:t>
            </w:r>
          </w:p>
        </w:tc>
        <w:tc>
          <w:tcPr>
            <w:tcW w:w="554" w:type="pct"/>
            <w:vAlign w:val="center"/>
          </w:tcPr>
          <w:p>
            <w:pPr>
              <w:jc w:val="center"/>
              <w:rPr>
                <w:szCs w:val="21"/>
              </w:rPr>
            </w:pPr>
            <w:r>
              <w:rPr>
                <w:rFonts w:hint="eastAsia"/>
                <w:szCs w:val="21"/>
              </w:rPr>
              <w:t>9</w:t>
            </w:r>
            <w:r>
              <w:rPr>
                <w:szCs w:val="21"/>
              </w:rPr>
              <w:t>7.5</w:t>
            </w:r>
          </w:p>
        </w:tc>
        <w:tc>
          <w:tcPr>
            <w:tcW w:w="423" w:type="pct"/>
            <w:vAlign w:val="center"/>
          </w:tcPr>
          <w:p>
            <w:pPr>
              <w:jc w:val="center"/>
              <w:rPr>
                <w:szCs w:val="21"/>
              </w:rPr>
            </w:pPr>
            <w:r>
              <w:rPr>
                <w:rFonts w:hint="eastAsia" w:hAnsi="宋体"/>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vAlign w:val="center"/>
          </w:tcPr>
          <w:p>
            <w:pPr>
              <w:jc w:val="center"/>
              <w:rPr>
                <w:szCs w:val="21"/>
              </w:rPr>
            </w:pPr>
            <w:r>
              <w:rPr>
                <w:rFonts w:hint="eastAsia"/>
                <w:szCs w:val="21"/>
              </w:rPr>
              <w:t>C</w:t>
            </w:r>
            <w:r>
              <w:rPr>
                <w:szCs w:val="21"/>
              </w:rPr>
              <w:t>O</w:t>
            </w:r>
          </w:p>
        </w:tc>
        <w:tc>
          <w:tcPr>
            <w:tcW w:w="1872" w:type="pct"/>
            <w:vAlign w:val="center"/>
          </w:tcPr>
          <w:p>
            <w:pPr>
              <w:jc w:val="center"/>
              <w:rPr>
                <w:rFonts w:hAnsi="宋体"/>
                <w:szCs w:val="21"/>
              </w:rPr>
            </w:pPr>
            <w:r>
              <w:rPr>
                <w:rFonts w:hint="eastAsia" w:hAnsi="宋体"/>
                <w:szCs w:val="21"/>
              </w:rPr>
              <w:t>2</w:t>
            </w:r>
            <w:r>
              <w:rPr>
                <w:rFonts w:hAnsi="宋体"/>
                <w:szCs w:val="21"/>
              </w:rPr>
              <w:t>4</w:t>
            </w:r>
            <w:r>
              <w:rPr>
                <w:rFonts w:hint="eastAsia" w:hAnsi="宋体"/>
                <w:szCs w:val="21"/>
              </w:rPr>
              <w:t>小时平均第9</w:t>
            </w:r>
            <w:r>
              <w:rPr>
                <w:rFonts w:hAnsi="宋体"/>
                <w:szCs w:val="21"/>
              </w:rPr>
              <w:t>5</w:t>
            </w:r>
            <w:r>
              <w:rPr>
                <w:rFonts w:hint="eastAsia" w:hAnsi="宋体"/>
                <w:szCs w:val="21"/>
              </w:rPr>
              <w:t>位百分位数</w:t>
            </w:r>
          </w:p>
        </w:tc>
        <w:tc>
          <w:tcPr>
            <w:tcW w:w="872" w:type="pct"/>
            <w:vAlign w:val="center"/>
          </w:tcPr>
          <w:p>
            <w:pPr>
              <w:jc w:val="center"/>
              <w:rPr>
                <w:szCs w:val="21"/>
              </w:rPr>
            </w:pPr>
            <w:r>
              <w:rPr>
                <w:rFonts w:hint="eastAsia"/>
                <w:szCs w:val="21"/>
              </w:rPr>
              <w:t>3</w:t>
            </w:r>
            <w:r>
              <w:rPr>
                <w:szCs w:val="21"/>
              </w:rPr>
              <w:t>400</w:t>
            </w:r>
          </w:p>
        </w:tc>
        <w:tc>
          <w:tcPr>
            <w:tcW w:w="793" w:type="pct"/>
            <w:vAlign w:val="center"/>
          </w:tcPr>
          <w:p>
            <w:pPr>
              <w:jc w:val="center"/>
              <w:rPr>
                <w:szCs w:val="21"/>
              </w:rPr>
            </w:pPr>
            <w:r>
              <w:rPr>
                <w:rFonts w:hint="eastAsia"/>
                <w:szCs w:val="21"/>
              </w:rPr>
              <w:t>4</w:t>
            </w:r>
            <w:r>
              <w:rPr>
                <w:szCs w:val="21"/>
              </w:rPr>
              <w:t>000</w:t>
            </w:r>
          </w:p>
        </w:tc>
        <w:tc>
          <w:tcPr>
            <w:tcW w:w="554" w:type="pct"/>
            <w:vAlign w:val="center"/>
          </w:tcPr>
          <w:p>
            <w:pPr>
              <w:jc w:val="center"/>
              <w:rPr>
                <w:szCs w:val="21"/>
              </w:rPr>
            </w:pPr>
            <w:r>
              <w:rPr>
                <w:rFonts w:hint="eastAsia"/>
                <w:szCs w:val="21"/>
              </w:rPr>
              <w:t>8</w:t>
            </w:r>
            <w:r>
              <w:rPr>
                <w:szCs w:val="21"/>
              </w:rPr>
              <w:t>5</w:t>
            </w:r>
          </w:p>
        </w:tc>
        <w:tc>
          <w:tcPr>
            <w:tcW w:w="423" w:type="pct"/>
            <w:vAlign w:val="center"/>
          </w:tcPr>
          <w:p>
            <w:pPr>
              <w:jc w:val="center"/>
              <w:rPr>
                <w:szCs w:val="21"/>
              </w:rPr>
            </w:pPr>
            <w:r>
              <w:rPr>
                <w:rFonts w:hint="eastAsia" w:hAnsi="宋体"/>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vAlign w:val="center"/>
          </w:tcPr>
          <w:p>
            <w:pPr>
              <w:jc w:val="center"/>
              <w:rPr>
                <w:szCs w:val="21"/>
              </w:rPr>
            </w:pPr>
            <w:r>
              <w:rPr>
                <w:rFonts w:hint="eastAsia"/>
                <w:szCs w:val="21"/>
              </w:rPr>
              <w:t>O</w:t>
            </w:r>
            <w:r>
              <w:rPr>
                <w:szCs w:val="21"/>
                <w:vertAlign w:val="subscript"/>
              </w:rPr>
              <w:t>3</w:t>
            </w:r>
          </w:p>
        </w:tc>
        <w:tc>
          <w:tcPr>
            <w:tcW w:w="1872" w:type="pct"/>
            <w:vAlign w:val="center"/>
          </w:tcPr>
          <w:p>
            <w:pPr>
              <w:jc w:val="center"/>
              <w:rPr>
                <w:rFonts w:hAnsi="宋体"/>
                <w:szCs w:val="21"/>
              </w:rPr>
            </w:pPr>
            <w:r>
              <w:rPr>
                <w:rFonts w:hint="eastAsia" w:hAnsi="宋体"/>
                <w:szCs w:val="21"/>
              </w:rPr>
              <w:t>日最大8小时滑动平均值的第9</w:t>
            </w:r>
            <w:r>
              <w:rPr>
                <w:rFonts w:hAnsi="宋体"/>
                <w:szCs w:val="21"/>
              </w:rPr>
              <w:t>0</w:t>
            </w:r>
            <w:r>
              <w:rPr>
                <w:rFonts w:hint="eastAsia" w:hAnsi="宋体"/>
                <w:szCs w:val="21"/>
              </w:rPr>
              <w:t>百分位数</w:t>
            </w:r>
          </w:p>
        </w:tc>
        <w:tc>
          <w:tcPr>
            <w:tcW w:w="872" w:type="pct"/>
            <w:vAlign w:val="center"/>
          </w:tcPr>
          <w:p>
            <w:pPr>
              <w:jc w:val="center"/>
              <w:rPr>
                <w:szCs w:val="21"/>
              </w:rPr>
            </w:pPr>
            <w:r>
              <w:rPr>
                <w:rFonts w:hint="eastAsia"/>
                <w:szCs w:val="21"/>
              </w:rPr>
              <w:t>1</w:t>
            </w:r>
            <w:r>
              <w:rPr>
                <w:szCs w:val="21"/>
              </w:rPr>
              <w:t>74</w:t>
            </w:r>
          </w:p>
        </w:tc>
        <w:tc>
          <w:tcPr>
            <w:tcW w:w="793" w:type="pct"/>
            <w:vAlign w:val="center"/>
          </w:tcPr>
          <w:p>
            <w:pPr>
              <w:jc w:val="center"/>
              <w:rPr>
                <w:szCs w:val="21"/>
              </w:rPr>
            </w:pPr>
            <w:r>
              <w:rPr>
                <w:rFonts w:hint="eastAsia"/>
                <w:szCs w:val="21"/>
              </w:rPr>
              <w:t>1</w:t>
            </w:r>
            <w:r>
              <w:rPr>
                <w:szCs w:val="21"/>
              </w:rPr>
              <w:t>60</w:t>
            </w:r>
          </w:p>
        </w:tc>
        <w:tc>
          <w:tcPr>
            <w:tcW w:w="554" w:type="pct"/>
            <w:vAlign w:val="center"/>
          </w:tcPr>
          <w:p>
            <w:pPr>
              <w:jc w:val="center"/>
              <w:rPr>
                <w:szCs w:val="21"/>
              </w:rPr>
            </w:pPr>
            <w:r>
              <w:rPr>
                <w:rFonts w:hint="eastAsia"/>
                <w:szCs w:val="21"/>
              </w:rPr>
              <w:t>1</w:t>
            </w:r>
            <w:r>
              <w:rPr>
                <w:szCs w:val="21"/>
              </w:rPr>
              <w:t>08.8</w:t>
            </w:r>
          </w:p>
        </w:tc>
        <w:tc>
          <w:tcPr>
            <w:tcW w:w="423" w:type="pct"/>
            <w:vAlign w:val="center"/>
          </w:tcPr>
          <w:p>
            <w:pPr>
              <w:jc w:val="center"/>
              <w:rPr>
                <w:szCs w:val="21"/>
              </w:rPr>
            </w:pPr>
            <w:r>
              <w:rPr>
                <w:rFonts w:hint="eastAsia" w:hAnsi="宋体"/>
                <w:szCs w:val="21"/>
              </w:rPr>
              <w:t>超标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vAlign w:val="center"/>
          </w:tcPr>
          <w:p>
            <w:pPr>
              <w:jc w:val="center"/>
              <w:rPr>
                <w:szCs w:val="21"/>
              </w:rPr>
            </w:pPr>
            <w:r>
              <w:rPr>
                <w:szCs w:val="21"/>
              </w:rPr>
              <w:t>PM</w:t>
            </w:r>
            <w:r>
              <w:rPr>
                <w:szCs w:val="21"/>
                <w:vertAlign w:val="subscript"/>
              </w:rPr>
              <w:t>10</w:t>
            </w:r>
          </w:p>
        </w:tc>
        <w:tc>
          <w:tcPr>
            <w:tcW w:w="1872" w:type="pct"/>
            <w:vAlign w:val="center"/>
          </w:tcPr>
          <w:p>
            <w:pPr>
              <w:jc w:val="center"/>
              <w:rPr>
                <w:szCs w:val="21"/>
              </w:rPr>
            </w:pPr>
            <w:r>
              <w:rPr>
                <w:rFonts w:hint="eastAsia" w:hAnsi="宋体"/>
                <w:szCs w:val="21"/>
              </w:rPr>
              <w:t>年平均质量浓度</w:t>
            </w:r>
          </w:p>
        </w:tc>
        <w:tc>
          <w:tcPr>
            <w:tcW w:w="872" w:type="pct"/>
            <w:vAlign w:val="center"/>
          </w:tcPr>
          <w:p>
            <w:pPr>
              <w:jc w:val="center"/>
              <w:rPr>
                <w:szCs w:val="21"/>
              </w:rPr>
            </w:pPr>
            <w:r>
              <w:rPr>
                <w:szCs w:val="21"/>
              </w:rPr>
              <w:t>159</w:t>
            </w:r>
          </w:p>
        </w:tc>
        <w:tc>
          <w:tcPr>
            <w:tcW w:w="793" w:type="pct"/>
            <w:vAlign w:val="center"/>
          </w:tcPr>
          <w:p>
            <w:pPr>
              <w:jc w:val="center"/>
              <w:rPr>
                <w:szCs w:val="21"/>
              </w:rPr>
            </w:pPr>
            <w:r>
              <w:rPr>
                <w:szCs w:val="21"/>
              </w:rPr>
              <w:t>70</w:t>
            </w:r>
          </w:p>
        </w:tc>
        <w:tc>
          <w:tcPr>
            <w:tcW w:w="554" w:type="pct"/>
            <w:vAlign w:val="center"/>
          </w:tcPr>
          <w:p>
            <w:pPr>
              <w:jc w:val="center"/>
              <w:rPr>
                <w:szCs w:val="21"/>
              </w:rPr>
            </w:pPr>
            <w:r>
              <w:rPr>
                <w:rFonts w:hint="eastAsia"/>
                <w:szCs w:val="21"/>
              </w:rPr>
              <w:t>2</w:t>
            </w:r>
            <w:r>
              <w:rPr>
                <w:szCs w:val="21"/>
              </w:rPr>
              <w:t>27.1</w:t>
            </w:r>
          </w:p>
        </w:tc>
        <w:tc>
          <w:tcPr>
            <w:tcW w:w="423" w:type="pct"/>
            <w:vAlign w:val="center"/>
          </w:tcPr>
          <w:p>
            <w:pPr>
              <w:jc w:val="center"/>
              <w:rPr>
                <w:szCs w:val="21"/>
              </w:rPr>
            </w:pPr>
            <w:r>
              <w:rPr>
                <w:rFonts w:hint="eastAsia" w:hAnsi="宋体"/>
                <w:szCs w:val="21"/>
              </w:rPr>
              <w:t>超标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6" w:type="pct"/>
            <w:vAlign w:val="center"/>
          </w:tcPr>
          <w:p>
            <w:pPr>
              <w:jc w:val="center"/>
              <w:rPr>
                <w:szCs w:val="21"/>
              </w:rPr>
            </w:pPr>
            <w:r>
              <w:rPr>
                <w:szCs w:val="21"/>
              </w:rPr>
              <w:t>PM</w:t>
            </w:r>
            <w:r>
              <w:rPr>
                <w:szCs w:val="21"/>
                <w:vertAlign w:val="subscript"/>
              </w:rPr>
              <w:t>2.5</w:t>
            </w:r>
          </w:p>
        </w:tc>
        <w:tc>
          <w:tcPr>
            <w:tcW w:w="1872" w:type="pct"/>
            <w:vAlign w:val="center"/>
          </w:tcPr>
          <w:p>
            <w:pPr>
              <w:jc w:val="center"/>
              <w:rPr>
                <w:szCs w:val="21"/>
              </w:rPr>
            </w:pPr>
            <w:r>
              <w:rPr>
                <w:rFonts w:hint="eastAsia" w:hAnsi="宋体"/>
                <w:szCs w:val="21"/>
              </w:rPr>
              <w:t>年平均质量浓度</w:t>
            </w:r>
          </w:p>
        </w:tc>
        <w:tc>
          <w:tcPr>
            <w:tcW w:w="872" w:type="pct"/>
            <w:vAlign w:val="center"/>
          </w:tcPr>
          <w:p>
            <w:pPr>
              <w:jc w:val="center"/>
              <w:rPr>
                <w:szCs w:val="21"/>
              </w:rPr>
            </w:pPr>
            <w:r>
              <w:rPr>
                <w:szCs w:val="21"/>
              </w:rPr>
              <w:t>76</w:t>
            </w:r>
          </w:p>
        </w:tc>
        <w:tc>
          <w:tcPr>
            <w:tcW w:w="793" w:type="pct"/>
            <w:vAlign w:val="center"/>
          </w:tcPr>
          <w:p>
            <w:pPr>
              <w:jc w:val="center"/>
              <w:rPr>
                <w:szCs w:val="21"/>
              </w:rPr>
            </w:pPr>
            <w:r>
              <w:rPr>
                <w:szCs w:val="21"/>
              </w:rPr>
              <w:t>35</w:t>
            </w:r>
          </w:p>
        </w:tc>
        <w:tc>
          <w:tcPr>
            <w:tcW w:w="554" w:type="pct"/>
            <w:vAlign w:val="center"/>
          </w:tcPr>
          <w:p>
            <w:pPr>
              <w:jc w:val="center"/>
              <w:rPr>
                <w:szCs w:val="21"/>
              </w:rPr>
            </w:pPr>
            <w:r>
              <w:rPr>
                <w:rFonts w:hint="eastAsia"/>
                <w:szCs w:val="21"/>
              </w:rPr>
              <w:t>2</w:t>
            </w:r>
            <w:r>
              <w:rPr>
                <w:szCs w:val="21"/>
              </w:rPr>
              <w:t>17.1</w:t>
            </w:r>
          </w:p>
        </w:tc>
        <w:tc>
          <w:tcPr>
            <w:tcW w:w="423" w:type="pct"/>
            <w:vAlign w:val="center"/>
          </w:tcPr>
          <w:p>
            <w:pPr>
              <w:jc w:val="center"/>
              <w:rPr>
                <w:szCs w:val="21"/>
              </w:rPr>
            </w:pPr>
            <w:r>
              <w:rPr>
                <w:rFonts w:hint="eastAsia" w:hAnsi="宋体"/>
                <w:szCs w:val="21"/>
              </w:rPr>
              <w:t>超标</w:t>
            </w:r>
          </w:p>
        </w:tc>
      </w:tr>
    </w:tbl>
    <w:p>
      <w:pPr>
        <w:spacing w:line="480" w:lineRule="exact"/>
        <w:ind w:firstLine="480" w:firstLineChars="200"/>
        <w:rPr>
          <w:bCs/>
          <w:sz w:val="24"/>
          <w:szCs w:val="24"/>
        </w:rPr>
      </w:pPr>
      <w:bookmarkStart w:id="73" w:name="_Hlk8202945"/>
      <w:r>
        <w:rPr>
          <w:rFonts w:hint="eastAsia"/>
          <w:bCs/>
          <w:sz w:val="24"/>
          <w:szCs w:val="24"/>
        </w:rPr>
        <w:t>由表</w:t>
      </w:r>
      <w:r>
        <w:rPr>
          <w:bCs/>
          <w:sz w:val="24"/>
          <w:szCs w:val="24"/>
        </w:rPr>
        <w:t>4.3-1</w:t>
      </w:r>
      <w:r>
        <w:rPr>
          <w:rFonts w:hint="eastAsia"/>
          <w:bCs/>
          <w:sz w:val="24"/>
          <w:szCs w:val="24"/>
        </w:rPr>
        <w:t>可知，汾阳市201</w:t>
      </w:r>
      <w:r>
        <w:rPr>
          <w:bCs/>
          <w:sz w:val="24"/>
          <w:szCs w:val="24"/>
        </w:rPr>
        <w:t>8</w:t>
      </w:r>
      <w:r>
        <w:rPr>
          <w:rFonts w:hint="eastAsia"/>
          <w:bCs/>
          <w:sz w:val="24"/>
          <w:szCs w:val="24"/>
        </w:rPr>
        <w:t>年除CO、NO</w:t>
      </w:r>
      <w:r>
        <w:rPr>
          <w:rFonts w:hint="eastAsia"/>
          <w:bCs/>
          <w:sz w:val="24"/>
          <w:szCs w:val="24"/>
          <w:vertAlign w:val="subscript"/>
        </w:rPr>
        <w:t>2</w:t>
      </w:r>
      <w:r>
        <w:rPr>
          <w:rFonts w:hint="eastAsia"/>
          <w:bCs/>
          <w:sz w:val="24"/>
          <w:szCs w:val="24"/>
        </w:rPr>
        <w:t>外，SO</w:t>
      </w:r>
      <w:r>
        <w:rPr>
          <w:rFonts w:hint="eastAsia"/>
          <w:bCs/>
          <w:sz w:val="24"/>
          <w:szCs w:val="24"/>
          <w:vertAlign w:val="subscript"/>
        </w:rPr>
        <w:t>2</w:t>
      </w:r>
      <w:r>
        <w:rPr>
          <w:rFonts w:hint="eastAsia"/>
          <w:bCs/>
          <w:sz w:val="24"/>
          <w:szCs w:val="24"/>
        </w:rPr>
        <w:t>、</w:t>
      </w:r>
      <w:r>
        <w:rPr>
          <w:bCs/>
          <w:sz w:val="24"/>
          <w:szCs w:val="24"/>
        </w:rPr>
        <w:t>O</w:t>
      </w:r>
      <w:r>
        <w:rPr>
          <w:bCs/>
          <w:sz w:val="24"/>
          <w:szCs w:val="24"/>
          <w:vertAlign w:val="subscript"/>
        </w:rPr>
        <w:t>3</w:t>
      </w:r>
      <w:r>
        <w:rPr>
          <w:rFonts w:hint="eastAsia"/>
          <w:bCs/>
          <w:sz w:val="24"/>
          <w:szCs w:val="24"/>
        </w:rPr>
        <w:t>、PM</w:t>
      </w:r>
      <w:r>
        <w:rPr>
          <w:rFonts w:hint="eastAsia"/>
          <w:bCs/>
          <w:sz w:val="24"/>
          <w:szCs w:val="24"/>
          <w:vertAlign w:val="subscript"/>
        </w:rPr>
        <w:t>10</w:t>
      </w:r>
      <w:r>
        <w:rPr>
          <w:rFonts w:hint="eastAsia"/>
          <w:bCs/>
          <w:sz w:val="24"/>
          <w:szCs w:val="24"/>
        </w:rPr>
        <w:t>和PM</w:t>
      </w:r>
      <w:r>
        <w:rPr>
          <w:rFonts w:hint="eastAsia"/>
          <w:bCs/>
          <w:sz w:val="24"/>
          <w:szCs w:val="24"/>
          <w:vertAlign w:val="subscript"/>
        </w:rPr>
        <w:t>2.5</w:t>
      </w:r>
      <w:r>
        <w:rPr>
          <w:rFonts w:hint="eastAsia"/>
          <w:bCs/>
          <w:sz w:val="24"/>
          <w:szCs w:val="24"/>
        </w:rPr>
        <w:t>年平均质量浓度均超标，因此，判定汾阳市为非达标区。</w:t>
      </w:r>
      <w:bookmarkEnd w:id="73"/>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4.3.</w:t>
      </w:r>
      <w:r>
        <w:rPr>
          <w:rFonts w:ascii="Times New Roman" w:hAnsi="Times New Roman" w:eastAsia="宋体"/>
          <w:b/>
        </w:rPr>
        <w:t>2</w:t>
      </w:r>
      <w:r>
        <w:rPr>
          <w:rFonts w:hint="eastAsia" w:ascii="宋体" w:hAnsi="宋体" w:eastAsia="宋体"/>
          <w:b/>
          <w:bCs/>
        </w:rPr>
        <w:t>补充监测数据</w:t>
      </w:r>
    </w:p>
    <w:p>
      <w:pPr>
        <w:spacing w:line="480" w:lineRule="exact"/>
        <w:ind w:firstLine="480" w:firstLineChars="200"/>
        <w:rPr>
          <w:bCs/>
          <w:sz w:val="24"/>
          <w:szCs w:val="24"/>
        </w:rPr>
      </w:pPr>
      <w:r>
        <w:rPr>
          <w:rFonts w:hint="eastAsia"/>
          <w:bCs/>
          <w:sz w:val="24"/>
          <w:szCs w:val="24"/>
        </w:rPr>
        <w:t>对厂址下风向</w:t>
      </w:r>
      <w:r>
        <w:rPr>
          <w:rFonts w:hint="eastAsia"/>
          <w:bCs/>
          <w:kern w:val="0"/>
          <w:szCs w:val="21"/>
        </w:rPr>
        <w:t>李家沟村</w:t>
      </w:r>
      <w:r>
        <w:rPr>
          <w:rFonts w:hint="eastAsia"/>
          <w:bCs/>
          <w:sz w:val="24"/>
          <w:szCs w:val="24"/>
        </w:rPr>
        <w:t>进行特征污染物的补充监测。</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.2.</w:t>
      </w:r>
      <w:r>
        <w:rPr>
          <w:rFonts w:hint="eastAsia"/>
          <w:b/>
        </w:rPr>
        <w:t>1</w:t>
      </w:r>
      <w:r>
        <w:rPr>
          <w:rFonts w:hint="eastAsia" w:ascii="宋体" w:hAnsi="宋体"/>
          <w:b/>
        </w:rPr>
        <w:t>监测点位、监测内容、分析方法</w:t>
      </w:r>
    </w:p>
    <w:p>
      <w:pPr>
        <w:snapToGrid w:val="0"/>
        <w:spacing w:line="480" w:lineRule="exact"/>
        <w:ind w:firstLine="480" w:firstLineChars="200"/>
        <w:rPr>
          <w:sz w:val="24"/>
          <w:szCs w:val="24"/>
        </w:rPr>
      </w:pPr>
      <w:r>
        <w:rPr>
          <w:rFonts w:hint="eastAsia"/>
          <w:sz w:val="24"/>
          <w:szCs w:val="24"/>
        </w:rPr>
        <w:t>监测点位设置见图</w:t>
      </w:r>
      <w:r>
        <w:rPr>
          <w:sz w:val="24"/>
          <w:szCs w:val="24"/>
        </w:rPr>
        <w:t>4.3-1</w:t>
      </w:r>
      <w:r>
        <w:rPr>
          <w:rFonts w:hint="eastAsia"/>
          <w:sz w:val="24"/>
          <w:szCs w:val="24"/>
        </w:rPr>
        <w:t>，监测内容见表4.3-</w:t>
      </w:r>
      <w:r>
        <w:rPr>
          <w:sz w:val="24"/>
          <w:szCs w:val="24"/>
        </w:rPr>
        <w:t>2</w:t>
      </w:r>
      <w:r>
        <w:rPr>
          <w:rFonts w:hint="eastAsia"/>
          <w:sz w:val="24"/>
          <w:szCs w:val="24"/>
        </w:rPr>
        <w:t>，采用分析方法见表4.3-</w:t>
      </w:r>
      <w:r>
        <w:rPr>
          <w:sz w:val="24"/>
          <w:szCs w:val="24"/>
        </w:rPr>
        <w:t>3</w:t>
      </w:r>
      <w:r>
        <w:rPr>
          <w:rFonts w:hint="eastAsia"/>
          <w:sz w:val="24"/>
          <w:szCs w:val="24"/>
        </w:rPr>
        <w:t>。</w:t>
      </w:r>
    </w:p>
    <w:p>
      <w:pPr>
        <w:widowControl/>
        <w:snapToGrid w:val="0"/>
        <w:spacing w:line="480" w:lineRule="exact"/>
        <w:jc w:val="center"/>
        <w:rPr>
          <w:rFonts w:ascii="黑体" w:hAnsi="黑体" w:eastAsia="黑体"/>
          <w:sz w:val="24"/>
          <w:szCs w:val="24"/>
        </w:rPr>
      </w:pPr>
      <w:r>
        <w:rPr>
          <w:rFonts w:hint="eastAsia" w:ascii="黑体" w:hAnsi="黑体" w:eastAsia="黑体"/>
          <w:sz w:val="24"/>
          <w:szCs w:val="24"/>
        </w:rPr>
        <w:t>表4.3-2  环境空气质量现状监测内容</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1"/>
        <w:gridCol w:w="844"/>
        <w:gridCol w:w="1046"/>
        <w:gridCol w:w="1080"/>
        <w:gridCol w:w="1538"/>
        <w:gridCol w:w="1986"/>
        <w:gridCol w:w="1181"/>
        <w:gridCol w:w="9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8" w:type="pct"/>
            <w:vMerge w:val="restart"/>
            <w:vAlign w:val="center"/>
          </w:tcPr>
          <w:p>
            <w:pPr>
              <w:jc w:val="center"/>
              <w:rPr>
                <w:szCs w:val="21"/>
              </w:rPr>
            </w:pPr>
            <w:r>
              <w:rPr>
                <w:szCs w:val="21"/>
              </w:rPr>
              <w:t>序号</w:t>
            </w:r>
          </w:p>
        </w:tc>
        <w:tc>
          <w:tcPr>
            <w:tcW w:w="466" w:type="pct"/>
            <w:vMerge w:val="restart"/>
            <w:vAlign w:val="center"/>
          </w:tcPr>
          <w:p>
            <w:pPr>
              <w:jc w:val="center"/>
              <w:rPr>
                <w:szCs w:val="21"/>
              </w:rPr>
            </w:pPr>
            <w:r>
              <w:rPr>
                <w:szCs w:val="21"/>
              </w:rPr>
              <w:t>监测点名称</w:t>
            </w:r>
          </w:p>
        </w:tc>
        <w:tc>
          <w:tcPr>
            <w:tcW w:w="1173" w:type="pct"/>
            <w:gridSpan w:val="2"/>
            <w:vAlign w:val="center"/>
          </w:tcPr>
          <w:p>
            <w:pPr>
              <w:jc w:val="center"/>
              <w:rPr>
                <w:szCs w:val="21"/>
              </w:rPr>
            </w:pPr>
            <w:r>
              <w:rPr>
                <w:szCs w:val="21"/>
              </w:rPr>
              <w:t>监测点坐标/m</w:t>
            </w:r>
          </w:p>
        </w:tc>
        <w:tc>
          <w:tcPr>
            <w:tcW w:w="849" w:type="pct"/>
            <w:vMerge w:val="restart"/>
            <w:vAlign w:val="center"/>
          </w:tcPr>
          <w:p>
            <w:pPr>
              <w:jc w:val="center"/>
              <w:rPr>
                <w:szCs w:val="21"/>
              </w:rPr>
            </w:pPr>
            <w:r>
              <w:rPr>
                <w:szCs w:val="21"/>
              </w:rPr>
              <w:t>监测因子</w:t>
            </w:r>
          </w:p>
        </w:tc>
        <w:tc>
          <w:tcPr>
            <w:tcW w:w="1096" w:type="pct"/>
            <w:vMerge w:val="restart"/>
            <w:vAlign w:val="center"/>
          </w:tcPr>
          <w:p>
            <w:pPr>
              <w:jc w:val="center"/>
              <w:rPr>
                <w:szCs w:val="21"/>
              </w:rPr>
            </w:pPr>
            <w:r>
              <w:rPr>
                <w:szCs w:val="21"/>
              </w:rPr>
              <w:t>监测</w:t>
            </w:r>
          </w:p>
          <w:p>
            <w:pPr>
              <w:jc w:val="center"/>
              <w:rPr>
                <w:szCs w:val="21"/>
              </w:rPr>
            </w:pPr>
            <w:r>
              <w:rPr>
                <w:szCs w:val="21"/>
              </w:rPr>
              <w:t>时段</w:t>
            </w:r>
          </w:p>
        </w:tc>
        <w:tc>
          <w:tcPr>
            <w:tcW w:w="652" w:type="pct"/>
            <w:vMerge w:val="restart"/>
            <w:vAlign w:val="center"/>
          </w:tcPr>
          <w:p>
            <w:pPr>
              <w:jc w:val="center"/>
              <w:rPr>
                <w:szCs w:val="21"/>
              </w:rPr>
            </w:pPr>
            <w:r>
              <w:rPr>
                <w:szCs w:val="21"/>
              </w:rPr>
              <w:t>相对厂址方位</w:t>
            </w:r>
          </w:p>
        </w:tc>
        <w:tc>
          <w:tcPr>
            <w:tcW w:w="526" w:type="pct"/>
            <w:vMerge w:val="restart"/>
            <w:vAlign w:val="center"/>
          </w:tcPr>
          <w:p>
            <w:pPr>
              <w:jc w:val="center"/>
              <w:rPr>
                <w:szCs w:val="21"/>
              </w:rPr>
            </w:pPr>
            <w:r>
              <w:rPr>
                <w:szCs w:val="21"/>
              </w:rPr>
              <w:t>相对厂界距离（m）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8" w:type="pct"/>
            <w:vMerge w:val="continue"/>
            <w:vAlign w:val="center"/>
          </w:tcPr>
          <w:p>
            <w:pPr>
              <w:jc w:val="center"/>
              <w:rPr>
                <w:szCs w:val="21"/>
              </w:rPr>
            </w:pPr>
          </w:p>
        </w:tc>
        <w:tc>
          <w:tcPr>
            <w:tcW w:w="466" w:type="pct"/>
            <w:vMerge w:val="continue"/>
            <w:vAlign w:val="center"/>
          </w:tcPr>
          <w:p>
            <w:pPr>
              <w:jc w:val="center"/>
              <w:rPr>
                <w:szCs w:val="21"/>
              </w:rPr>
            </w:pPr>
          </w:p>
        </w:tc>
        <w:tc>
          <w:tcPr>
            <w:tcW w:w="577" w:type="pct"/>
            <w:vAlign w:val="center"/>
          </w:tcPr>
          <w:p>
            <w:pPr>
              <w:jc w:val="center"/>
              <w:rPr>
                <w:szCs w:val="21"/>
              </w:rPr>
            </w:pPr>
            <w:r>
              <w:rPr>
                <w:szCs w:val="21"/>
              </w:rPr>
              <w:t>X</w:t>
            </w:r>
          </w:p>
        </w:tc>
        <w:tc>
          <w:tcPr>
            <w:tcW w:w="595" w:type="pct"/>
            <w:vAlign w:val="center"/>
          </w:tcPr>
          <w:p>
            <w:pPr>
              <w:jc w:val="center"/>
              <w:rPr>
                <w:szCs w:val="21"/>
              </w:rPr>
            </w:pPr>
            <w:r>
              <w:rPr>
                <w:szCs w:val="21"/>
              </w:rPr>
              <w:t>Y</w:t>
            </w:r>
          </w:p>
        </w:tc>
        <w:tc>
          <w:tcPr>
            <w:tcW w:w="849" w:type="pct"/>
            <w:vMerge w:val="continue"/>
            <w:vAlign w:val="center"/>
          </w:tcPr>
          <w:p>
            <w:pPr>
              <w:jc w:val="center"/>
              <w:rPr>
                <w:szCs w:val="21"/>
              </w:rPr>
            </w:pPr>
          </w:p>
        </w:tc>
        <w:tc>
          <w:tcPr>
            <w:tcW w:w="1096" w:type="pct"/>
            <w:vMerge w:val="continue"/>
            <w:vAlign w:val="center"/>
          </w:tcPr>
          <w:p>
            <w:pPr>
              <w:jc w:val="center"/>
              <w:rPr>
                <w:szCs w:val="21"/>
              </w:rPr>
            </w:pPr>
          </w:p>
        </w:tc>
        <w:tc>
          <w:tcPr>
            <w:tcW w:w="652" w:type="pct"/>
            <w:vMerge w:val="continue"/>
            <w:vAlign w:val="center"/>
          </w:tcPr>
          <w:p>
            <w:pPr>
              <w:jc w:val="center"/>
              <w:rPr>
                <w:szCs w:val="21"/>
              </w:rPr>
            </w:pPr>
          </w:p>
        </w:tc>
        <w:tc>
          <w:tcPr>
            <w:tcW w:w="526" w:type="pct"/>
            <w:vMerge w:val="continue"/>
            <w:vAlign w:val="center"/>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8" w:type="pct"/>
            <w:vAlign w:val="center"/>
          </w:tcPr>
          <w:p>
            <w:pPr>
              <w:jc w:val="center"/>
              <w:rPr>
                <w:szCs w:val="21"/>
              </w:rPr>
            </w:pPr>
            <w:r>
              <w:rPr>
                <w:szCs w:val="21"/>
              </w:rPr>
              <w:t>1</w:t>
            </w:r>
          </w:p>
        </w:tc>
        <w:tc>
          <w:tcPr>
            <w:tcW w:w="466" w:type="pct"/>
            <w:vAlign w:val="center"/>
          </w:tcPr>
          <w:p>
            <w:pPr>
              <w:tabs>
                <w:tab w:val="left" w:pos="8292"/>
              </w:tabs>
              <w:autoSpaceDE w:val="0"/>
              <w:autoSpaceDN w:val="0"/>
              <w:jc w:val="center"/>
              <w:rPr>
                <w:szCs w:val="21"/>
              </w:rPr>
            </w:pPr>
            <w:r>
              <w:rPr>
                <w:rFonts w:hint="eastAsia"/>
                <w:bCs/>
                <w:kern w:val="0"/>
                <w:szCs w:val="21"/>
              </w:rPr>
              <w:t>李家沟村</w:t>
            </w:r>
          </w:p>
        </w:tc>
        <w:tc>
          <w:tcPr>
            <w:tcW w:w="577" w:type="pct"/>
            <w:vAlign w:val="center"/>
          </w:tcPr>
          <w:p>
            <w:pPr>
              <w:jc w:val="center"/>
              <w:rPr>
                <w:szCs w:val="21"/>
              </w:rPr>
            </w:pPr>
            <w:r>
              <w:rPr>
                <w:rFonts w:hint="eastAsia"/>
                <w:szCs w:val="21"/>
              </w:rPr>
              <w:t>2</w:t>
            </w:r>
            <w:r>
              <w:rPr>
                <w:szCs w:val="21"/>
              </w:rPr>
              <w:t>100</w:t>
            </w:r>
          </w:p>
        </w:tc>
        <w:tc>
          <w:tcPr>
            <w:tcW w:w="595" w:type="pct"/>
            <w:vAlign w:val="center"/>
          </w:tcPr>
          <w:p>
            <w:pPr>
              <w:jc w:val="center"/>
              <w:rPr>
                <w:szCs w:val="21"/>
              </w:rPr>
            </w:pPr>
            <w:r>
              <w:rPr>
                <w:rFonts w:hint="eastAsia"/>
                <w:szCs w:val="21"/>
              </w:rPr>
              <w:t>-</w:t>
            </w:r>
            <w:r>
              <w:rPr>
                <w:szCs w:val="21"/>
              </w:rPr>
              <w:t>315</w:t>
            </w:r>
          </w:p>
        </w:tc>
        <w:tc>
          <w:tcPr>
            <w:tcW w:w="849" w:type="pct"/>
            <w:vAlign w:val="center"/>
          </w:tcPr>
          <w:p>
            <w:pPr>
              <w:jc w:val="center"/>
              <w:rPr>
                <w:bCs/>
                <w:szCs w:val="21"/>
              </w:rPr>
            </w:pPr>
            <w:r>
              <w:rPr>
                <w:rFonts w:hint="eastAsia"/>
                <w:bCs/>
                <w:szCs w:val="21"/>
              </w:rPr>
              <w:t>NH</w:t>
            </w:r>
            <w:r>
              <w:rPr>
                <w:rFonts w:hint="eastAsia"/>
                <w:bCs/>
                <w:szCs w:val="21"/>
                <w:vertAlign w:val="subscript"/>
              </w:rPr>
              <w:t>3</w:t>
            </w:r>
            <w:r>
              <w:rPr>
                <w:rFonts w:hint="eastAsia"/>
                <w:bCs/>
                <w:szCs w:val="21"/>
              </w:rPr>
              <w:t>、</w:t>
            </w:r>
            <w:r>
              <w:rPr>
                <w:bCs/>
                <w:szCs w:val="21"/>
              </w:rPr>
              <w:t>H</w:t>
            </w:r>
            <w:r>
              <w:rPr>
                <w:bCs/>
                <w:szCs w:val="21"/>
                <w:vertAlign w:val="subscript"/>
              </w:rPr>
              <w:t>2</w:t>
            </w:r>
            <w:r>
              <w:rPr>
                <w:bCs/>
                <w:szCs w:val="21"/>
              </w:rPr>
              <w:t xml:space="preserve">S </w:t>
            </w:r>
          </w:p>
        </w:tc>
        <w:tc>
          <w:tcPr>
            <w:tcW w:w="1096" w:type="pct"/>
            <w:vAlign w:val="center"/>
          </w:tcPr>
          <w:p>
            <w:pPr>
              <w:jc w:val="center"/>
              <w:rPr>
                <w:bCs/>
                <w:szCs w:val="21"/>
              </w:rPr>
            </w:pPr>
            <w:r>
              <w:rPr>
                <w:bCs/>
                <w:szCs w:val="21"/>
              </w:rPr>
              <w:t>201</w:t>
            </w:r>
            <w:r>
              <w:rPr>
                <w:rFonts w:hint="eastAsia"/>
                <w:bCs/>
                <w:szCs w:val="21"/>
              </w:rPr>
              <w:t>9</w:t>
            </w:r>
            <w:r>
              <w:rPr>
                <w:bCs/>
                <w:szCs w:val="21"/>
              </w:rPr>
              <w:t>年</w:t>
            </w:r>
            <w:r>
              <w:rPr>
                <w:rFonts w:hint="eastAsia"/>
                <w:bCs/>
                <w:szCs w:val="21"/>
              </w:rPr>
              <w:t>6</w:t>
            </w:r>
            <w:r>
              <w:rPr>
                <w:bCs/>
                <w:szCs w:val="21"/>
              </w:rPr>
              <w:t>月2</w:t>
            </w:r>
            <w:r>
              <w:rPr>
                <w:rFonts w:hint="eastAsia"/>
                <w:bCs/>
                <w:szCs w:val="21"/>
              </w:rPr>
              <w:t>1</w:t>
            </w:r>
            <w:r>
              <w:rPr>
                <w:bCs/>
                <w:szCs w:val="21"/>
              </w:rPr>
              <w:t>日—2</w:t>
            </w:r>
            <w:r>
              <w:rPr>
                <w:rFonts w:hint="eastAsia"/>
                <w:bCs/>
                <w:szCs w:val="21"/>
              </w:rPr>
              <w:t>7</w:t>
            </w:r>
            <w:r>
              <w:rPr>
                <w:bCs/>
                <w:szCs w:val="21"/>
              </w:rPr>
              <w:t>日</w:t>
            </w:r>
            <w:r>
              <w:rPr>
                <w:rFonts w:hint="eastAsia"/>
                <w:bCs/>
                <w:szCs w:val="21"/>
              </w:rPr>
              <w:t>；</w:t>
            </w:r>
            <w:r>
              <w:rPr>
                <w:bCs/>
                <w:szCs w:val="21"/>
              </w:rPr>
              <w:t>共监测7天，每天</w:t>
            </w:r>
            <w:r>
              <w:rPr>
                <w:rFonts w:hint="eastAsia"/>
                <w:bCs/>
                <w:szCs w:val="21"/>
              </w:rPr>
              <w:t>监测四次；</w:t>
            </w:r>
            <w:r>
              <w:rPr>
                <w:bCs/>
                <w:szCs w:val="21"/>
              </w:rPr>
              <w:t>采样时同步记录风向、风速、气温、气压等气象参数</w:t>
            </w:r>
          </w:p>
        </w:tc>
        <w:tc>
          <w:tcPr>
            <w:tcW w:w="652" w:type="pct"/>
            <w:vAlign w:val="center"/>
          </w:tcPr>
          <w:p>
            <w:pPr>
              <w:jc w:val="center"/>
              <w:rPr>
                <w:szCs w:val="21"/>
              </w:rPr>
            </w:pPr>
            <w:r>
              <w:rPr>
                <w:rFonts w:hint="eastAsia"/>
                <w:bCs/>
                <w:szCs w:val="21"/>
              </w:rPr>
              <w:t>S</w:t>
            </w:r>
            <w:r>
              <w:rPr>
                <w:bCs/>
                <w:szCs w:val="21"/>
              </w:rPr>
              <w:t>E</w:t>
            </w:r>
          </w:p>
        </w:tc>
        <w:tc>
          <w:tcPr>
            <w:tcW w:w="526" w:type="pct"/>
            <w:vAlign w:val="center"/>
          </w:tcPr>
          <w:p>
            <w:pPr>
              <w:jc w:val="center"/>
              <w:rPr>
                <w:bCs/>
                <w:szCs w:val="21"/>
              </w:rPr>
            </w:pPr>
            <w:r>
              <w:rPr>
                <w:rFonts w:hint="eastAsia"/>
                <w:bCs/>
                <w:szCs w:val="21"/>
              </w:rPr>
              <w:t>1730</w:t>
            </w:r>
          </w:p>
        </w:tc>
      </w:tr>
    </w:tbl>
    <w:p>
      <w:pPr>
        <w:pStyle w:val="57"/>
        <w:spacing w:before="0" w:after="0" w:line="480" w:lineRule="exact"/>
        <w:ind w:firstLine="0" w:firstLineChars="0"/>
        <w:jc w:val="center"/>
        <w:rPr>
          <w:b/>
        </w:rPr>
      </w:pPr>
      <w:r>
        <w:rPr>
          <w:rFonts w:hint="eastAsia" w:ascii="黑体" w:hAnsi="黑体" w:eastAsia="黑体"/>
        </w:rPr>
        <w:t>表4.3-</w:t>
      </w:r>
      <w:r>
        <w:rPr>
          <w:rFonts w:ascii="黑体" w:hAnsi="黑体" w:eastAsia="黑体"/>
        </w:rPr>
        <w:t>3</w:t>
      </w:r>
      <w:r>
        <w:rPr>
          <w:rFonts w:hint="eastAsia" w:ascii="黑体" w:hAnsi="黑体" w:eastAsia="黑体"/>
        </w:rPr>
        <w:t xml:space="preserve">  环境空气因子分析方法</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85"/>
        <w:gridCol w:w="1578"/>
        <w:gridCol w:w="2153"/>
        <w:gridCol w:w="3015"/>
        <w:gridCol w:w="162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8" w:type="pct"/>
            <w:vAlign w:val="center"/>
          </w:tcPr>
          <w:p>
            <w:pPr>
              <w:pStyle w:val="57"/>
              <w:spacing w:before="0" w:after="0" w:line="240" w:lineRule="auto"/>
              <w:ind w:firstLine="0" w:firstLineChars="0"/>
              <w:jc w:val="center"/>
              <w:rPr>
                <w:sz w:val="21"/>
                <w:szCs w:val="21"/>
              </w:rPr>
            </w:pPr>
            <w:r>
              <w:rPr>
                <w:rFonts w:hint="eastAsia"/>
                <w:sz w:val="21"/>
                <w:szCs w:val="21"/>
              </w:rPr>
              <w:t>序号</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环境空气因子</w:t>
            </w:r>
          </w:p>
        </w:tc>
        <w:tc>
          <w:tcPr>
            <w:tcW w:w="1188" w:type="pct"/>
            <w:vAlign w:val="center"/>
          </w:tcPr>
          <w:p>
            <w:pPr>
              <w:pStyle w:val="57"/>
              <w:spacing w:before="0" w:after="0" w:line="240" w:lineRule="auto"/>
              <w:ind w:firstLine="0" w:firstLineChars="0"/>
              <w:jc w:val="center"/>
              <w:rPr>
                <w:sz w:val="21"/>
                <w:szCs w:val="21"/>
              </w:rPr>
            </w:pPr>
            <w:r>
              <w:rPr>
                <w:rFonts w:hint="eastAsia"/>
                <w:sz w:val="21"/>
                <w:szCs w:val="21"/>
              </w:rPr>
              <w:t>标准依据</w:t>
            </w:r>
          </w:p>
        </w:tc>
        <w:tc>
          <w:tcPr>
            <w:tcW w:w="1664" w:type="pct"/>
            <w:vAlign w:val="center"/>
          </w:tcPr>
          <w:p>
            <w:pPr>
              <w:pStyle w:val="57"/>
              <w:spacing w:before="0" w:after="0" w:line="240" w:lineRule="auto"/>
              <w:ind w:firstLine="0" w:firstLineChars="0"/>
              <w:jc w:val="center"/>
              <w:rPr>
                <w:sz w:val="21"/>
                <w:szCs w:val="21"/>
              </w:rPr>
            </w:pPr>
            <w:r>
              <w:rPr>
                <w:rFonts w:hint="eastAsia"/>
                <w:sz w:val="21"/>
                <w:szCs w:val="21"/>
              </w:rPr>
              <w:t>监测方法</w:t>
            </w:r>
          </w:p>
        </w:tc>
        <w:tc>
          <w:tcPr>
            <w:tcW w:w="899" w:type="pct"/>
            <w:vAlign w:val="center"/>
          </w:tcPr>
          <w:p>
            <w:pPr>
              <w:pStyle w:val="57"/>
              <w:spacing w:before="0" w:after="0" w:line="240" w:lineRule="auto"/>
              <w:ind w:firstLine="0" w:firstLineChars="0"/>
              <w:jc w:val="center"/>
              <w:rPr>
                <w:sz w:val="21"/>
                <w:szCs w:val="21"/>
              </w:rPr>
            </w:pPr>
            <w:r>
              <w:rPr>
                <w:rFonts w:hint="eastAsia"/>
                <w:sz w:val="21"/>
                <w:szCs w:val="21"/>
              </w:rPr>
              <w:t>检出限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8" w:type="pct"/>
            <w:vAlign w:val="center"/>
          </w:tcPr>
          <w:p>
            <w:pPr>
              <w:pStyle w:val="57"/>
              <w:spacing w:before="0" w:after="0" w:line="240" w:lineRule="auto"/>
              <w:ind w:firstLine="0" w:firstLineChars="0"/>
              <w:jc w:val="center"/>
              <w:rPr>
                <w:sz w:val="21"/>
                <w:szCs w:val="21"/>
              </w:rPr>
            </w:pPr>
            <w:r>
              <w:rPr>
                <w:rFonts w:hint="eastAsia"/>
                <w:sz w:val="21"/>
                <w:szCs w:val="21"/>
              </w:rPr>
              <w:t>1</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硫化氢</w:t>
            </w:r>
          </w:p>
        </w:tc>
        <w:tc>
          <w:tcPr>
            <w:tcW w:w="1188" w:type="pct"/>
            <w:vAlign w:val="center"/>
          </w:tcPr>
          <w:p>
            <w:pPr>
              <w:pStyle w:val="57"/>
              <w:spacing w:before="0" w:after="0" w:line="240" w:lineRule="auto"/>
              <w:ind w:firstLine="0" w:firstLineChars="0"/>
              <w:jc w:val="center"/>
              <w:rPr>
                <w:sz w:val="21"/>
                <w:szCs w:val="21"/>
              </w:rPr>
            </w:pPr>
            <w:r>
              <w:rPr>
                <w:rFonts w:hint="eastAsia"/>
                <w:sz w:val="21"/>
                <w:szCs w:val="21"/>
              </w:rPr>
              <w:t>空气和废气监测分析方法(第四版增补版</w:t>
            </w:r>
            <w:r>
              <w:rPr>
                <w:sz w:val="21"/>
                <w:szCs w:val="21"/>
              </w:rPr>
              <w:t>)</w:t>
            </w:r>
          </w:p>
        </w:tc>
        <w:tc>
          <w:tcPr>
            <w:tcW w:w="1664" w:type="pct"/>
            <w:vAlign w:val="center"/>
          </w:tcPr>
          <w:p>
            <w:pPr>
              <w:pStyle w:val="57"/>
              <w:spacing w:before="0" w:after="0" w:line="240" w:lineRule="auto"/>
              <w:ind w:firstLine="0" w:firstLineChars="0"/>
              <w:jc w:val="center"/>
              <w:rPr>
                <w:sz w:val="21"/>
                <w:szCs w:val="21"/>
              </w:rPr>
            </w:pPr>
            <w:r>
              <w:rPr>
                <w:rFonts w:hint="eastAsia"/>
                <w:sz w:val="21"/>
                <w:szCs w:val="21"/>
              </w:rPr>
              <w:t>第四章，十（三）</w:t>
            </w:r>
          </w:p>
        </w:tc>
        <w:tc>
          <w:tcPr>
            <w:tcW w:w="899" w:type="pct"/>
            <w:vAlign w:val="center"/>
          </w:tcPr>
          <w:p>
            <w:pPr>
              <w:pStyle w:val="57"/>
              <w:spacing w:before="0" w:after="0" w:line="240" w:lineRule="auto"/>
              <w:ind w:firstLine="0" w:firstLineChars="0"/>
              <w:jc w:val="center"/>
              <w:rPr>
                <w:sz w:val="21"/>
                <w:szCs w:val="21"/>
              </w:rPr>
            </w:pPr>
            <w:r>
              <w:rPr>
                <w:rFonts w:hint="eastAsia"/>
                <w:sz w:val="21"/>
                <w:szCs w:val="21"/>
              </w:rPr>
              <w:t>0.001mg/m</w:t>
            </w:r>
            <w:r>
              <w:rPr>
                <w:rFonts w:hint="eastAsia"/>
                <w:sz w:val="21"/>
                <w:szCs w:val="21"/>
                <w:vertAlign w:val="superscript"/>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8" w:type="pct"/>
            <w:vAlign w:val="center"/>
          </w:tcPr>
          <w:p>
            <w:pPr>
              <w:pStyle w:val="57"/>
              <w:spacing w:before="0" w:after="0" w:line="240" w:lineRule="auto"/>
              <w:ind w:firstLine="0" w:firstLineChars="0"/>
              <w:jc w:val="center"/>
              <w:rPr>
                <w:sz w:val="21"/>
                <w:szCs w:val="21"/>
              </w:rPr>
            </w:pPr>
            <w:r>
              <w:rPr>
                <w:rFonts w:hint="eastAsia"/>
                <w:sz w:val="21"/>
                <w:szCs w:val="21"/>
              </w:rPr>
              <w:t>2</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氨</w:t>
            </w:r>
          </w:p>
        </w:tc>
        <w:tc>
          <w:tcPr>
            <w:tcW w:w="1188" w:type="pct"/>
            <w:vAlign w:val="center"/>
          </w:tcPr>
          <w:p>
            <w:pPr>
              <w:pStyle w:val="57"/>
              <w:spacing w:before="0" w:after="0" w:line="240" w:lineRule="auto"/>
              <w:ind w:firstLine="0" w:firstLineChars="0"/>
              <w:jc w:val="center"/>
              <w:rPr>
                <w:sz w:val="21"/>
                <w:szCs w:val="21"/>
              </w:rPr>
            </w:pPr>
            <w:r>
              <w:rPr>
                <w:rFonts w:hint="eastAsia"/>
                <w:sz w:val="21"/>
                <w:szCs w:val="21"/>
              </w:rPr>
              <w:t>HJ533</w:t>
            </w:r>
            <w:r>
              <w:rPr>
                <w:sz w:val="21"/>
                <w:szCs w:val="21"/>
              </w:rPr>
              <w:t>-20</w:t>
            </w:r>
            <w:r>
              <w:rPr>
                <w:rFonts w:hint="eastAsia"/>
                <w:sz w:val="21"/>
                <w:szCs w:val="21"/>
              </w:rPr>
              <w:t>09</w:t>
            </w:r>
          </w:p>
        </w:tc>
        <w:tc>
          <w:tcPr>
            <w:tcW w:w="1664" w:type="pct"/>
            <w:vAlign w:val="center"/>
          </w:tcPr>
          <w:p>
            <w:pPr>
              <w:pStyle w:val="57"/>
              <w:spacing w:before="0" w:after="0" w:line="240" w:lineRule="auto"/>
              <w:ind w:firstLine="0" w:firstLineChars="0"/>
              <w:jc w:val="center"/>
              <w:rPr>
                <w:sz w:val="21"/>
                <w:szCs w:val="21"/>
              </w:rPr>
            </w:pPr>
            <w:r>
              <w:rPr>
                <w:rFonts w:hint="eastAsia"/>
                <w:sz w:val="21"/>
                <w:szCs w:val="21"/>
              </w:rPr>
              <w:t>环境空气和废气 氨的测定 纳氏试剂分光光度法</w:t>
            </w:r>
          </w:p>
        </w:tc>
        <w:tc>
          <w:tcPr>
            <w:tcW w:w="899" w:type="pct"/>
            <w:vAlign w:val="center"/>
          </w:tcPr>
          <w:p>
            <w:pPr>
              <w:pStyle w:val="57"/>
              <w:spacing w:before="0" w:after="0" w:line="240" w:lineRule="auto"/>
              <w:ind w:firstLine="0" w:firstLineChars="0"/>
              <w:jc w:val="center"/>
              <w:rPr>
                <w:sz w:val="21"/>
                <w:szCs w:val="21"/>
              </w:rPr>
            </w:pPr>
            <w:r>
              <w:rPr>
                <w:sz w:val="21"/>
                <w:szCs w:val="21"/>
              </w:rPr>
              <w:t>0.0</w:t>
            </w:r>
            <w:r>
              <w:rPr>
                <w:rFonts w:hint="eastAsia"/>
                <w:sz w:val="21"/>
                <w:szCs w:val="21"/>
              </w:rPr>
              <w:t>1mg/m</w:t>
            </w:r>
            <w:r>
              <w:rPr>
                <w:rFonts w:hint="eastAsia"/>
                <w:sz w:val="21"/>
                <w:szCs w:val="21"/>
                <w:vertAlign w:val="superscript"/>
              </w:rPr>
              <w:t>3</w:t>
            </w:r>
          </w:p>
        </w:tc>
      </w:tr>
    </w:tbl>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w:t>
      </w:r>
      <w:r>
        <w:rPr>
          <w:rFonts w:hint="eastAsia"/>
          <w:b/>
        </w:rPr>
        <w:t>2</w:t>
      </w:r>
      <w:r>
        <w:rPr>
          <w:b/>
        </w:rPr>
        <w:t>.</w:t>
      </w:r>
      <w:r>
        <w:rPr>
          <w:rFonts w:hint="eastAsia"/>
          <w:b/>
        </w:rPr>
        <w:t>2</w:t>
      </w:r>
      <w:r>
        <w:rPr>
          <w:rFonts w:hint="eastAsia" w:ascii="宋体" w:hAnsi="宋体"/>
          <w:b/>
        </w:rPr>
        <w:t>评价标准</w:t>
      </w:r>
    </w:p>
    <w:p>
      <w:pPr>
        <w:spacing w:line="480" w:lineRule="exact"/>
        <w:ind w:firstLine="480" w:firstLineChars="200"/>
        <w:rPr>
          <w:bCs/>
          <w:sz w:val="24"/>
          <w:szCs w:val="24"/>
        </w:rPr>
      </w:pPr>
      <w:r>
        <w:rPr>
          <w:rFonts w:hint="eastAsia"/>
          <w:bCs/>
          <w:sz w:val="24"/>
          <w:szCs w:val="24"/>
        </w:rPr>
        <w:t>环境空气质量现状评价标准值见表4.3-4。</w:t>
      </w:r>
    </w:p>
    <w:p>
      <w:pPr>
        <w:pStyle w:val="6"/>
        <w:spacing w:line="480" w:lineRule="exact"/>
        <w:ind w:firstLine="0"/>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 xml:space="preserve">4.3-4  </w:t>
      </w:r>
      <w:r>
        <w:rPr>
          <w:rFonts w:ascii="黑体" w:hAnsi="黑体" w:eastAsia="黑体"/>
          <w:sz w:val="24"/>
          <w:szCs w:val="21"/>
        </w:rPr>
        <w:t>环境空气质量标准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660"/>
        <w:gridCol w:w="1245"/>
        <w:gridCol w:w="1167"/>
        <w:gridCol w:w="3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47"/>
            </w:pPr>
            <w:r>
              <w:t>污染物名称</w:t>
            </w:r>
          </w:p>
        </w:tc>
        <w:tc>
          <w:tcPr>
            <w:tcW w:w="916" w:type="pct"/>
            <w:vAlign w:val="center"/>
          </w:tcPr>
          <w:p>
            <w:pPr>
              <w:pStyle w:val="47"/>
            </w:pPr>
            <w:r>
              <w:t>取值时间</w:t>
            </w:r>
          </w:p>
        </w:tc>
        <w:tc>
          <w:tcPr>
            <w:tcW w:w="687" w:type="pct"/>
            <w:vAlign w:val="center"/>
          </w:tcPr>
          <w:p>
            <w:pPr>
              <w:pStyle w:val="47"/>
            </w:pPr>
            <w:r>
              <w:t>浓度限值</w:t>
            </w:r>
          </w:p>
        </w:tc>
        <w:tc>
          <w:tcPr>
            <w:tcW w:w="644" w:type="pct"/>
            <w:vAlign w:val="center"/>
          </w:tcPr>
          <w:p>
            <w:pPr>
              <w:pStyle w:val="47"/>
            </w:pPr>
            <w:r>
              <w:t>浓度单位</w:t>
            </w:r>
          </w:p>
        </w:tc>
        <w:tc>
          <w:tcPr>
            <w:tcW w:w="2008" w:type="pct"/>
            <w:vAlign w:val="center"/>
          </w:tcPr>
          <w:p>
            <w:pPr>
              <w:pStyle w:val="47"/>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47"/>
            </w:pPr>
            <w:r>
              <w:rPr>
                <w:rFonts w:hint="eastAsia"/>
                <w:bCs/>
              </w:rPr>
              <w:t>NH</w:t>
            </w:r>
            <w:r>
              <w:rPr>
                <w:rFonts w:hint="eastAsia"/>
                <w:bCs/>
                <w:vertAlign w:val="subscript"/>
              </w:rPr>
              <w:t>3</w:t>
            </w:r>
          </w:p>
        </w:tc>
        <w:tc>
          <w:tcPr>
            <w:tcW w:w="916" w:type="pct"/>
            <w:vAlign w:val="center"/>
          </w:tcPr>
          <w:p>
            <w:pPr>
              <w:pStyle w:val="47"/>
            </w:pPr>
            <w:r>
              <w:rPr>
                <w:rFonts w:hint="eastAsia"/>
              </w:rPr>
              <w:t>1</w:t>
            </w:r>
            <w:r>
              <w:t>小时平均</w:t>
            </w:r>
          </w:p>
        </w:tc>
        <w:tc>
          <w:tcPr>
            <w:tcW w:w="687" w:type="pct"/>
            <w:vAlign w:val="center"/>
          </w:tcPr>
          <w:p>
            <w:pPr>
              <w:pStyle w:val="47"/>
            </w:pPr>
            <w:r>
              <w:rPr>
                <w:rFonts w:hint="eastAsia"/>
              </w:rPr>
              <w:t>200</w:t>
            </w:r>
          </w:p>
        </w:tc>
        <w:tc>
          <w:tcPr>
            <w:tcW w:w="644" w:type="pct"/>
            <w:vMerge w:val="restart"/>
            <w:vAlign w:val="center"/>
          </w:tcPr>
          <w:p>
            <w:pPr>
              <w:pStyle w:val="47"/>
            </w:pPr>
            <w:r>
              <w:t>μg/Nm</w:t>
            </w:r>
            <w:r>
              <w:rPr>
                <w:vertAlign w:val="superscript"/>
              </w:rPr>
              <w:t>3</w:t>
            </w:r>
          </w:p>
        </w:tc>
        <w:tc>
          <w:tcPr>
            <w:tcW w:w="2008" w:type="pct"/>
            <w:vMerge w:val="restart"/>
            <w:vAlign w:val="center"/>
          </w:tcPr>
          <w:p>
            <w:pPr>
              <w:pStyle w:val="47"/>
            </w:pPr>
            <w:r>
              <w:rPr>
                <w:rFonts w:hint="eastAsia"/>
              </w:rPr>
              <w:t>《环境影响评价技术导则 大气环境》（H</w:t>
            </w:r>
            <w:r>
              <w:t>J2.2-2018</w:t>
            </w:r>
            <w:r>
              <w:rPr>
                <w:rFonts w:hint="eastAsia"/>
              </w:rPr>
              <w:t>）附录D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47"/>
            </w:pPr>
            <w:r>
              <w:rPr>
                <w:rFonts w:hint="eastAsia"/>
              </w:rPr>
              <w:t>H</w:t>
            </w:r>
            <w:r>
              <w:rPr>
                <w:vertAlign w:val="subscript"/>
              </w:rPr>
              <w:t>2</w:t>
            </w:r>
            <w:r>
              <w:t>S</w:t>
            </w:r>
          </w:p>
        </w:tc>
        <w:tc>
          <w:tcPr>
            <w:tcW w:w="916" w:type="pct"/>
            <w:vAlign w:val="center"/>
          </w:tcPr>
          <w:p>
            <w:pPr>
              <w:pStyle w:val="47"/>
            </w:pPr>
            <w:r>
              <w:rPr>
                <w:rFonts w:hint="eastAsia"/>
              </w:rPr>
              <w:t>1</w:t>
            </w:r>
            <w:r>
              <w:t>小时平均</w:t>
            </w:r>
          </w:p>
        </w:tc>
        <w:tc>
          <w:tcPr>
            <w:tcW w:w="687" w:type="pct"/>
            <w:vAlign w:val="center"/>
          </w:tcPr>
          <w:p>
            <w:pPr>
              <w:pStyle w:val="47"/>
            </w:pPr>
            <w:r>
              <w:t>10</w:t>
            </w:r>
          </w:p>
        </w:tc>
        <w:tc>
          <w:tcPr>
            <w:tcW w:w="644" w:type="pct"/>
            <w:vMerge w:val="continue"/>
            <w:vAlign w:val="center"/>
          </w:tcPr>
          <w:p>
            <w:pPr>
              <w:pStyle w:val="47"/>
            </w:pPr>
          </w:p>
        </w:tc>
        <w:tc>
          <w:tcPr>
            <w:tcW w:w="2008" w:type="pct"/>
            <w:vMerge w:val="continue"/>
            <w:vAlign w:val="center"/>
          </w:tcPr>
          <w:p>
            <w:pPr>
              <w:pStyle w:val="47"/>
            </w:pPr>
          </w:p>
        </w:tc>
      </w:tr>
    </w:tbl>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w:t>
      </w:r>
      <w:r>
        <w:rPr>
          <w:rFonts w:hint="eastAsia"/>
          <w:b/>
        </w:rPr>
        <w:t>2</w:t>
      </w:r>
      <w:r>
        <w:rPr>
          <w:b/>
        </w:rPr>
        <w:t>.</w:t>
      </w:r>
      <w:r>
        <w:rPr>
          <w:rFonts w:hint="eastAsia"/>
          <w:b/>
        </w:rPr>
        <w:t>3</w:t>
      </w:r>
      <w:r>
        <w:rPr>
          <w:rFonts w:ascii="宋体" w:hAnsi="宋体"/>
          <w:b/>
        </w:rPr>
        <w:t>监测</w:t>
      </w:r>
      <w:r>
        <w:rPr>
          <w:rFonts w:hint="eastAsia" w:ascii="宋体" w:hAnsi="宋体"/>
          <w:b/>
        </w:rPr>
        <w:t>数据统计结果</w:t>
      </w:r>
    </w:p>
    <w:p>
      <w:pPr>
        <w:spacing w:line="480" w:lineRule="exact"/>
        <w:ind w:firstLine="480" w:firstLineChars="200"/>
        <w:rPr>
          <w:bCs/>
          <w:sz w:val="24"/>
          <w:szCs w:val="24"/>
        </w:rPr>
      </w:pPr>
      <w:r>
        <w:rPr>
          <w:rFonts w:hint="eastAsia"/>
          <w:bCs/>
          <w:color w:val="000000"/>
          <w:sz w:val="24"/>
        </w:rPr>
        <w:t>本次</w:t>
      </w:r>
      <w:r>
        <w:rPr>
          <w:bCs/>
          <w:color w:val="000000"/>
          <w:sz w:val="24"/>
        </w:rPr>
        <w:t>统计监测点</w:t>
      </w:r>
      <w:r>
        <w:rPr>
          <w:rFonts w:hint="eastAsia"/>
          <w:bCs/>
          <w:color w:val="000000"/>
          <w:sz w:val="24"/>
        </w:rPr>
        <w:t>各</w:t>
      </w:r>
      <w:r>
        <w:rPr>
          <w:bCs/>
          <w:color w:val="000000"/>
          <w:sz w:val="24"/>
        </w:rPr>
        <w:t>污染物的</w:t>
      </w:r>
      <w:r>
        <w:rPr>
          <w:rFonts w:hint="eastAsia"/>
          <w:bCs/>
          <w:color w:val="000000"/>
          <w:sz w:val="24"/>
        </w:rPr>
        <w:t>小时浓度</w:t>
      </w:r>
      <w:r>
        <w:rPr>
          <w:bCs/>
          <w:color w:val="000000"/>
          <w:sz w:val="24"/>
        </w:rPr>
        <w:t>范围、超标率、最大浓度占标率等超标情况。监测统计结果见表</w:t>
      </w:r>
      <w:r>
        <w:rPr>
          <w:rFonts w:hint="eastAsia"/>
          <w:bCs/>
          <w:color w:val="000000"/>
          <w:sz w:val="24"/>
        </w:rPr>
        <w:t>4.3-5</w:t>
      </w:r>
      <w:r>
        <w:rPr>
          <w:bCs/>
          <w:color w:val="000000"/>
          <w:sz w:val="24"/>
        </w:rPr>
        <w:t>~表</w:t>
      </w:r>
      <w:r>
        <w:rPr>
          <w:rFonts w:hint="eastAsia"/>
          <w:bCs/>
          <w:color w:val="000000"/>
          <w:sz w:val="24"/>
        </w:rPr>
        <w:t>4.3-6</w:t>
      </w:r>
      <w:r>
        <w:rPr>
          <w:bCs/>
          <w:color w:val="000000"/>
          <w:sz w:val="24"/>
        </w:rPr>
        <w:t>。</w:t>
      </w:r>
    </w:p>
    <w:p>
      <w:pPr>
        <w:spacing w:line="480" w:lineRule="exact"/>
        <w:rPr>
          <w:b/>
          <w:bCs/>
          <w:sz w:val="24"/>
          <w:szCs w:val="24"/>
        </w:rPr>
      </w:pPr>
      <w:r>
        <w:rPr>
          <w:rFonts w:hint="eastAsia"/>
          <w:b/>
          <w:bCs/>
          <w:sz w:val="24"/>
          <w:szCs w:val="24"/>
        </w:rPr>
        <w:t>1、NH</w:t>
      </w:r>
      <w:r>
        <w:rPr>
          <w:rFonts w:hint="eastAsia"/>
          <w:b/>
          <w:bCs/>
          <w:sz w:val="24"/>
          <w:szCs w:val="24"/>
          <w:vertAlign w:val="subscript"/>
        </w:rPr>
        <w:t>3</w:t>
      </w:r>
      <w:r>
        <w:rPr>
          <w:rFonts w:hint="eastAsia"/>
          <w:b/>
          <w:bCs/>
          <w:sz w:val="24"/>
          <w:szCs w:val="24"/>
        </w:rPr>
        <w:t>监测数据统计结果</w:t>
      </w:r>
    </w:p>
    <w:p>
      <w:pPr>
        <w:widowControl/>
        <w:snapToGrid w:val="0"/>
        <w:spacing w:line="480" w:lineRule="exact"/>
        <w:jc w:val="center"/>
        <w:rPr>
          <w:rFonts w:ascii="黑体" w:hAnsi="黑体" w:eastAsia="黑体"/>
          <w:sz w:val="24"/>
          <w:szCs w:val="24"/>
        </w:rPr>
      </w:pPr>
      <w:r>
        <w:rPr>
          <w:rFonts w:ascii="黑体" w:hAnsi="黑体" w:eastAsia="黑体"/>
          <w:sz w:val="24"/>
          <w:szCs w:val="24"/>
        </w:rPr>
        <w:t>表</w:t>
      </w:r>
      <w:r>
        <w:rPr>
          <w:rFonts w:hint="eastAsia" w:ascii="黑体" w:hAnsi="黑体" w:eastAsia="黑体"/>
          <w:sz w:val="24"/>
          <w:szCs w:val="24"/>
        </w:rPr>
        <w:t>4.3-5</w:t>
      </w:r>
      <w:r>
        <w:rPr>
          <w:rFonts w:ascii="黑体" w:hAnsi="黑体" w:eastAsia="黑体"/>
          <w:sz w:val="24"/>
          <w:szCs w:val="24"/>
        </w:rPr>
        <w:t xml:space="preserve">  </w:t>
      </w:r>
      <w:r>
        <w:rPr>
          <w:rFonts w:hint="eastAsia" w:ascii="黑体" w:hAnsi="黑体" w:eastAsia="黑体"/>
          <w:bCs/>
          <w:sz w:val="24"/>
          <w:szCs w:val="24"/>
        </w:rPr>
        <w:t>NH</w:t>
      </w:r>
      <w:r>
        <w:rPr>
          <w:rFonts w:hint="eastAsia" w:ascii="黑体" w:hAnsi="黑体" w:eastAsia="黑体"/>
          <w:bCs/>
          <w:sz w:val="24"/>
          <w:szCs w:val="24"/>
          <w:vertAlign w:val="subscript"/>
        </w:rPr>
        <w:t>3</w:t>
      </w:r>
      <w:r>
        <w:rPr>
          <w:rFonts w:ascii="黑体" w:hAnsi="黑体" w:eastAsia="黑体"/>
          <w:sz w:val="24"/>
          <w:szCs w:val="24"/>
        </w:rPr>
        <w:t>监测值统计结果</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03"/>
        <w:gridCol w:w="696"/>
        <w:gridCol w:w="917"/>
        <w:gridCol w:w="1022"/>
        <w:gridCol w:w="1314"/>
        <w:gridCol w:w="1379"/>
        <w:gridCol w:w="1096"/>
        <w:gridCol w:w="821"/>
        <w:gridCol w:w="7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Merge w:val="restart"/>
            <w:vAlign w:val="center"/>
          </w:tcPr>
          <w:p>
            <w:pPr>
              <w:jc w:val="center"/>
              <w:rPr>
                <w:szCs w:val="21"/>
              </w:rPr>
            </w:pPr>
            <w:r>
              <w:rPr>
                <w:szCs w:val="21"/>
              </w:rPr>
              <w:t>点位名称</w:t>
            </w:r>
          </w:p>
        </w:tc>
        <w:tc>
          <w:tcPr>
            <w:tcW w:w="890" w:type="pct"/>
            <w:gridSpan w:val="2"/>
            <w:vAlign w:val="center"/>
          </w:tcPr>
          <w:p>
            <w:pPr>
              <w:jc w:val="center"/>
              <w:rPr>
                <w:szCs w:val="21"/>
              </w:rPr>
            </w:pPr>
            <w:r>
              <w:rPr>
                <w:szCs w:val="21"/>
              </w:rPr>
              <w:t>监测点坐标/m</w:t>
            </w:r>
          </w:p>
        </w:tc>
        <w:tc>
          <w:tcPr>
            <w:tcW w:w="564" w:type="pct"/>
            <w:vMerge w:val="restart"/>
            <w:vAlign w:val="center"/>
          </w:tcPr>
          <w:p>
            <w:pPr>
              <w:jc w:val="center"/>
              <w:rPr>
                <w:szCs w:val="21"/>
              </w:rPr>
            </w:pPr>
            <w:r>
              <w:rPr>
                <w:szCs w:val="21"/>
              </w:rPr>
              <w:t>平均时间</w:t>
            </w:r>
          </w:p>
        </w:tc>
        <w:tc>
          <w:tcPr>
            <w:tcW w:w="725" w:type="pct"/>
            <w:vMerge w:val="restart"/>
            <w:vAlign w:val="center"/>
          </w:tcPr>
          <w:p>
            <w:pPr>
              <w:jc w:val="center"/>
              <w:rPr>
                <w:szCs w:val="21"/>
              </w:rPr>
            </w:pPr>
            <w:r>
              <w:rPr>
                <w:szCs w:val="21"/>
              </w:rPr>
              <w:t>评价标准（μg/Nm</w:t>
            </w:r>
            <w:r>
              <w:rPr>
                <w:szCs w:val="21"/>
                <w:vertAlign w:val="superscript"/>
              </w:rPr>
              <w:t>3</w:t>
            </w:r>
            <w:r>
              <w:rPr>
                <w:szCs w:val="21"/>
              </w:rPr>
              <w:t>）</w:t>
            </w:r>
          </w:p>
        </w:tc>
        <w:tc>
          <w:tcPr>
            <w:tcW w:w="761" w:type="pct"/>
            <w:vMerge w:val="restart"/>
            <w:vAlign w:val="center"/>
          </w:tcPr>
          <w:p>
            <w:pPr>
              <w:jc w:val="center"/>
              <w:rPr>
                <w:szCs w:val="21"/>
              </w:rPr>
            </w:pPr>
            <w:r>
              <w:rPr>
                <w:szCs w:val="21"/>
              </w:rPr>
              <w:t>监测浓度范围（μg/Nm</w:t>
            </w:r>
            <w:r>
              <w:rPr>
                <w:szCs w:val="21"/>
                <w:vertAlign w:val="superscript"/>
              </w:rPr>
              <w:t>3</w:t>
            </w:r>
            <w:r>
              <w:rPr>
                <w:szCs w:val="21"/>
              </w:rPr>
              <w:t>）</w:t>
            </w:r>
          </w:p>
        </w:tc>
        <w:tc>
          <w:tcPr>
            <w:tcW w:w="605" w:type="pct"/>
            <w:vMerge w:val="restart"/>
            <w:vAlign w:val="center"/>
          </w:tcPr>
          <w:p>
            <w:pPr>
              <w:jc w:val="center"/>
              <w:rPr>
                <w:szCs w:val="21"/>
              </w:rPr>
            </w:pPr>
            <w:r>
              <w:rPr>
                <w:szCs w:val="21"/>
              </w:rPr>
              <w:t>最大浓度占标率（%）</w:t>
            </w:r>
          </w:p>
        </w:tc>
        <w:tc>
          <w:tcPr>
            <w:tcW w:w="453" w:type="pct"/>
            <w:vMerge w:val="restart"/>
            <w:vAlign w:val="center"/>
          </w:tcPr>
          <w:p>
            <w:pPr>
              <w:jc w:val="center"/>
              <w:rPr>
                <w:szCs w:val="21"/>
              </w:rPr>
            </w:pPr>
            <w:r>
              <w:rPr>
                <w:szCs w:val="21"/>
              </w:rPr>
              <w:t>超标率（%）</w:t>
            </w:r>
          </w:p>
        </w:tc>
        <w:tc>
          <w:tcPr>
            <w:tcW w:w="393" w:type="pct"/>
            <w:vMerge w:val="restart"/>
            <w:vAlign w:val="center"/>
          </w:tcPr>
          <w:p>
            <w:pPr>
              <w:jc w:val="center"/>
              <w:rPr>
                <w:szCs w:val="21"/>
              </w:rPr>
            </w:pPr>
            <w:r>
              <w:rPr>
                <w:szCs w:val="21"/>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609" w:type="pct"/>
            <w:vMerge w:val="continue"/>
            <w:vAlign w:val="center"/>
          </w:tcPr>
          <w:p>
            <w:pPr>
              <w:jc w:val="center"/>
              <w:rPr>
                <w:szCs w:val="21"/>
              </w:rPr>
            </w:pPr>
          </w:p>
        </w:tc>
        <w:tc>
          <w:tcPr>
            <w:tcW w:w="384" w:type="pct"/>
            <w:vAlign w:val="center"/>
          </w:tcPr>
          <w:p>
            <w:pPr>
              <w:jc w:val="center"/>
              <w:rPr>
                <w:szCs w:val="21"/>
              </w:rPr>
            </w:pPr>
            <w:r>
              <w:rPr>
                <w:szCs w:val="21"/>
              </w:rPr>
              <w:t>X</w:t>
            </w:r>
          </w:p>
        </w:tc>
        <w:tc>
          <w:tcPr>
            <w:tcW w:w="506" w:type="pct"/>
            <w:vAlign w:val="center"/>
          </w:tcPr>
          <w:p>
            <w:pPr>
              <w:jc w:val="center"/>
              <w:rPr>
                <w:szCs w:val="21"/>
              </w:rPr>
            </w:pPr>
            <w:r>
              <w:rPr>
                <w:szCs w:val="21"/>
              </w:rPr>
              <w:t>Y</w:t>
            </w:r>
          </w:p>
        </w:tc>
        <w:tc>
          <w:tcPr>
            <w:tcW w:w="564" w:type="pct"/>
            <w:vMerge w:val="continue"/>
            <w:vAlign w:val="center"/>
          </w:tcPr>
          <w:p>
            <w:pPr>
              <w:jc w:val="center"/>
              <w:rPr>
                <w:szCs w:val="21"/>
              </w:rPr>
            </w:pPr>
          </w:p>
        </w:tc>
        <w:tc>
          <w:tcPr>
            <w:tcW w:w="725" w:type="pct"/>
            <w:vMerge w:val="continue"/>
            <w:vAlign w:val="center"/>
          </w:tcPr>
          <w:p>
            <w:pPr>
              <w:jc w:val="center"/>
              <w:rPr>
                <w:szCs w:val="21"/>
              </w:rPr>
            </w:pPr>
          </w:p>
        </w:tc>
        <w:tc>
          <w:tcPr>
            <w:tcW w:w="761" w:type="pct"/>
            <w:vMerge w:val="continue"/>
            <w:vAlign w:val="center"/>
          </w:tcPr>
          <w:p>
            <w:pPr>
              <w:jc w:val="center"/>
              <w:rPr>
                <w:szCs w:val="21"/>
              </w:rPr>
            </w:pPr>
          </w:p>
        </w:tc>
        <w:tc>
          <w:tcPr>
            <w:tcW w:w="605" w:type="pct"/>
            <w:vMerge w:val="continue"/>
            <w:vAlign w:val="center"/>
          </w:tcPr>
          <w:p>
            <w:pPr>
              <w:jc w:val="center"/>
              <w:rPr>
                <w:szCs w:val="21"/>
              </w:rPr>
            </w:pPr>
          </w:p>
        </w:tc>
        <w:tc>
          <w:tcPr>
            <w:tcW w:w="453" w:type="pct"/>
            <w:vMerge w:val="continue"/>
            <w:vAlign w:val="center"/>
          </w:tcPr>
          <w:p>
            <w:pPr>
              <w:jc w:val="center"/>
              <w:rPr>
                <w:szCs w:val="21"/>
              </w:rPr>
            </w:pPr>
          </w:p>
        </w:tc>
        <w:tc>
          <w:tcPr>
            <w:tcW w:w="393" w:type="pct"/>
            <w:vMerge w:val="continue"/>
            <w:vAlign w:val="center"/>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pPr>
              <w:tabs>
                <w:tab w:val="left" w:pos="8292"/>
              </w:tabs>
              <w:autoSpaceDE w:val="0"/>
              <w:autoSpaceDN w:val="0"/>
              <w:jc w:val="center"/>
              <w:rPr>
                <w:szCs w:val="21"/>
              </w:rPr>
            </w:pPr>
            <w:r>
              <w:rPr>
                <w:rFonts w:hint="eastAsia"/>
                <w:bCs/>
                <w:kern w:val="0"/>
                <w:szCs w:val="21"/>
              </w:rPr>
              <w:t>李家沟村</w:t>
            </w:r>
          </w:p>
        </w:tc>
        <w:tc>
          <w:tcPr>
            <w:tcW w:w="384" w:type="pct"/>
            <w:vAlign w:val="center"/>
          </w:tcPr>
          <w:p>
            <w:pPr>
              <w:jc w:val="center"/>
              <w:rPr>
                <w:szCs w:val="21"/>
              </w:rPr>
            </w:pPr>
            <w:r>
              <w:rPr>
                <w:rFonts w:hint="eastAsia"/>
                <w:szCs w:val="21"/>
              </w:rPr>
              <w:t>2</w:t>
            </w:r>
            <w:r>
              <w:rPr>
                <w:szCs w:val="21"/>
              </w:rPr>
              <w:t>100</w:t>
            </w:r>
          </w:p>
        </w:tc>
        <w:tc>
          <w:tcPr>
            <w:tcW w:w="506" w:type="pct"/>
            <w:vAlign w:val="center"/>
          </w:tcPr>
          <w:p>
            <w:pPr>
              <w:jc w:val="center"/>
              <w:rPr>
                <w:szCs w:val="21"/>
              </w:rPr>
            </w:pPr>
            <w:r>
              <w:rPr>
                <w:rFonts w:hint="eastAsia"/>
                <w:szCs w:val="21"/>
              </w:rPr>
              <w:t>-</w:t>
            </w:r>
            <w:r>
              <w:rPr>
                <w:szCs w:val="21"/>
              </w:rPr>
              <w:t>315</w:t>
            </w:r>
          </w:p>
        </w:tc>
        <w:tc>
          <w:tcPr>
            <w:tcW w:w="564" w:type="pct"/>
            <w:vAlign w:val="center"/>
          </w:tcPr>
          <w:p>
            <w:pPr>
              <w:jc w:val="center"/>
              <w:rPr>
                <w:szCs w:val="21"/>
              </w:rPr>
            </w:pPr>
            <w:r>
              <w:rPr>
                <w:szCs w:val="21"/>
              </w:rPr>
              <w:t>1h</w:t>
            </w:r>
          </w:p>
        </w:tc>
        <w:tc>
          <w:tcPr>
            <w:tcW w:w="725" w:type="pct"/>
            <w:vAlign w:val="center"/>
          </w:tcPr>
          <w:p>
            <w:pPr>
              <w:jc w:val="center"/>
              <w:rPr>
                <w:szCs w:val="21"/>
              </w:rPr>
            </w:pPr>
            <w:r>
              <w:rPr>
                <w:szCs w:val="21"/>
              </w:rPr>
              <w:t>200</w:t>
            </w:r>
          </w:p>
        </w:tc>
        <w:tc>
          <w:tcPr>
            <w:tcW w:w="761" w:type="pct"/>
            <w:vAlign w:val="center"/>
          </w:tcPr>
          <w:p>
            <w:pPr>
              <w:widowControl/>
              <w:jc w:val="center"/>
              <w:rPr>
                <w:szCs w:val="21"/>
              </w:rPr>
            </w:pPr>
            <w:r>
              <w:rPr>
                <w:rFonts w:hint="eastAsia"/>
                <w:kern w:val="0"/>
                <w:szCs w:val="21"/>
              </w:rPr>
              <w:t>140</w:t>
            </w:r>
            <w:r>
              <w:rPr>
                <w:kern w:val="0"/>
                <w:szCs w:val="21"/>
              </w:rPr>
              <w:t>-</w:t>
            </w:r>
            <w:r>
              <w:rPr>
                <w:rFonts w:hint="eastAsia"/>
                <w:kern w:val="0"/>
                <w:szCs w:val="21"/>
              </w:rPr>
              <w:t>1</w:t>
            </w:r>
            <w:r>
              <w:rPr>
                <w:kern w:val="0"/>
                <w:szCs w:val="21"/>
              </w:rPr>
              <w:t>90</w:t>
            </w:r>
          </w:p>
        </w:tc>
        <w:tc>
          <w:tcPr>
            <w:tcW w:w="605" w:type="pct"/>
            <w:vAlign w:val="bottom"/>
          </w:tcPr>
          <w:p>
            <w:pPr>
              <w:widowControl/>
              <w:jc w:val="center"/>
              <w:rPr>
                <w:szCs w:val="21"/>
              </w:rPr>
            </w:pPr>
            <w:r>
              <w:rPr>
                <w:rFonts w:hint="eastAsia"/>
                <w:kern w:val="0"/>
                <w:szCs w:val="21"/>
              </w:rPr>
              <w:t>95</w:t>
            </w:r>
          </w:p>
        </w:tc>
        <w:tc>
          <w:tcPr>
            <w:tcW w:w="453" w:type="pct"/>
            <w:vAlign w:val="center"/>
          </w:tcPr>
          <w:p>
            <w:pPr>
              <w:jc w:val="center"/>
              <w:rPr>
                <w:szCs w:val="21"/>
              </w:rPr>
            </w:pPr>
            <w:r>
              <w:rPr>
                <w:szCs w:val="21"/>
              </w:rPr>
              <w:t>0</w:t>
            </w:r>
          </w:p>
        </w:tc>
        <w:tc>
          <w:tcPr>
            <w:tcW w:w="393" w:type="pct"/>
            <w:vAlign w:val="center"/>
          </w:tcPr>
          <w:p>
            <w:pPr>
              <w:jc w:val="center"/>
              <w:rPr>
                <w:szCs w:val="21"/>
              </w:rPr>
            </w:pPr>
            <w:r>
              <w:rPr>
                <w:szCs w:val="21"/>
              </w:rPr>
              <w:t>达标</w:t>
            </w:r>
          </w:p>
        </w:tc>
      </w:tr>
    </w:tbl>
    <w:p>
      <w:pPr>
        <w:widowControl/>
        <w:snapToGrid w:val="0"/>
        <w:spacing w:line="480" w:lineRule="exact"/>
        <w:ind w:firstLine="480" w:firstLineChars="200"/>
        <w:jc w:val="left"/>
        <w:rPr>
          <w:sz w:val="24"/>
          <w:szCs w:val="24"/>
        </w:rPr>
      </w:pPr>
      <w:r>
        <w:rPr>
          <w:bCs/>
          <w:sz w:val="24"/>
          <w:szCs w:val="24"/>
        </w:rPr>
        <w:t>由</w:t>
      </w:r>
      <w:r>
        <w:rPr>
          <w:rFonts w:hint="eastAsia"/>
          <w:bCs/>
          <w:sz w:val="24"/>
          <w:szCs w:val="24"/>
        </w:rPr>
        <w:t>上</w:t>
      </w:r>
      <w:r>
        <w:rPr>
          <w:bCs/>
          <w:sz w:val="24"/>
          <w:szCs w:val="24"/>
        </w:rPr>
        <w:t>表可知，</w:t>
      </w:r>
      <w:r>
        <w:rPr>
          <w:rFonts w:hint="eastAsia"/>
          <w:bCs/>
          <w:sz w:val="24"/>
          <w:szCs w:val="24"/>
        </w:rPr>
        <w:t>李家沟村</w:t>
      </w:r>
      <w:r>
        <w:rPr>
          <w:bCs/>
          <w:sz w:val="24"/>
          <w:szCs w:val="24"/>
        </w:rPr>
        <w:t>监测点位</w:t>
      </w:r>
      <w:r>
        <w:rPr>
          <w:rFonts w:hint="eastAsia"/>
          <w:bCs/>
          <w:sz w:val="24"/>
          <w:szCs w:val="24"/>
        </w:rPr>
        <w:t>NH</w:t>
      </w:r>
      <w:r>
        <w:rPr>
          <w:rFonts w:hint="eastAsia"/>
          <w:bCs/>
          <w:sz w:val="24"/>
          <w:szCs w:val="24"/>
          <w:vertAlign w:val="subscript"/>
        </w:rPr>
        <w:t>3</w:t>
      </w:r>
      <w:r>
        <w:rPr>
          <w:bCs/>
          <w:sz w:val="24"/>
          <w:szCs w:val="24"/>
        </w:rPr>
        <w:t>小时平均浓度范围为</w:t>
      </w:r>
      <w:r>
        <w:rPr>
          <w:sz w:val="24"/>
          <w:szCs w:val="24"/>
        </w:rPr>
        <w:t>1</w:t>
      </w:r>
      <w:r>
        <w:rPr>
          <w:rFonts w:hint="eastAsia"/>
          <w:sz w:val="24"/>
          <w:szCs w:val="24"/>
        </w:rPr>
        <w:t>4</w:t>
      </w:r>
      <w:r>
        <w:rPr>
          <w:sz w:val="24"/>
          <w:szCs w:val="24"/>
        </w:rPr>
        <w:t>0-</w:t>
      </w:r>
      <w:r>
        <w:rPr>
          <w:rFonts w:hint="eastAsia"/>
          <w:sz w:val="24"/>
          <w:szCs w:val="24"/>
        </w:rPr>
        <w:t>19</w:t>
      </w:r>
      <w:r>
        <w:rPr>
          <w:sz w:val="24"/>
          <w:szCs w:val="24"/>
        </w:rPr>
        <w:t>0μg/Nm</w:t>
      </w:r>
      <w:r>
        <w:rPr>
          <w:sz w:val="24"/>
          <w:szCs w:val="24"/>
          <w:vertAlign w:val="superscript"/>
        </w:rPr>
        <w:t>3</w:t>
      </w:r>
      <w:r>
        <w:rPr>
          <w:sz w:val="24"/>
          <w:szCs w:val="24"/>
        </w:rPr>
        <w:t>之间</w:t>
      </w:r>
      <w:r>
        <w:rPr>
          <w:bCs/>
          <w:sz w:val="24"/>
          <w:szCs w:val="24"/>
        </w:rPr>
        <w:t>，最大浓度占标率为</w:t>
      </w:r>
      <w:r>
        <w:rPr>
          <w:rFonts w:hint="eastAsia"/>
          <w:bCs/>
          <w:sz w:val="24"/>
          <w:szCs w:val="24"/>
        </w:rPr>
        <w:t>95.</w:t>
      </w:r>
      <w:r>
        <w:rPr>
          <w:bCs/>
          <w:sz w:val="24"/>
          <w:szCs w:val="24"/>
        </w:rPr>
        <w:t>00%。</w:t>
      </w:r>
    </w:p>
    <w:p>
      <w:pPr>
        <w:spacing w:line="480" w:lineRule="exact"/>
        <w:rPr>
          <w:b/>
          <w:bCs/>
          <w:sz w:val="24"/>
          <w:szCs w:val="24"/>
        </w:rPr>
      </w:pPr>
      <w:r>
        <w:rPr>
          <w:rFonts w:hint="eastAsia"/>
          <w:b/>
          <w:bCs/>
          <w:sz w:val="24"/>
          <w:szCs w:val="24"/>
        </w:rPr>
        <w:t>2、H</w:t>
      </w:r>
      <w:r>
        <w:rPr>
          <w:rFonts w:hint="eastAsia"/>
          <w:b/>
          <w:bCs/>
          <w:sz w:val="24"/>
          <w:szCs w:val="24"/>
          <w:vertAlign w:val="subscript"/>
        </w:rPr>
        <w:t>2</w:t>
      </w:r>
      <w:r>
        <w:rPr>
          <w:rFonts w:hint="eastAsia"/>
          <w:b/>
          <w:bCs/>
          <w:sz w:val="24"/>
          <w:szCs w:val="24"/>
        </w:rPr>
        <w:t>S监测数据统计结果</w:t>
      </w:r>
    </w:p>
    <w:p>
      <w:pPr>
        <w:widowControl/>
        <w:snapToGrid w:val="0"/>
        <w:spacing w:line="480" w:lineRule="exact"/>
        <w:jc w:val="center"/>
        <w:rPr>
          <w:rFonts w:ascii="黑体" w:hAnsi="黑体" w:eastAsia="黑体"/>
          <w:sz w:val="24"/>
          <w:szCs w:val="24"/>
        </w:rPr>
      </w:pPr>
      <w:r>
        <w:rPr>
          <w:rFonts w:ascii="黑体" w:hAnsi="黑体" w:eastAsia="黑体"/>
          <w:sz w:val="24"/>
          <w:szCs w:val="24"/>
        </w:rPr>
        <w:t>表</w:t>
      </w:r>
      <w:r>
        <w:rPr>
          <w:rFonts w:hint="eastAsia" w:ascii="黑体" w:hAnsi="黑体" w:eastAsia="黑体"/>
          <w:sz w:val="24"/>
          <w:szCs w:val="24"/>
        </w:rPr>
        <w:t>4.3-6</w:t>
      </w:r>
      <w:r>
        <w:rPr>
          <w:rFonts w:ascii="黑体" w:hAnsi="黑体" w:eastAsia="黑体"/>
          <w:sz w:val="24"/>
          <w:szCs w:val="24"/>
        </w:rPr>
        <w:t xml:space="preserve">  </w:t>
      </w:r>
      <w:r>
        <w:rPr>
          <w:rFonts w:hint="eastAsia" w:ascii="黑体" w:hAnsi="黑体" w:eastAsia="黑体"/>
          <w:sz w:val="24"/>
          <w:szCs w:val="24"/>
        </w:rPr>
        <w:t>H</w:t>
      </w:r>
      <w:r>
        <w:rPr>
          <w:rFonts w:hint="eastAsia" w:ascii="黑体" w:hAnsi="黑体" w:eastAsia="黑体"/>
          <w:sz w:val="24"/>
          <w:szCs w:val="24"/>
          <w:vertAlign w:val="subscript"/>
        </w:rPr>
        <w:t>2</w:t>
      </w:r>
      <w:r>
        <w:rPr>
          <w:rFonts w:hint="eastAsia" w:ascii="黑体" w:hAnsi="黑体" w:eastAsia="黑体"/>
          <w:sz w:val="24"/>
          <w:szCs w:val="24"/>
        </w:rPr>
        <w:t>S</w:t>
      </w:r>
      <w:r>
        <w:rPr>
          <w:rFonts w:ascii="黑体" w:hAnsi="黑体" w:eastAsia="黑体"/>
          <w:sz w:val="24"/>
          <w:szCs w:val="24"/>
        </w:rPr>
        <w:t>监测值统计结果</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03"/>
        <w:gridCol w:w="696"/>
        <w:gridCol w:w="917"/>
        <w:gridCol w:w="1022"/>
        <w:gridCol w:w="1314"/>
        <w:gridCol w:w="1379"/>
        <w:gridCol w:w="1096"/>
        <w:gridCol w:w="821"/>
        <w:gridCol w:w="7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Merge w:val="restart"/>
            <w:vAlign w:val="center"/>
          </w:tcPr>
          <w:p>
            <w:pPr>
              <w:jc w:val="center"/>
              <w:rPr>
                <w:szCs w:val="21"/>
              </w:rPr>
            </w:pPr>
            <w:r>
              <w:rPr>
                <w:szCs w:val="21"/>
              </w:rPr>
              <w:t>点位名称</w:t>
            </w:r>
          </w:p>
        </w:tc>
        <w:tc>
          <w:tcPr>
            <w:tcW w:w="890" w:type="pct"/>
            <w:gridSpan w:val="2"/>
            <w:vAlign w:val="center"/>
          </w:tcPr>
          <w:p>
            <w:pPr>
              <w:jc w:val="center"/>
              <w:rPr>
                <w:szCs w:val="21"/>
              </w:rPr>
            </w:pPr>
            <w:r>
              <w:rPr>
                <w:szCs w:val="21"/>
              </w:rPr>
              <w:t>监测点坐标/m</w:t>
            </w:r>
          </w:p>
        </w:tc>
        <w:tc>
          <w:tcPr>
            <w:tcW w:w="564" w:type="pct"/>
            <w:vMerge w:val="restart"/>
            <w:vAlign w:val="center"/>
          </w:tcPr>
          <w:p>
            <w:pPr>
              <w:jc w:val="center"/>
              <w:rPr>
                <w:szCs w:val="21"/>
              </w:rPr>
            </w:pPr>
            <w:r>
              <w:rPr>
                <w:szCs w:val="21"/>
              </w:rPr>
              <w:t>平均时间</w:t>
            </w:r>
          </w:p>
        </w:tc>
        <w:tc>
          <w:tcPr>
            <w:tcW w:w="725" w:type="pct"/>
            <w:vMerge w:val="restart"/>
            <w:vAlign w:val="center"/>
          </w:tcPr>
          <w:p>
            <w:pPr>
              <w:jc w:val="center"/>
              <w:rPr>
                <w:szCs w:val="21"/>
              </w:rPr>
            </w:pPr>
            <w:r>
              <w:rPr>
                <w:szCs w:val="21"/>
              </w:rPr>
              <w:t>评价标准（μg/Nm</w:t>
            </w:r>
            <w:r>
              <w:rPr>
                <w:szCs w:val="21"/>
                <w:vertAlign w:val="superscript"/>
              </w:rPr>
              <w:t>3</w:t>
            </w:r>
            <w:r>
              <w:rPr>
                <w:szCs w:val="21"/>
              </w:rPr>
              <w:t>）</w:t>
            </w:r>
          </w:p>
        </w:tc>
        <w:tc>
          <w:tcPr>
            <w:tcW w:w="761" w:type="pct"/>
            <w:vMerge w:val="restart"/>
            <w:vAlign w:val="center"/>
          </w:tcPr>
          <w:p>
            <w:pPr>
              <w:jc w:val="center"/>
              <w:rPr>
                <w:szCs w:val="21"/>
              </w:rPr>
            </w:pPr>
            <w:r>
              <w:rPr>
                <w:szCs w:val="21"/>
              </w:rPr>
              <w:t>监测浓度范围（μg/Nm</w:t>
            </w:r>
            <w:r>
              <w:rPr>
                <w:szCs w:val="21"/>
                <w:vertAlign w:val="superscript"/>
              </w:rPr>
              <w:t>3</w:t>
            </w:r>
            <w:r>
              <w:rPr>
                <w:szCs w:val="21"/>
              </w:rPr>
              <w:t>）</w:t>
            </w:r>
          </w:p>
        </w:tc>
        <w:tc>
          <w:tcPr>
            <w:tcW w:w="605" w:type="pct"/>
            <w:vMerge w:val="restart"/>
            <w:vAlign w:val="center"/>
          </w:tcPr>
          <w:p>
            <w:pPr>
              <w:jc w:val="center"/>
              <w:rPr>
                <w:szCs w:val="21"/>
              </w:rPr>
            </w:pPr>
            <w:r>
              <w:rPr>
                <w:szCs w:val="21"/>
              </w:rPr>
              <w:t>最大浓度占标率（%）</w:t>
            </w:r>
          </w:p>
        </w:tc>
        <w:tc>
          <w:tcPr>
            <w:tcW w:w="453" w:type="pct"/>
            <w:vMerge w:val="restart"/>
            <w:vAlign w:val="center"/>
          </w:tcPr>
          <w:p>
            <w:pPr>
              <w:jc w:val="center"/>
              <w:rPr>
                <w:szCs w:val="21"/>
              </w:rPr>
            </w:pPr>
            <w:r>
              <w:rPr>
                <w:szCs w:val="21"/>
              </w:rPr>
              <w:t>超标率（%）</w:t>
            </w:r>
          </w:p>
        </w:tc>
        <w:tc>
          <w:tcPr>
            <w:tcW w:w="393" w:type="pct"/>
            <w:vMerge w:val="restart"/>
            <w:vAlign w:val="center"/>
          </w:tcPr>
          <w:p>
            <w:pPr>
              <w:jc w:val="center"/>
              <w:rPr>
                <w:szCs w:val="21"/>
              </w:rPr>
            </w:pPr>
            <w:r>
              <w:rPr>
                <w:szCs w:val="21"/>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Merge w:val="continue"/>
            <w:vAlign w:val="center"/>
          </w:tcPr>
          <w:p>
            <w:pPr>
              <w:jc w:val="center"/>
              <w:rPr>
                <w:szCs w:val="21"/>
              </w:rPr>
            </w:pPr>
          </w:p>
        </w:tc>
        <w:tc>
          <w:tcPr>
            <w:tcW w:w="384" w:type="pct"/>
            <w:vAlign w:val="center"/>
          </w:tcPr>
          <w:p>
            <w:pPr>
              <w:jc w:val="center"/>
              <w:rPr>
                <w:szCs w:val="21"/>
              </w:rPr>
            </w:pPr>
            <w:r>
              <w:rPr>
                <w:szCs w:val="21"/>
              </w:rPr>
              <w:t>X</w:t>
            </w:r>
          </w:p>
        </w:tc>
        <w:tc>
          <w:tcPr>
            <w:tcW w:w="506" w:type="pct"/>
            <w:vAlign w:val="center"/>
          </w:tcPr>
          <w:p>
            <w:pPr>
              <w:jc w:val="center"/>
              <w:rPr>
                <w:szCs w:val="21"/>
              </w:rPr>
            </w:pPr>
            <w:r>
              <w:rPr>
                <w:szCs w:val="21"/>
              </w:rPr>
              <w:t>Y</w:t>
            </w:r>
          </w:p>
        </w:tc>
        <w:tc>
          <w:tcPr>
            <w:tcW w:w="564" w:type="pct"/>
            <w:vMerge w:val="continue"/>
            <w:vAlign w:val="center"/>
          </w:tcPr>
          <w:p>
            <w:pPr>
              <w:jc w:val="center"/>
              <w:rPr>
                <w:szCs w:val="21"/>
              </w:rPr>
            </w:pPr>
          </w:p>
        </w:tc>
        <w:tc>
          <w:tcPr>
            <w:tcW w:w="725" w:type="pct"/>
            <w:vMerge w:val="continue"/>
            <w:vAlign w:val="center"/>
          </w:tcPr>
          <w:p>
            <w:pPr>
              <w:jc w:val="center"/>
              <w:rPr>
                <w:szCs w:val="21"/>
              </w:rPr>
            </w:pPr>
          </w:p>
        </w:tc>
        <w:tc>
          <w:tcPr>
            <w:tcW w:w="761" w:type="pct"/>
            <w:vMerge w:val="continue"/>
            <w:vAlign w:val="center"/>
          </w:tcPr>
          <w:p>
            <w:pPr>
              <w:jc w:val="center"/>
              <w:rPr>
                <w:szCs w:val="21"/>
              </w:rPr>
            </w:pPr>
          </w:p>
        </w:tc>
        <w:tc>
          <w:tcPr>
            <w:tcW w:w="605" w:type="pct"/>
            <w:vMerge w:val="continue"/>
            <w:vAlign w:val="center"/>
          </w:tcPr>
          <w:p>
            <w:pPr>
              <w:jc w:val="center"/>
              <w:rPr>
                <w:szCs w:val="21"/>
              </w:rPr>
            </w:pPr>
          </w:p>
        </w:tc>
        <w:tc>
          <w:tcPr>
            <w:tcW w:w="453" w:type="pct"/>
            <w:vMerge w:val="continue"/>
            <w:vAlign w:val="center"/>
          </w:tcPr>
          <w:p>
            <w:pPr>
              <w:jc w:val="center"/>
              <w:rPr>
                <w:szCs w:val="21"/>
              </w:rPr>
            </w:pPr>
          </w:p>
        </w:tc>
        <w:tc>
          <w:tcPr>
            <w:tcW w:w="393" w:type="pct"/>
            <w:vMerge w:val="continue"/>
            <w:vAlign w:val="center"/>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pPr>
              <w:tabs>
                <w:tab w:val="left" w:pos="8292"/>
              </w:tabs>
              <w:autoSpaceDE w:val="0"/>
              <w:autoSpaceDN w:val="0"/>
              <w:jc w:val="center"/>
              <w:rPr>
                <w:szCs w:val="21"/>
              </w:rPr>
            </w:pPr>
            <w:r>
              <w:rPr>
                <w:rFonts w:hint="eastAsia"/>
                <w:bCs/>
                <w:kern w:val="0"/>
                <w:szCs w:val="21"/>
              </w:rPr>
              <w:t>李家沟村</w:t>
            </w:r>
          </w:p>
        </w:tc>
        <w:tc>
          <w:tcPr>
            <w:tcW w:w="384" w:type="pct"/>
            <w:vAlign w:val="center"/>
          </w:tcPr>
          <w:p>
            <w:pPr>
              <w:jc w:val="center"/>
              <w:rPr>
                <w:szCs w:val="21"/>
              </w:rPr>
            </w:pPr>
            <w:r>
              <w:rPr>
                <w:rFonts w:hint="eastAsia"/>
                <w:szCs w:val="21"/>
              </w:rPr>
              <w:t>2</w:t>
            </w:r>
            <w:r>
              <w:rPr>
                <w:szCs w:val="21"/>
              </w:rPr>
              <w:t>100</w:t>
            </w:r>
          </w:p>
        </w:tc>
        <w:tc>
          <w:tcPr>
            <w:tcW w:w="506" w:type="pct"/>
            <w:vAlign w:val="center"/>
          </w:tcPr>
          <w:p>
            <w:pPr>
              <w:jc w:val="center"/>
              <w:rPr>
                <w:szCs w:val="21"/>
              </w:rPr>
            </w:pPr>
            <w:r>
              <w:rPr>
                <w:rFonts w:hint="eastAsia"/>
                <w:szCs w:val="21"/>
              </w:rPr>
              <w:t>-</w:t>
            </w:r>
            <w:r>
              <w:rPr>
                <w:szCs w:val="21"/>
              </w:rPr>
              <w:t>315</w:t>
            </w:r>
          </w:p>
        </w:tc>
        <w:tc>
          <w:tcPr>
            <w:tcW w:w="564" w:type="pct"/>
            <w:vAlign w:val="center"/>
          </w:tcPr>
          <w:p>
            <w:pPr>
              <w:jc w:val="center"/>
              <w:rPr>
                <w:szCs w:val="21"/>
              </w:rPr>
            </w:pPr>
            <w:r>
              <w:rPr>
                <w:szCs w:val="21"/>
              </w:rPr>
              <w:t>1h</w:t>
            </w:r>
          </w:p>
        </w:tc>
        <w:tc>
          <w:tcPr>
            <w:tcW w:w="725" w:type="pct"/>
            <w:vAlign w:val="center"/>
          </w:tcPr>
          <w:p>
            <w:pPr>
              <w:jc w:val="center"/>
              <w:rPr>
                <w:szCs w:val="21"/>
              </w:rPr>
            </w:pPr>
            <w:r>
              <w:rPr>
                <w:rFonts w:ascii="宋体" w:hAnsi="宋体"/>
                <w:szCs w:val="21"/>
              </w:rPr>
              <w:t>10</w:t>
            </w:r>
          </w:p>
        </w:tc>
        <w:tc>
          <w:tcPr>
            <w:tcW w:w="761" w:type="pct"/>
            <w:vAlign w:val="center"/>
          </w:tcPr>
          <w:p>
            <w:pPr>
              <w:widowControl/>
              <w:jc w:val="center"/>
              <w:rPr>
                <w:szCs w:val="21"/>
              </w:rPr>
            </w:pPr>
            <w:r>
              <w:rPr>
                <w:kern w:val="0"/>
                <w:szCs w:val="21"/>
              </w:rPr>
              <w:t>3-6</w:t>
            </w:r>
          </w:p>
        </w:tc>
        <w:tc>
          <w:tcPr>
            <w:tcW w:w="605" w:type="pct"/>
            <w:vAlign w:val="bottom"/>
          </w:tcPr>
          <w:p>
            <w:pPr>
              <w:widowControl/>
              <w:jc w:val="center"/>
              <w:rPr>
                <w:szCs w:val="21"/>
              </w:rPr>
            </w:pPr>
            <w:r>
              <w:rPr>
                <w:kern w:val="0"/>
                <w:szCs w:val="21"/>
              </w:rPr>
              <w:t>60</w:t>
            </w:r>
          </w:p>
        </w:tc>
        <w:tc>
          <w:tcPr>
            <w:tcW w:w="453" w:type="pct"/>
            <w:vAlign w:val="center"/>
          </w:tcPr>
          <w:p>
            <w:pPr>
              <w:jc w:val="center"/>
              <w:rPr>
                <w:szCs w:val="21"/>
              </w:rPr>
            </w:pPr>
            <w:r>
              <w:rPr>
                <w:szCs w:val="21"/>
              </w:rPr>
              <w:t>0</w:t>
            </w:r>
          </w:p>
        </w:tc>
        <w:tc>
          <w:tcPr>
            <w:tcW w:w="393" w:type="pct"/>
            <w:vAlign w:val="center"/>
          </w:tcPr>
          <w:p>
            <w:pPr>
              <w:jc w:val="center"/>
              <w:rPr>
                <w:szCs w:val="21"/>
              </w:rPr>
            </w:pPr>
            <w:r>
              <w:rPr>
                <w:szCs w:val="21"/>
              </w:rPr>
              <w:t>达标</w:t>
            </w:r>
          </w:p>
        </w:tc>
      </w:tr>
    </w:tbl>
    <w:p>
      <w:pPr>
        <w:snapToGrid w:val="0"/>
        <w:spacing w:line="480" w:lineRule="exact"/>
        <w:ind w:firstLine="496" w:firstLineChars="200"/>
        <w:rPr>
          <w:sz w:val="24"/>
          <w:szCs w:val="24"/>
        </w:rPr>
      </w:pPr>
      <w:r>
        <w:rPr>
          <w:bCs/>
          <w:spacing w:val="4"/>
          <w:sz w:val="24"/>
        </w:rPr>
        <w:t>由</w:t>
      </w:r>
      <w:r>
        <w:rPr>
          <w:rFonts w:hint="eastAsia"/>
          <w:bCs/>
          <w:spacing w:val="4"/>
          <w:sz w:val="24"/>
        </w:rPr>
        <w:t>上</w:t>
      </w:r>
      <w:r>
        <w:rPr>
          <w:bCs/>
          <w:spacing w:val="4"/>
          <w:sz w:val="24"/>
        </w:rPr>
        <w:t>表可知，</w:t>
      </w:r>
      <w:r>
        <w:rPr>
          <w:rFonts w:hint="eastAsia"/>
          <w:bCs/>
          <w:sz w:val="24"/>
          <w:szCs w:val="24"/>
        </w:rPr>
        <w:t>李家沟村</w:t>
      </w:r>
      <w:r>
        <w:rPr>
          <w:bCs/>
          <w:spacing w:val="4"/>
          <w:sz w:val="24"/>
        </w:rPr>
        <w:t>监测点位</w:t>
      </w:r>
      <w:r>
        <w:rPr>
          <w:rFonts w:hint="eastAsia"/>
          <w:spacing w:val="4"/>
          <w:sz w:val="24"/>
        </w:rPr>
        <w:t>H</w:t>
      </w:r>
      <w:r>
        <w:rPr>
          <w:rFonts w:hint="eastAsia"/>
          <w:spacing w:val="4"/>
          <w:sz w:val="24"/>
          <w:vertAlign w:val="subscript"/>
        </w:rPr>
        <w:t>2</w:t>
      </w:r>
      <w:r>
        <w:rPr>
          <w:rFonts w:hint="eastAsia"/>
          <w:spacing w:val="4"/>
          <w:sz w:val="24"/>
        </w:rPr>
        <w:t>S</w:t>
      </w:r>
      <w:r>
        <w:rPr>
          <w:rFonts w:hint="eastAsia"/>
          <w:bCs/>
          <w:spacing w:val="4"/>
          <w:sz w:val="24"/>
        </w:rPr>
        <w:t>小时平均</w:t>
      </w:r>
      <w:r>
        <w:rPr>
          <w:bCs/>
          <w:spacing w:val="4"/>
          <w:sz w:val="24"/>
        </w:rPr>
        <w:t>浓度范围为</w:t>
      </w:r>
      <w:r>
        <w:rPr>
          <w:sz w:val="24"/>
        </w:rPr>
        <w:t>3</w:t>
      </w:r>
      <w:r>
        <w:rPr>
          <w:rFonts w:hint="eastAsia"/>
          <w:sz w:val="24"/>
        </w:rPr>
        <w:t>-6</w:t>
      </w:r>
      <w:r>
        <w:rPr>
          <w:rFonts w:eastAsia="仿宋"/>
          <w:sz w:val="24"/>
        </w:rPr>
        <w:t>μ</w:t>
      </w:r>
      <w:r>
        <w:rPr>
          <w:sz w:val="24"/>
        </w:rPr>
        <w:t>g/Nm</w:t>
      </w:r>
      <w:r>
        <w:rPr>
          <w:sz w:val="24"/>
          <w:vertAlign w:val="superscript"/>
        </w:rPr>
        <w:t>3</w:t>
      </w:r>
      <w:r>
        <w:rPr>
          <w:sz w:val="24"/>
        </w:rPr>
        <w:t>之间</w:t>
      </w:r>
      <w:r>
        <w:rPr>
          <w:bCs/>
          <w:spacing w:val="4"/>
          <w:sz w:val="24"/>
        </w:rPr>
        <w:t>，最大浓度占标</w:t>
      </w:r>
      <w:r>
        <w:rPr>
          <w:rFonts w:hint="eastAsia"/>
          <w:bCs/>
          <w:spacing w:val="4"/>
          <w:sz w:val="24"/>
        </w:rPr>
        <w:t>率为60.00</w:t>
      </w:r>
      <w:r>
        <w:rPr>
          <w:bCs/>
          <w:spacing w:val="4"/>
          <w:sz w:val="24"/>
        </w:rPr>
        <w:t>%</w:t>
      </w:r>
      <w:r>
        <w:rPr>
          <w:rFonts w:hint="eastAsia"/>
          <w:bCs/>
          <w:spacing w:val="4"/>
          <w:sz w:val="24"/>
        </w:rPr>
        <w:t>。</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.2.4</w:t>
      </w:r>
      <w:r>
        <w:rPr>
          <w:rFonts w:hint="eastAsia" w:ascii="宋体" w:hAnsi="宋体"/>
          <w:b/>
        </w:rPr>
        <w:t>环境空气质量现状评价</w:t>
      </w:r>
    </w:p>
    <w:p>
      <w:pPr>
        <w:spacing w:line="480" w:lineRule="exact"/>
        <w:ind w:firstLine="480" w:firstLineChars="200"/>
        <w:rPr>
          <w:sz w:val="24"/>
        </w:rPr>
      </w:pPr>
      <w:bookmarkStart w:id="74" w:name="_Hlk9001189"/>
      <w:r>
        <w:rPr>
          <w:sz w:val="24"/>
        </w:rPr>
        <w:t>由以上分析可知，</w:t>
      </w:r>
      <w:r>
        <w:rPr>
          <w:rFonts w:hint="eastAsia"/>
          <w:bCs/>
          <w:sz w:val="24"/>
          <w:szCs w:val="24"/>
        </w:rPr>
        <w:t>汾阳市201</w:t>
      </w:r>
      <w:r>
        <w:rPr>
          <w:bCs/>
          <w:sz w:val="24"/>
          <w:szCs w:val="24"/>
        </w:rPr>
        <w:t>8</w:t>
      </w:r>
      <w:r>
        <w:rPr>
          <w:rFonts w:hint="eastAsia"/>
          <w:bCs/>
          <w:sz w:val="24"/>
          <w:szCs w:val="24"/>
        </w:rPr>
        <w:t>年SO</w:t>
      </w:r>
      <w:r>
        <w:rPr>
          <w:rFonts w:hint="eastAsia"/>
          <w:bCs/>
          <w:sz w:val="24"/>
          <w:szCs w:val="24"/>
          <w:vertAlign w:val="subscript"/>
        </w:rPr>
        <w:t>2</w:t>
      </w:r>
      <w:r>
        <w:rPr>
          <w:rFonts w:hint="eastAsia"/>
          <w:bCs/>
          <w:sz w:val="24"/>
          <w:szCs w:val="24"/>
        </w:rPr>
        <w:t>、</w:t>
      </w:r>
      <w:r>
        <w:rPr>
          <w:bCs/>
          <w:sz w:val="24"/>
          <w:szCs w:val="24"/>
        </w:rPr>
        <w:t>O</w:t>
      </w:r>
      <w:r>
        <w:rPr>
          <w:bCs/>
          <w:sz w:val="24"/>
          <w:szCs w:val="24"/>
          <w:vertAlign w:val="subscript"/>
        </w:rPr>
        <w:t>3</w:t>
      </w:r>
      <w:r>
        <w:rPr>
          <w:rFonts w:hint="eastAsia"/>
          <w:bCs/>
          <w:sz w:val="24"/>
          <w:szCs w:val="24"/>
        </w:rPr>
        <w:t>、PM</w:t>
      </w:r>
      <w:r>
        <w:rPr>
          <w:rFonts w:hint="eastAsia"/>
          <w:bCs/>
          <w:sz w:val="24"/>
          <w:szCs w:val="24"/>
          <w:vertAlign w:val="subscript"/>
        </w:rPr>
        <w:t>10</w:t>
      </w:r>
      <w:r>
        <w:rPr>
          <w:rFonts w:hint="eastAsia"/>
          <w:bCs/>
          <w:sz w:val="24"/>
          <w:szCs w:val="24"/>
        </w:rPr>
        <w:t>和PM</w:t>
      </w:r>
      <w:r>
        <w:rPr>
          <w:rFonts w:hint="eastAsia"/>
          <w:bCs/>
          <w:sz w:val="24"/>
          <w:szCs w:val="24"/>
          <w:vertAlign w:val="subscript"/>
        </w:rPr>
        <w:t>2.5</w:t>
      </w:r>
      <w:r>
        <w:rPr>
          <w:rFonts w:hint="eastAsia"/>
          <w:bCs/>
          <w:sz w:val="24"/>
          <w:szCs w:val="24"/>
        </w:rPr>
        <w:t>年平均质量浓度均超标</w:t>
      </w:r>
      <w:r>
        <w:rPr>
          <w:rFonts w:hint="eastAsia"/>
          <w:sz w:val="24"/>
        </w:rPr>
        <w:t>，超标是受采暖季大量分散燃煤小锅炉排放污染物及汾阳市周边工业企业生产排放污染物影响所致，同时北方地区降水少，气候干燥不利于大气污染物沉降也是影响各污染物超标的原因之一。</w:t>
      </w:r>
      <w:r>
        <w:rPr>
          <w:sz w:val="24"/>
        </w:rPr>
        <w:t>评价区</w:t>
      </w:r>
      <w:r>
        <w:rPr>
          <w:rFonts w:hint="eastAsia"/>
          <w:bCs/>
          <w:sz w:val="24"/>
        </w:rPr>
        <w:t>李家沟村</w:t>
      </w:r>
      <w:r>
        <w:rPr>
          <w:sz w:val="24"/>
        </w:rPr>
        <w:t>监测点</w:t>
      </w:r>
      <w:r>
        <w:rPr>
          <w:rFonts w:hint="eastAsia"/>
          <w:sz w:val="24"/>
        </w:rPr>
        <w:t>中：HN</w:t>
      </w:r>
      <w:r>
        <w:rPr>
          <w:rFonts w:hint="eastAsia"/>
          <w:sz w:val="24"/>
          <w:vertAlign w:val="subscript"/>
        </w:rPr>
        <w:t>3</w:t>
      </w:r>
      <w:r>
        <w:rPr>
          <w:rFonts w:hint="eastAsia"/>
          <w:sz w:val="24"/>
        </w:rPr>
        <w:t>、H</w:t>
      </w:r>
      <w:r>
        <w:rPr>
          <w:rFonts w:hint="eastAsia"/>
          <w:sz w:val="24"/>
          <w:vertAlign w:val="subscript"/>
        </w:rPr>
        <w:t>2</w:t>
      </w:r>
      <w:r>
        <w:rPr>
          <w:rFonts w:hint="eastAsia"/>
          <w:sz w:val="24"/>
        </w:rPr>
        <w:t>S</w:t>
      </w:r>
      <w:r>
        <w:rPr>
          <w:rFonts w:hint="eastAsia"/>
          <w:spacing w:val="4"/>
          <w:sz w:val="24"/>
        </w:rPr>
        <w:t>小时浓度值满足《环境影响评价技术导则 大气环境》（HJ2.2-2018）附录D中其他污染物空气质量浓度限值</w:t>
      </w:r>
      <w:r>
        <w:rPr>
          <w:rFonts w:hint="eastAsia"/>
          <w:sz w:val="24"/>
        </w:rPr>
        <w:t>。</w:t>
      </w:r>
      <w:bookmarkEnd w:id="74"/>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4.3.</w:t>
      </w:r>
      <w:r>
        <w:rPr>
          <w:rFonts w:ascii="Times New Roman" w:hAnsi="Times New Roman" w:eastAsia="宋体"/>
          <w:b/>
        </w:rPr>
        <w:t>3</w:t>
      </w:r>
      <w:r>
        <w:rPr>
          <w:rFonts w:hint="eastAsia" w:ascii="宋体" w:hAnsi="宋体" w:eastAsia="宋体"/>
          <w:b/>
          <w:bCs/>
        </w:rPr>
        <w:t>地表水环境现状调查与评价</w:t>
      </w:r>
    </w:p>
    <w:p>
      <w:pPr>
        <w:spacing w:line="480" w:lineRule="exact"/>
        <w:ind w:firstLine="480" w:firstLineChars="200"/>
        <w:rPr>
          <w:sz w:val="24"/>
          <w:szCs w:val="24"/>
        </w:rPr>
      </w:pPr>
      <w:bookmarkStart w:id="75" w:name="_Hlk9001213"/>
      <w:r>
        <w:rPr>
          <w:rFonts w:hint="eastAsia"/>
          <w:sz w:val="24"/>
          <w:szCs w:val="24"/>
        </w:rPr>
        <w:t>养殖场废水主要包括鸡舍冲洗废水、职工生活污水、锅炉定排水和软水系统排水。项目排水采用雨污分流制；雨水经雨水收集管网收集后由场区路旁排水沟排出场外。鸡舍冲洗废水、锅炉定排水、软水制备系统排水、生活污水</w:t>
      </w:r>
      <w:r>
        <w:rPr>
          <w:rFonts w:hint="eastAsia"/>
          <w:kern w:val="0"/>
          <w:sz w:val="24"/>
        </w:rPr>
        <w:t>经污水收集池收集后由污水处理站处理达《农田灌溉水质标准》（</w:t>
      </w:r>
      <w:r>
        <w:rPr>
          <w:kern w:val="0"/>
          <w:sz w:val="24"/>
        </w:rPr>
        <w:t>GB5084-2005</w:t>
      </w:r>
      <w:r>
        <w:rPr>
          <w:rFonts w:hint="eastAsia"/>
          <w:kern w:val="0"/>
          <w:sz w:val="24"/>
        </w:rPr>
        <w:t>）中旱作标准后回用于农田灌溉；污水处理站采取</w:t>
      </w:r>
      <w:r>
        <w:rPr>
          <w:rFonts w:hint="eastAsia"/>
          <w:bCs/>
          <w:kern w:val="0"/>
          <w:sz w:val="24"/>
        </w:rPr>
        <w:t>地埋式污水处理设备，处理工艺为“生物接触氧化</w:t>
      </w:r>
      <w:r>
        <w:rPr>
          <w:bCs/>
          <w:kern w:val="0"/>
          <w:sz w:val="24"/>
        </w:rPr>
        <w:t>+</w:t>
      </w:r>
      <w:r>
        <w:rPr>
          <w:rFonts w:hint="eastAsia"/>
          <w:bCs/>
          <w:kern w:val="0"/>
          <w:sz w:val="24"/>
        </w:rPr>
        <w:t>沉淀</w:t>
      </w:r>
      <w:r>
        <w:rPr>
          <w:bCs/>
          <w:kern w:val="0"/>
          <w:sz w:val="24"/>
        </w:rPr>
        <w:t>+</w:t>
      </w:r>
      <w:r>
        <w:rPr>
          <w:rFonts w:hint="eastAsia"/>
          <w:bCs/>
          <w:kern w:val="0"/>
          <w:sz w:val="24"/>
        </w:rPr>
        <w:t>消毒”，消毒方式为紫外线消毒，处理能力为</w:t>
      </w:r>
      <w:r>
        <w:rPr>
          <w:bCs/>
          <w:kern w:val="0"/>
          <w:sz w:val="24"/>
        </w:rPr>
        <w:t>2m</w:t>
      </w:r>
      <w:r>
        <w:rPr>
          <w:bCs/>
          <w:kern w:val="0"/>
          <w:sz w:val="24"/>
          <w:vertAlign w:val="superscript"/>
        </w:rPr>
        <w:t>3</w:t>
      </w:r>
      <w:r>
        <w:rPr>
          <w:bCs/>
          <w:kern w:val="0"/>
          <w:sz w:val="24"/>
        </w:rPr>
        <w:t>/d</w:t>
      </w:r>
      <w:r>
        <w:rPr>
          <w:rFonts w:hint="eastAsia"/>
          <w:bCs/>
          <w:kern w:val="0"/>
          <w:sz w:val="24"/>
        </w:rPr>
        <w:t>，可以满足污水处理及回用要求。</w:t>
      </w:r>
    </w:p>
    <w:p>
      <w:pPr>
        <w:spacing w:line="480" w:lineRule="exact"/>
        <w:ind w:firstLine="480" w:firstLineChars="200"/>
        <w:rPr>
          <w:sz w:val="24"/>
          <w:szCs w:val="24"/>
        </w:rPr>
      </w:pPr>
      <w:r>
        <w:rPr>
          <w:rFonts w:hint="eastAsia"/>
          <w:sz w:val="24"/>
        </w:rPr>
        <w:t>本项目采暖期废水产生量=28.9×3（鸡舍冲洗废水）+</w:t>
      </w:r>
      <w:r>
        <w:rPr>
          <w:sz w:val="24"/>
        </w:rPr>
        <w:t>54</w:t>
      </w:r>
      <w:r>
        <w:rPr>
          <w:rFonts w:hint="eastAsia"/>
          <w:sz w:val="24"/>
        </w:rPr>
        <w:t>（锅炉定排水）+</w:t>
      </w:r>
      <w:r>
        <w:rPr>
          <w:sz w:val="24"/>
        </w:rPr>
        <w:t>27</w:t>
      </w:r>
      <w:r>
        <w:rPr>
          <w:rFonts w:hint="eastAsia"/>
          <w:sz w:val="24"/>
        </w:rPr>
        <w:t>（软水制备系统）+</w:t>
      </w:r>
      <w:r>
        <w:rPr>
          <w:sz w:val="24"/>
        </w:rPr>
        <w:t>65.7</w:t>
      </w:r>
      <w:r>
        <w:rPr>
          <w:rFonts w:hint="eastAsia"/>
          <w:sz w:val="24"/>
        </w:rPr>
        <w:t>（生活废水）=233.4m</w:t>
      </w:r>
      <w:r>
        <w:rPr>
          <w:rFonts w:hint="eastAsia"/>
          <w:sz w:val="24"/>
          <w:vertAlign w:val="superscript"/>
        </w:rPr>
        <w:t>3</w:t>
      </w:r>
      <w:r>
        <w:rPr>
          <w:rFonts w:hint="eastAsia"/>
          <w:sz w:val="24"/>
        </w:rPr>
        <w:t>；采暖期产生的废水</w:t>
      </w:r>
      <w:r>
        <w:rPr>
          <w:rFonts w:hint="eastAsia"/>
          <w:kern w:val="0"/>
          <w:sz w:val="24"/>
        </w:rPr>
        <w:t>由污水处理站处理达《农田灌溉水质标准》（GB5084-2005）中旱作标准后储存于出水收集池（</w:t>
      </w:r>
      <w:r>
        <w:rPr>
          <w:kern w:val="0"/>
          <w:sz w:val="24"/>
        </w:rPr>
        <w:t>250</w:t>
      </w:r>
      <w:r>
        <w:rPr>
          <w:rFonts w:hint="eastAsia"/>
          <w:kern w:val="0"/>
          <w:sz w:val="24"/>
        </w:rPr>
        <w:t>m</w:t>
      </w:r>
      <w:r>
        <w:rPr>
          <w:rFonts w:hint="eastAsia"/>
          <w:kern w:val="0"/>
          <w:sz w:val="24"/>
          <w:vertAlign w:val="superscript"/>
        </w:rPr>
        <w:t>3</w:t>
      </w:r>
      <w:r>
        <w:rPr>
          <w:rFonts w:hint="eastAsia"/>
          <w:kern w:val="0"/>
          <w:sz w:val="24"/>
        </w:rPr>
        <w:t>），待非采暖期用于农田灌溉。</w:t>
      </w:r>
    </w:p>
    <w:p>
      <w:pPr>
        <w:spacing w:line="480" w:lineRule="exact"/>
        <w:ind w:firstLine="480" w:firstLineChars="200"/>
        <w:rPr>
          <w:bCs/>
          <w:sz w:val="24"/>
          <w:szCs w:val="24"/>
        </w:rPr>
      </w:pPr>
      <w:r>
        <w:rPr>
          <w:sz w:val="24"/>
          <w:szCs w:val="24"/>
        </w:rPr>
        <w:t>根据《环境影响评价技术导则 地表水环境》（HJ2.3-2018），</w:t>
      </w:r>
      <w:r>
        <w:rPr>
          <w:rFonts w:hint="eastAsia"/>
          <w:sz w:val="24"/>
          <w:szCs w:val="24"/>
        </w:rPr>
        <w:t>建设项目生产工艺中有废水产生，但作为回水利用，不排放到外环境的，按三级B评价。</w:t>
      </w:r>
      <w:r>
        <w:rPr>
          <w:sz w:val="24"/>
          <w:szCs w:val="24"/>
        </w:rPr>
        <w:t>本项目无废水外排，地表水环境影响评价等级为三级B；本项目</w:t>
      </w:r>
      <w:r>
        <w:rPr>
          <w:rFonts w:hint="eastAsia"/>
          <w:sz w:val="24"/>
          <w:szCs w:val="24"/>
        </w:rPr>
        <w:t>仅对</w:t>
      </w:r>
      <w:r>
        <w:rPr>
          <w:sz w:val="24"/>
          <w:szCs w:val="24"/>
        </w:rPr>
        <w:t>生产废水</w:t>
      </w:r>
      <w:r>
        <w:rPr>
          <w:rFonts w:hint="eastAsia"/>
          <w:sz w:val="24"/>
          <w:szCs w:val="24"/>
        </w:rPr>
        <w:t>回用不外排的</w:t>
      </w:r>
      <w:r>
        <w:rPr>
          <w:sz w:val="24"/>
          <w:szCs w:val="24"/>
        </w:rPr>
        <w:t>可行性</w:t>
      </w:r>
      <w:r>
        <w:rPr>
          <w:rFonts w:hint="eastAsia"/>
          <w:sz w:val="24"/>
          <w:szCs w:val="24"/>
        </w:rPr>
        <w:t>进行</w:t>
      </w:r>
      <w:r>
        <w:rPr>
          <w:sz w:val="24"/>
          <w:szCs w:val="24"/>
        </w:rPr>
        <w:t>分析。</w:t>
      </w:r>
      <w:r>
        <w:rPr>
          <w:rFonts w:hint="eastAsia"/>
          <w:sz w:val="24"/>
          <w:szCs w:val="24"/>
        </w:rPr>
        <w:t>因此，未监测相关地表水环境质量。</w:t>
      </w:r>
      <w:bookmarkEnd w:id="75"/>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4.3.</w:t>
      </w:r>
      <w:r>
        <w:rPr>
          <w:rFonts w:ascii="Times New Roman" w:hAnsi="Times New Roman" w:eastAsia="宋体"/>
          <w:b/>
        </w:rPr>
        <w:t>4</w:t>
      </w:r>
      <w:r>
        <w:rPr>
          <w:rFonts w:hint="eastAsia" w:ascii="宋体" w:hAnsi="宋体" w:eastAsia="宋体"/>
          <w:b/>
          <w:bCs/>
        </w:rPr>
        <w:t>地下水环境现状调查与评价</w:t>
      </w:r>
    </w:p>
    <w:p>
      <w:pPr>
        <w:spacing w:line="480" w:lineRule="exact"/>
        <w:ind w:firstLine="480" w:firstLineChars="200"/>
        <w:rPr>
          <w:bCs/>
          <w:sz w:val="24"/>
          <w:szCs w:val="24"/>
        </w:rPr>
      </w:pPr>
      <w:r>
        <w:rPr>
          <w:rFonts w:hint="eastAsia"/>
          <w:bCs/>
          <w:kern w:val="0"/>
          <w:sz w:val="24"/>
          <w:szCs w:val="24"/>
        </w:rPr>
        <w:t>山西宏境检测科技有限公司</w:t>
      </w:r>
      <w:r>
        <w:rPr>
          <w:rFonts w:hint="eastAsia"/>
          <w:bCs/>
          <w:sz w:val="24"/>
          <w:szCs w:val="24"/>
        </w:rPr>
        <w:t>在</w:t>
      </w:r>
      <w:r>
        <w:rPr>
          <w:bCs/>
          <w:sz w:val="24"/>
          <w:szCs w:val="24"/>
        </w:rPr>
        <w:t>20</w:t>
      </w:r>
      <w:r>
        <w:rPr>
          <w:rFonts w:hint="eastAsia"/>
          <w:bCs/>
          <w:sz w:val="24"/>
          <w:szCs w:val="24"/>
        </w:rPr>
        <w:t>19</w:t>
      </w:r>
      <w:r>
        <w:rPr>
          <w:bCs/>
          <w:sz w:val="24"/>
          <w:szCs w:val="24"/>
        </w:rPr>
        <w:t>年</w:t>
      </w:r>
      <w:r>
        <w:rPr>
          <w:rFonts w:hint="eastAsia"/>
          <w:bCs/>
          <w:sz w:val="24"/>
          <w:szCs w:val="24"/>
        </w:rPr>
        <w:t>6</w:t>
      </w:r>
      <w:r>
        <w:rPr>
          <w:bCs/>
          <w:sz w:val="24"/>
          <w:szCs w:val="24"/>
        </w:rPr>
        <w:t>月2</w:t>
      </w:r>
      <w:r>
        <w:rPr>
          <w:rFonts w:hint="eastAsia"/>
          <w:bCs/>
          <w:sz w:val="24"/>
          <w:szCs w:val="24"/>
        </w:rPr>
        <w:t>1</w:t>
      </w:r>
      <w:r>
        <w:rPr>
          <w:bCs/>
          <w:sz w:val="24"/>
          <w:szCs w:val="24"/>
        </w:rPr>
        <w:t>日</w:t>
      </w:r>
      <w:r>
        <w:rPr>
          <w:rFonts w:hint="eastAsia"/>
          <w:bCs/>
          <w:sz w:val="24"/>
          <w:szCs w:val="24"/>
        </w:rPr>
        <w:t>就本区域地下水质量现状进行了为期1期的监测。</w:t>
      </w:r>
      <w:r>
        <w:rPr>
          <w:rFonts w:hAnsi="宋体"/>
          <w:sz w:val="24"/>
        </w:rPr>
        <w:t>该</w:t>
      </w:r>
      <w:r>
        <w:rPr>
          <w:rFonts w:hint="eastAsia" w:hAnsi="宋体"/>
          <w:sz w:val="24"/>
        </w:rPr>
        <w:t>期</w:t>
      </w:r>
      <w:r>
        <w:rPr>
          <w:rFonts w:hAnsi="宋体"/>
          <w:sz w:val="24"/>
        </w:rPr>
        <w:t>监测设置了</w:t>
      </w:r>
      <w:r>
        <w:rPr>
          <w:sz w:val="24"/>
        </w:rPr>
        <w:t>3</w:t>
      </w:r>
      <w:r>
        <w:rPr>
          <w:rFonts w:hAnsi="宋体"/>
          <w:sz w:val="24"/>
        </w:rPr>
        <w:t>个地下水环境水质现状监测点位</w:t>
      </w:r>
      <w:r>
        <w:rPr>
          <w:rFonts w:hint="eastAsia" w:hAnsi="宋体"/>
          <w:sz w:val="24"/>
        </w:rPr>
        <w:t>，</w:t>
      </w:r>
      <w:r>
        <w:rPr>
          <w:rFonts w:hAnsi="宋体"/>
          <w:sz w:val="24"/>
        </w:rPr>
        <w:t>6</w:t>
      </w:r>
      <w:r>
        <w:rPr>
          <w:rFonts w:hint="eastAsia" w:hAnsi="宋体"/>
          <w:sz w:val="24"/>
        </w:rPr>
        <w:t>个</w:t>
      </w:r>
      <w:r>
        <w:rPr>
          <w:rFonts w:hAnsi="宋体"/>
          <w:sz w:val="24"/>
        </w:rPr>
        <w:t>地下水水</w:t>
      </w:r>
      <w:r>
        <w:rPr>
          <w:rFonts w:hint="eastAsia" w:hAnsi="宋体"/>
          <w:sz w:val="24"/>
        </w:rPr>
        <w:t>位</w:t>
      </w:r>
      <w:r>
        <w:rPr>
          <w:rFonts w:hAnsi="宋体"/>
          <w:sz w:val="24"/>
        </w:rPr>
        <w:t>现状监测点位</w:t>
      </w:r>
      <w:r>
        <w:rPr>
          <w:rFonts w:hAnsi="宋体"/>
          <w:bCs/>
          <w:sz w:val="24"/>
        </w:rPr>
        <w:t>。</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w:t>
      </w:r>
      <w:r>
        <w:rPr>
          <w:rFonts w:hint="eastAsia"/>
          <w:b/>
        </w:rPr>
        <w:t>4</w:t>
      </w:r>
      <w:r>
        <w:rPr>
          <w:b/>
        </w:rPr>
        <w:t>.</w:t>
      </w:r>
      <w:r>
        <w:rPr>
          <w:rFonts w:hint="eastAsia"/>
          <w:b/>
        </w:rPr>
        <w:t>1</w:t>
      </w:r>
      <w:r>
        <w:rPr>
          <w:rFonts w:hint="eastAsia" w:ascii="宋体" w:hAnsi="宋体"/>
          <w:b/>
        </w:rPr>
        <w:t>监测点位、监测内容、分析方法</w:t>
      </w:r>
    </w:p>
    <w:p>
      <w:pPr>
        <w:snapToGrid w:val="0"/>
        <w:spacing w:line="480" w:lineRule="exact"/>
        <w:ind w:firstLine="480" w:firstLineChars="200"/>
        <w:rPr>
          <w:sz w:val="24"/>
          <w:szCs w:val="24"/>
        </w:rPr>
      </w:pPr>
      <w:r>
        <w:rPr>
          <w:rFonts w:hint="eastAsia"/>
          <w:sz w:val="24"/>
          <w:szCs w:val="24"/>
        </w:rPr>
        <w:t>监测点位设置见图4.3-1，监测内容见表4.3-7，采用分析方法见表4.3-8。</w:t>
      </w:r>
    </w:p>
    <w:p>
      <w:pPr>
        <w:widowControl/>
        <w:snapToGrid w:val="0"/>
        <w:spacing w:line="480" w:lineRule="exact"/>
        <w:jc w:val="center"/>
        <w:rPr>
          <w:rFonts w:ascii="黑体" w:hAnsi="黑体" w:eastAsia="黑体"/>
          <w:sz w:val="24"/>
          <w:szCs w:val="24"/>
        </w:rPr>
      </w:pPr>
      <w:r>
        <w:rPr>
          <w:rFonts w:hint="eastAsia" w:ascii="黑体" w:hAnsi="黑体" w:eastAsia="黑体"/>
          <w:sz w:val="24"/>
          <w:szCs w:val="24"/>
        </w:rPr>
        <w:t>表4.3-7  地下水质量现状监测内容</w:t>
      </w:r>
    </w:p>
    <w:tbl>
      <w:tblPr>
        <w:tblStyle w:val="31"/>
        <w:tblW w:w="89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5"/>
        <w:gridCol w:w="1701"/>
        <w:gridCol w:w="1842"/>
        <w:gridCol w:w="3686"/>
        <w:gridCol w:w="11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5" w:type="dxa"/>
            <w:vAlign w:val="center"/>
          </w:tcPr>
          <w:p>
            <w:pPr>
              <w:snapToGrid w:val="0"/>
              <w:spacing w:line="240" w:lineRule="atLeast"/>
              <w:jc w:val="center"/>
              <w:rPr>
                <w:szCs w:val="21"/>
              </w:rPr>
            </w:pPr>
            <w:r>
              <w:rPr>
                <w:szCs w:val="21"/>
              </w:rPr>
              <w:t>编号</w:t>
            </w:r>
          </w:p>
        </w:tc>
        <w:tc>
          <w:tcPr>
            <w:tcW w:w="3543" w:type="dxa"/>
            <w:gridSpan w:val="2"/>
            <w:tcBorders>
              <w:bottom w:val="single" w:color="auto" w:sz="6" w:space="0"/>
              <w:right w:val="single" w:color="auto" w:sz="4" w:space="0"/>
            </w:tcBorders>
            <w:vAlign w:val="center"/>
          </w:tcPr>
          <w:p>
            <w:pPr>
              <w:snapToGrid w:val="0"/>
              <w:spacing w:line="240" w:lineRule="atLeast"/>
              <w:jc w:val="center"/>
              <w:rPr>
                <w:szCs w:val="21"/>
              </w:rPr>
            </w:pPr>
            <w:r>
              <w:rPr>
                <w:szCs w:val="21"/>
              </w:rPr>
              <w:t>监测点名称</w:t>
            </w:r>
          </w:p>
        </w:tc>
        <w:tc>
          <w:tcPr>
            <w:tcW w:w="3686" w:type="dxa"/>
            <w:tcBorders>
              <w:left w:val="single" w:color="auto" w:sz="4" w:space="0"/>
              <w:bottom w:val="single" w:color="auto" w:sz="4" w:space="0"/>
              <w:right w:val="single" w:color="auto" w:sz="4" w:space="0"/>
            </w:tcBorders>
            <w:vAlign w:val="center"/>
          </w:tcPr>
          <w:p>
            <w:pPr>
              <w:snapToGrid w:val="0"/>
              <w:spacing w:line="240" w:lineRule="atLeast"/>
              <w:jc w:val="center"/>
              <w:rPr>
                <w:szCs w:val="21"/>
              </w:rPr>
            </w:pPr>
            <w:r>
              <w:rPr>
                <w:szCs w:val="21"/>
              </w:rPr>
              <w:t>监测项目</w:t>
            </w:r>
          </w:p>
        </w:tc>
        <w:tc>
          <w:tcPr>
            <w:tcW w:w="1183" w:type="dxa"/>
            <w:tcBorders>
              <w:left w:val="single" w:color="auto" w:sz="4" w:space="0"/>
              <w:bottom w:val="single" w:color="auto" w:sz="4" w:space="0"/>
            </w:tcBorders>
            <w:vAlign w:val="center"/>
          </w:tcPr>
          <w:p>
            <w:pPr>
              <w:snapToGrid w:val="0"/>
              <w:spacing w:line="240" w:lineRule="atLeast"/>
              <w:jc w:val="center"/>
              <w:rPr>
                <w:szCs w:val="21"/>
              </w:rPr>
            </w:pPr>
            <w:r>
              <w:rPr>
                <w:rFonts w:hint="eastAsia"/>
                <w:szCs w:val="21"/>
              </w:rPr>
              <w:t>时间频次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5" w:type="dxa"/>
            <w:vAlign w:val="center"/>
          </w:tcPr>
          <w:p>
            <w:pPr>
              <w:snapToGrid w:val="0"/>
              <w:spacing w:line="240" w:lineRule="atLeast"/>
              <w:jc w:val="center"/>
              <w:rPr>
                <w:szCs w:val="21"/>
                <w:vertAlign w:val="superscript"/>
              </w:rPr>
            </w:pPr>
            <w:r>
              <w:rPr>
                <w:rFonts w:hint="eastAsia"/>
                <w:szCs w:val="21"/>
              </w:rPr>
              <w:t>1</w:t>
            </w:r>
          </w:p>
        </w:tc>
        <w:tc>
          <w:tcPr>
            <w:tcW w:w="1701" w:type="dxa"/>
            <w:tcBorders>
              <w:top w:val="single" w:color="auto" w:sz="6" w:space="0"/>
              <w:bottom w:val="single" w:color="auto" w:sz="6" w:space="0"/>
            </w:tcBorders>
            <w:vAlign w:val="center"/>
          </w:tcPr>
          <w:p>
            <w:pPr>
              <w:pStyle w:val="54"/>
              <w:spacing w:line="240" w:lineRule="auto"/>
            </w:pPr>
            <w:r>
              <w:rPr>
                <w:rFonts w:hint="eastAsia"/>
              </w:rPr>
              <w:t>柏草坡村水井</w:t>
            </w:r>
          </w:p>
        </w:tc>
        <w:tc>
          <w:tcPr>
            <w:tcW w:w="1842" w:type="dxa"/>
            <w:tcBorders>
              <w:top w:val="single" w:color="auto" w:sz="6" w:space="0"/>
              <w:bottom w:val="single" w:color="auto" w:sz="6" w:space="0"/>
              <w:right w:val="single" w:color="auto" w:sz="4" w:space="0"/>
            </w:tcBorders>
            <w:vAlign w:val="center"/>
          </w:tcPr>
          <w:p>
            <w:pPr>
              <w:pStyle w:val="54"/>
              <w:spacing w:line="240" w:lineRule="auto"/>
            </w:pPr>
            <w:r>
              <w:rPr>
                <w:rFonts w:hAnsi="宋体"/>
              </w:rPr>
              <w:t>上游</w:t>
            </w:r>
            <w:r>
              <w:rPr>
                <w:rFonts w:hint="eastAsia"/>
              </w:rPr>
              <w:t>，</w:t>
            </w:r>
            <w:r>
              <w:rPr>
                <w:rFonts w:hAnsi="宋体"/>
              </w:rPr>
              <w:t>水质水位</w:t>
            </w:r>
          </w:p>
        </w:tc>
        <w:tc>
          <w:tcPr>
            <w:tcW w:w="3686" w:type="dxa"/>
            <w:vMerge w:val="restart"/>
            <w:tcBorders>
              <w:left w:val="single" w:color="auto" w:sz="4" w:space="0"/>
              <w:right w:val="single" w:color="auto" w:sz="4" w:space="0"/>
            </w:tcBorders>
            <w:vAlign w:val="center"/>
          </w:tcPr>
          <w:p>
            <w:pPr>
              <w:snapToGrid w:val="0"/>
              <w:spacing w:line="240" w:lineRule="atLeast"/>
              <w:jc w:val="center"/>
              <w:rPr>
                <w:szCs w:val="21"/>
              </w:rPr>
            </w:pPr>
            <w:r>
              <w:rPr>
                <w:szCs w:val="21"/>
              </w:rPr>
              <w:t>K</w:t>
            </w:r>
            <w:r>
              <w:rPr>
                <w:szCs w:val="21"/>
                <w:vertAlign w:val="superscript"/>
              </w:rPr>
              <w:t>+</w:t>
            </w:r>
            <w:r>
              <w:rPr>
                <w:szCs w:val="21"/>
              </w:rPr>
              <w:t>、Na</w:t>
            </w:r>
            <w:r>
              <w:rPr>
                <w:szCs w:val="21"/>
                <w:vertAlign w:val="superscript"/>
              </w:rPr>
              <w:t>+</w:t>
            </w:r>
            <w:r>
              <w:rPr>
                <w:rFonts w:hAnsi="Calibri"/>
                <w:szCs w:val="21"/>
              </w:rPr>
              <w:t>、</w:t>
            </w:r>
            <w:r>
              <w:rPr>
                <w:szCs w:val="21"/>
              </w:rPr>
              <w:t>Ca</w:t>
            </w:r>
            <w:r>
              <w:rPr>
                <w:szCs w:val="21"/>
                <w:vertAlign w:val="superscript"/>
              </w:rPr>
              <w:t>2+</w:t>
            </w:r>
            <w:r>
              <w:rPr>
                <w:rFonts w:hAnsi="Calibri"/>
                <w:szCs w:val="21"/>
              </w:rPr>
              <w:t>、</w:t>
            </w:r>
            <w:r>
              <w:rPr>
                <w:szCs w:val="21"/>
              </w:rPr>
              <w:t>Mg</w:t>
            </w:r>
            <w:r>
              <w:rPr>
                <w:szCs w:val="21"/>
                <w:vertAlign w:val="superscript"/>
              </w:rPr>
              <w:t>2+</w:t>
            </w:r>
            <w:r>
              <w:rPr>
                <w:rFonts w:hAnsi="Calibri"/>
                <w:szCs w:val="21"/>
              </w:rPr>
              <w:t>、</w:t>
            </w:r>
            <w:r>
              <w:rPr>
                <w:szCs w:val="21"/>
              </w:rPr>
              <w:t>CO</w:t>
            </w:r>
            <w:r>
              <w:rPr>
                <w:szCs w:val="21"/>
                <w:vertAlign w:val="subscript"/>
              </w:rPr>
              <w:t>3</w:t>
            </w:r>
            <w:r>
              <w:rPr>
                <w:szCs w:val="21"/>
                <w:vertAlign w:val="superscript"/>
              </w:rPr>
              <w:t>2-</w:t>
            </w:r>
            <w:r>
              <w:rPr>
                <w:rFonts w:hAnsi="Calibri"/>
                <w:szCs w:val="21"/>
              </w:rPr>
              <w:t>、</w:t>
            </w:r>
            <w:r>
              <w:rPr>
                <w:szCs w:val="21"/>
              </w:rPr>
              <w:t>HCO</w:t>
            </w:r>
            <w:r>
              <w:rPr>
                <w:szCs w:val="21"/>
                <w:vertAlign w:val="subscript"/>
              </w:rPr>
              <w:t>3</w:t>
            </w:r>
            <w:r>
              <w:rPr>
                <w:szCs w:val="21"/>
                <w:vertAlign w:val="superscript"/>
              </w:rPr>
              <w:t>-</w:t>
            </w:r>
            <w:r>
              <w:rPr>
                <w:szCs w:val="21"/>
              </w:rPr>
              <w:t>；pH</w:t>
            </w:r>
            <w:r>
              <w:rPr>
                <w:rFonts w:hAnsi="Calibri"/>
                <w:szCs w:val="21"/>
              </w:rPr>
              <w:t>、氨氮、硝酸盐、亚硝酸盐、挥发性酚类、氰化物、砷、汞、铬</w:t>
            </w:r>
            <w:r>
              <w:rPr>
                <w:szCs w:val="21"/>
              </w:rPr>
              <w:t>(</w:t>
            </w:r>
            <w:r>
              <w:rPr>
                <w:rFonts w:hAnsi="Calibri"/>
                <w:szCs w:val="21"/>
              </w:rPr>
              <w:t>六价</w:t>
            </w:r>
            <w:r>
              <w:rPr>
                <w:szCs w:val="21"/>
              </w:rPr>
              <w:t>)</w:t>
            </w:r>
            <w:r>
              <w:rPr>
                <w:rFonts w:hAnsi="Calibri"/>
                <w:szCs w:val="21"/>
              </w:rPr>
              <w:t>、总硬度、铅、氟、镉、铁、锰、溶解性总固体、高锰酸盐指数、硫酸盐、氯化物、总大肠菌群、细菌总数；水位</w:t>
            </w:r>
          </w:p>
        </w:tc>
        <w:tc>
          <w:tcPr>
            <w:tcW w:w="1183" w:type="dxa"/>
            <w:vMerge w:val="restart"/>
            <w:tcBorders>
              <w:left w:val="single" w:color="auto" w:sz="4" w:space="0"/>
            </w:tcBorders>
            <w:vAlign w:val="center"/>
          </w:tcPr>
          <w:p>
            <w:pPr>
              <w:snapToGrid w:val="0"/>
              <w:spacing w:line="240" w:lineRule="atLeast"/>
              <w:rPr>
                <w:szCs w:val="21"/>
              </w:rPr>
            </w:pPr>
            <w:r>
              <w:rPr>
                <w:rFonts w:hint="eastAsia"/>
                <w:szCs w:val="21"/>
              </w:rPr>
              <w:t>2019.6.</w:t>
            </w:r>
            <w:r>
              <w:rPr>
                <w:szCs w:val="21"/>
              </w:rPr>
              <w:t>2</w:t>
            </w:r>
            <w:r>
              <w:rPr>
                <w:rFonts w:hint="eastAsia"/>
                <w:szCs w:val="21"/>
              </w:rPr>
              <w:t>1</w:t>
            </w:r>
          </w:p>
          <w:p>
            <w:pPr>
              <w:snapToGrid w:val="0"/>
              <w:spacing w:line="240" w:lineRule="atLeast"/>
              <w:rPr>
                <w:szCs w:val="21"/>
              </w:rPr>
            </w:pPr>
            <w:r>
              <w:rPr>
                <w:rFonts w:hint="eastAsia"/>
                <w:szCs w:val="21"/>
              </w:rPr>
              <w:t>一期监测，每期1次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5" w:type="dxa"/>
            <w:vAlign w:val="center"/>
          </w:tcPr>
          <w:p>
            <w:pPr>
              <w:snapToGrid w:val="0"/>
              <w:spacing w:line="240" w:lineRule="atLeast"/>
              <w:jc w:val="center"/>
              <w:rPr>
                <w:szCs w:val="21"/>
              </w:rPr>
            </w:pPr>
            <w:r>
              <w:rPr>
                <w:szCs w:val="21"/>
              </w:rPr>
              <w:t>2</w:t>
            </w:r>
          </w:p>
        </w:tc>
        <w:tc>
          <w:tcPr>
            <w:tcW w:w="1701" w:type="dxa"/>
            <w:tcBorders>
              <w:top w:val="single" w:color="000000" w:themeColor="text1" w:sz="4" w:space="0"/>
              <w:bottom w:val="single" w:color="000000" w:themeColor="text1" w:sz="4" w:space="0"/>
            </w:tcBorders>
            <w:vAlign w:val="center"/>
          </w:tcPr>
          <w:p>
            <w:pPr>
              <w:pStyle w:val="54"/>
              <w:spacing w:line="240" w:lineRule="auto"/>
            </w:pPr>
            <w:r>
              <w:rPr>
                <w:rFonts w:hint="eastAsia"/>
              </w:rPr>
              <w:t>厂区内水井</w:t>
            </w:r>
          </w:p>
        </w:tc>
        <w:tc>
          <w:tcPr>
            <w:tcW w:w="1842" w:type="dxa"/>
            <w:tcBorders>
              <w:top w:val="single" w:color="000000" w:themeColor="text1" w:sz="4" w:space="0"/>
              <w:bottom w:val="single" w:color="000000" w:themeColor="text1" w:sz="4" w:space="0"/>
              <w:right w:val="single" w:color="auto" w:sz="4" w:space="0"/>
            </w:tcBorders>
            <w:vAlign w:val="center"/>
          </w:tcPr>
          <w:p>
            <w:pPr>
              <w:pStyle w:val="54"/>
              <w:spacing w:line="240" w:lineRule="auto"/>
            </w:pPr>
            <w:r>
              <w:rPr>
                <w:rFonts w:hint="eastAsia"/>
              </w:rPr>
              <w:t>厂址，水质水位</w:t>
            </w:r>
          </w:p>
        </w:tc>
        <w:tc>
          <w:tcPr>
            <w:tcW w:w="3686" w:type="dxa"/>
            <w:vMerge w:val="continue"/>
            <w:tcBorders>
              <w:left w:val="single" w:color="auto" w:sz="4" w:space="0"/>
              <w:right w:val="single" w:color="auto" w:sz="4" w:space="0"/>
            </w:tcBorders>
            <w:vAlign w:val="center"/>
          </w:tcPr>
          <w:p>
            <w:pPr>
              <w:snapToGrid w:val="0"/>
              <w:spacing w:line="240" w:lineRule="atLeast"/>
              <w:jc w:val="center"/>
              <w:rPr>
                <w:szCs w:val="21"/>
              </w:rPr>
            </w:pPr>
          </w:p>
        </w:tc>
        <w:tc>
          <w:tcPr>
            <w:tcW w:w="1183" w:type="dxa"/>
            <w:vMerge w:val="continue"/>
            <w:tcBorders>
              <w:left w:val="single" w:color="auto" w:sz="4" w:space="0"/>
            </w:tcBorders>
            <w:vAlign w:val="center"/>
          </w:tcPr>
          <w:p>
            <w:pPr>
              <w:snapToGrid w:val="0"/>
              <w:spacing w:line="24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5" w:type="dxa"/>
            <w:vAlign w:val="center"/>
          </w:tcPr>
          <w:p>
            <w:pPr>
              <w:snapToGrid w:val="0"/>
              <w:spacing w:line="240" w:lineRule="atLeast"/>
              <w:jc w:val="center"/>
              <w:rPr>
                <w:szCs w:val="21"/>
              </w:rPr>
            </w:pPr>
            <w:r>
              <w:rPr>
                <w:szCs w:val="21"/>
              </w:rPr>
              <w:t>3</w:t>
            </w:r>
          </w:p>
        </w:tc>
        <w:tc>
          <w:tcPr>
            <w:tcW w:w="1701" w:type="dxa"/>
            <w:tcBorders>
              <w:top w:val="single" w:color="000000" w:themeColor="text1" w:sz="4" w:space="0"/>
              <w:bottom w:val="single" w:color="000000" w:themeColor="text1" w:sz="4" w:space="0"/>
            </w:tcBorders>
            <w:vAlign w:val="center"/>
          </w:tcPr>
          <w:p>
            <w:pPr>
              <w:pStyle w:val="54"/>
              <w:spacing w:line="240" w:lineRule="auto"/>
            </w:pPr>
            <w:r>
              <w:rPr>
                <w:rFonts w:hint="eastAsia"/>
              </w:rPr>
              <w:t>圪塔村水井</w:t>
            </w:r>
          </w:p>
        </w:tc>
        <w:tc>
          <w:tcPr>
            <w:tcW w:w="1842" w:type="dxa"/>
            <w:tcBorders>
              <w:top w:val="single" w:color="000000" w:themeColor="text1" w:sz="4" w:space="0"/>
              <w:bottom w:val="single" w:color="000000" w:themeColor="text1" w:sz="4" w:space="0"/>
              <w:right w:val="single" w:color="auto" w:sz="4" w:space="0"/>
            </w:tcBorders>
            <w:vAlign w:val="center"/>
          </w:tcPr>
          <w:p>
            <w:pPr>
              <w:pStyle w:val="54"/>
              <w:spacing w:line="240" w:lineRule="auto"/>
            </w:pPr>
            <w:r>
              <w:rPr>
                <w:rFonts w:hint="eastAsia"/>
              </w:rPr>
              <w:t>下游，水质水位</w:t>
            </w:r>
          </w:p>
        </w:tc>
        <w:tc>
          <w:tcPr>
            <w:tcW w:w="3686" w:type="dxa"/>
            <w:vMerge w:val="continue"/>
            <w:tcBorders>
              <w:left w:val="single" w:color="auto" w:sz="4" w:space="0"/>
              <w:right w:val="single" w:color="auto" w:sz="4" w:space="0"/>
            </w:tcBorders>
            <w:vAlign w:val="center"/>
          </w:tcPr>
          <w:p>
            <w:pPr>
              <w:snapToGrid w:val="0"/>
              <w:spacing w:line="240" w:lineRule="atLeast"/>
              <w:jc w:val="center"/>
              <w:rPr>
                <w:szCs w:val="21"/>
              </w:rPr>
            </w:pPr>
          </w:p>
        </w:tc>
        <w:tc>
          <w:tcPr>
            <w:tcW w:w="1183" w:type="dxa"/>
            <w:vMerge w:val="continue"/>
            <w:tcBorders>
              <w:left w:val="single" w:color="auto" w:sz="4" w:space="0"/>
            </w:tcBorders>
            <w:vAlign w:val="center"/>
          </w:tcPr>
          <w:p>
            <w:pPr>
              <w:snapToGrid w:val="0"/>
              <w:spacing w:line="24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5" w:type="dxa"/>
            <w:vAlign w:val="center"/>
          </w:tcPr>
          <w:p>
            <w:pPr>
              <w:snapToGrid w:val="0"/>
              <w:spacing w:line="240" w:lineRule="atLeast"/>
              <w:jc w:val="center"/>
              <w:rPr>
                <w:szCs w:val="21"/>
              </w:rPr>
            </w:pPr>
            <w:r>
              <w:rPr>
                <w:szCs w:val="21"/>
              </w:rPr>
              <w:t>4</w:t>
            </w:r>
          </w:p>
        </w:tc>
        <w:tc>
          <w:tcPr>
            <w:tcW w:w="1701" w:type="dxa"/>
            <w:tcBorders>
              <w:top w:val="single" w:color="000000" w:themeColor="text1" w:sz="4" w:space="0"/>
              <w:bottom w:val="single" w:color="000000" w:themeColor="text1" w:sz="4" w:space="0"/>
            </w:tcBorders>
            <w:vAlign w:val="center"/>
          </w:tcPr>
          <w:p>
            <w:pPr>
              <w:pStyle w:val="54"/>
              <w:spacing w:line="240" w:lineRule="auto"/>
            </w:pPr>
            <w:r>
              <w:rPr>
                <w:rFonts w:hint="eastAsia"/>
              </w:rPr>
              <w:t>姜垣村水井</w:t>
            </w:r>
          </w:p>
        </w:tc>
        <w:tc>
          <w:tcPr>
            <w:tcW w:w="1842" w:type="dxa"/>
            <w:tcBorders>
              <w:top w:val="single" w:color="000000" w:themeColor="text1" w:sz="4" w:space="0"/>
              <w:bottom w:val="single" w:color="000000" w:themeColor="text1" w:sz="4" w:space="0"/>
              <w:right w:val="single" w:color="auto" w:sz="4" w:space="0"/>
            </w:tcBorders>
            <w:vAlign w:val="center"/>
          </w:tcPr>
          <w:p>
            <w:pPr>
              <w:pStyle w:val="54"/>
              <w:spacing w:line="240" w:lineRule="auto"/>
            </w:pPr>
            <w:r>
              <w:rPr>
                <w:rFonts w:hint="eastAsia"/>
              </w:rPr>
              <w:t>水位</w:t>
            </w:r>
          </w:p>
        </w:tc>
        <w:tc>
          <w:tcPr>
            <w:tcW w:w="3686" w:type="dxa"/>
            <w:vMerge w:val="restart"/>
            <w:tcBorders>
              <w:top w:val="single" w:color="000000" w:themeColor="text1" w:sz="4" w:space="0"/>
              <w:left w:val="single" w:color="auto" w:sz="4" w:space="0"/>
              <w:right w:val="single" w:color="auto" w:sz="4" w:space="0"/>
            </w:tcBorders>
            <w:vAlign w:val="center"/>
          </w:tcPr>
          <w:p>
            <w:pPr>
              <w:snapToGrid w:val="0"/>
              <w:spacing w:line="240" w:lineRule="atLeast"/>
              <w:jc w:val="center"/>
              <w:rPr>
                <w:szCs w:val="21"/>
              </w:rPr>
            </w:pPr>
            <w:r>
              <w:rPr>
                <w:rFonts w:hint="eastAsia"/>
                <w:szCs w:val="21"/>
              </w:rPr>
              <w:t>水位</w:t>
            </w:r>
          </w:p>
        </w:tc>
        <w:tc>
          <w:tcPr>
            <w:tcW w:w="1183" w:type="dxa"/>
            <w:vMerge w:val="continue"/>
            <w:tcBorders>
              <w:left w:val="single" w:color="auto" w:sz="4" w:space="0"/>
            </w:tcBorders>
            <w:vAlign w:val="center"/>
          </w:tcPr>
          <w:p>
            <w:pPr>
              <w:snapToGrid w:val="0"/>
              <w:spacing w:line="24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5" w:type="dxa"/>
            <w:vAlign w:val="center"/>
          </w:tcPr>
          <w:p>
            <w:pPr>
              <w:snapToGrid w:val="0"/>
              <w:spacing w:line="240" w:lineRule="atLeast"/>
              <w:jc w:val="center"/>
              <w:rPr>
                <w:szCs w:val="21"/>
              </w:rPr>
            </w:pPr>
            <w:r>
              <w:rPr>
                <w:szCs w:val="21"/>
              </w:rPr>
              <w:t>5</w:t>
            </w:r>
          </w:p>
        </w:tc>
        <w:tc>
          <w:tcPr>
            <w:tcW w:w="1701" w:type="dxa"/>
            <w:tcBorders>
              <w:top w:val="single" w:color="000000" w:themeColor="text1" w:sz="4" w:space="0"/>
              <w:bottom w:val="single" w:color="000000" w:themeColor="text1" w:sz="4" w:space="0"/>
            </w:tcBorders>
            <w:vAlign w:val="center"/>
          </w:tcPr>
          <w:p>
            <w:pPr>
              <w:pStyle w:val="54"/>
              <w:spacing w:line="240" w:lineRule="auto"/>
            </w:pPr>
            <w:r>
              <w:rPr>
                <w:rFonts w:hint="eastAsia"/>
              </w:rPr>
              <w:t>水泉村水井</w:t>
            </w:r>
          </w:p>
        </w:tc>
        <w:tc>
          <w:tcPr>
            <w:tcW w:w="1842" w:type="dxa"/>
            <w:tcBorders>
              <w:top w:val="single" w:color="000000" w:themeColor="text1" w:sz="4" w:space="0"/>
              <w:bottom w:val="single" w:color="000000" w:themeColor="text1" w:sz="4" w:space="0"/>
              <w:right w:val="single" w:color="auto" w:sz="4" w:space="0"/>
            </w:tcBorders>
            <w:vAlign w:val="center"/>
          </w:tcPr>
          <w:p>
            <w:pPr>
              <w:pStyle w:val="54"/>
              <w:spacing w:line="240" w:lineRule="auto"/>
            </w:pPr>
            <w:r>
              <w:rPr>
                <w:rFonts w:hint="eastAsia"/>
              </w:rPr>
              <w:t>水位</w:t>
            </w:r>
          </w:p>
        </w:tc>
        <w:tc>
          <w:tcPr>
            <w:tcW w:w="3686" w:type="dxa"/>
            <w:vMerge w:val="continue"/>
            <w:tcBorders>
              <w:left w:val="single" w:color="auto" w:sz="4" w:space="0"/>
              <w:right w:val="single" w:color="auto" w:sz="4" w:space="0"/>
            </w:tcBorders>
            <w:vAlign w:val="center"/>
          </w:tcPr>
          <w:p>
            <w:pPr>
              <w:snapToGrid w:val="0"/>
              <w:spacing w:line="240" w:lineRule="atLeast"/>
              <w:rPr>
                <w:szCs w:val="21"/>
              </w:rPr>
            </w:pPr>
          </w:p>
        </w:tc>
        <w:tc>
          <w:tcPr>
            <w:tcW w:w="1183" w:type="dxa"/>
            <w:vMerge w:val="continue"/>
            <w:tcBorders>
              <w:left w:val="single" w:color="auto" w:sz="4" w:space="0"/>
            </w:tcBorders>
            <w:vAlign w:val="center"/>
          </w:tcPr>
          <w:p>
            <w:pPr>
              <w:snapToGrid w:val="0"/>
              <w:spacing w:line="24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5" w:type="dxa"/>
            <w:vAlign w:val="center"/>
          </w:tcPr>
          <w:p>
            <w:pPr>
              <w:snapToGrid w:val="0"/>
              <w:spacing w:line="240" w:lineRule="atLeast"/>
              <w:jc w:val="center"/>
              <w:rPr>
                <w:szCs w:val="21"/>
              </w:rPr>
            </w:pPr>
            <w:r>
              <w:rPr>
                <w:szCs w:val="21"/>
              </w:rPr>
              <w:t>6</w:t>
            </w:r>
          </w:p>
        </w:tc>
        <w:tc>
          <w:tcPr>
            <w:tcW w:w="1701" w:type="dxa"/>
            <w:tcBorders>
              <w:top w:val="single" w:color="000000" w:themeColor="text1" w:sz="4" w:space="0"/>
            </w:tcBorders>
            <w:vAlign w:val="center"/>
          </w:tcPr>
          <w:p>
            <w:pPr>
              <w:pStyle w:val="54"/>
              <w:spacing w:line="240" w:lineRule="auto"/>
            </w:pPr>
            <w:r>
              <w:rPr>
                <w:rFonts w:hint="eastAsia"/>
              </w:rPr>
              <w:t>李家沟村水井</w:t>
            </w:r>
          </w:p>
        </w:tc>
        <w:tc>
          <w:tcPr>
            <w:tcW w:w="1842" w:type="dxa"/>
            <w:tcBorders>
              <w:top w:val="single" w:color="000000" w:themeColor="text1" w:sz="4" w:space="0"/>
              <w:bottom w:val="single" w:color="auto" w:sz="4" w:space="0"/>
              <w:right w:val="single" w:color="auto" w:sz="4" w:space="0"/>
            </w:tcBorders>
            <w:vAlign w:val="center"/>
          </w:tcPr>
          <w:p>
            <w:pPr>
              <w:pStyle w:val="54"/>
              <w:spacing w:line="240" w:lineRule="auto"/>
            </w:pPr>
            <w:r>
              <w:rPr>
                <w:rFonts w:hint="eastAsia"/>
              </w:rPr>
              <w:t>水位</w:t>
            </w:r>
          </w:p>
        </w:tc>
        <w:tc>
          <w:tcPr>
            <w:tcW w:w="3686" w:type="dxa"/>
            <w:vMerge w:val="continue"/>
            <w:tcBorders>
              <w:left w:val="single" w:color="auto" w:sz="4" w:space="0"/>
              <w:right w:val="single" w:color="auto" w:sz="4" w:space="0"/>
            </w:tcBorders>
            <w:vAlign w:val="center"/>
          </w:tcPr>
          <w:p>
            <w:pPr>
              <w:snapToGrid w:val="0"/>
              <w:spacing w:line="240" w:lineRule="atLeast"/>
              <w:rPr>
                <w:szCs w:val="21"/>
              </w:rPr>
            </w:pPr>
          </w:p>
        </w:tc>
        <w:tc>
          <w:tcPr>
            <w:tcW w:w="1183" w:type="dxa"/>
            <w:vMerge w:val="continue"/>
            <w:tcBorders>
              <w:left w:val="single" w:color="auto" w:sz="4" w:space="0"/>
            </w:tcBorders>
            <w:vAlign w:val="center"/>
          </w:tcPr>
          <w:p>
            <w:pPr>
              <w:snapToGrid w:val="0"/>
              <w:spacing w:line="240" w:lineRule="atLeast"/>
              <w:rPr>
                <w:szCs w:val="21"/>
              </w:rPr>
            </w:pPr>
          </w:p>
        </w:tc>
      </w:tr>
    </w:tbl>
    <w:p>
      <w:pPr>
        <w:pStyle w:val="57"/>
        <w:spacing w:before="0" w:after="0" w:line="480" w:lineRule="exact"/>
        <w:ind w:firstLine="0" w:firstLineChars="0"/>
        <w:jc w:val="center"/>
        <w:rPr>
          <w:rFonts w:ascii="黑体" w:hAnsi="黑体" w:eastAsia="黑体"/>
        </w:rPr>
      </w:pPr>
      <w:r>
        <w:rPr>
          <w:rFonts w:hint="eastAsia" w:ascii="黑体" w:hAnsi="黑体" w:eastAsia="黑体"/>
        </w:rPr>
        <w:t>表4.3-8  地下水因子分析方法</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32"/>
        <w:gridCol w:w="1526"/>
        <w:gridCol w:w="1970"/>
        <w:gridCol w:w="3354"/>
        <w:gridCol w:w="157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bookmarkStart w:id="76" w:name="_Hlk9001230"/>
            <w:r>
              <w:rPr>
                <w:rFonts w:hint="eastAsia"/>
                <w:sz w:val="21"/>
                <w:szCs w:val="21"/>
              </w:rPr>
              <w:t>序号</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环境空气因子</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标准依据</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监测方法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检出限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pH值</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w:t>
            </w:r>
            <w:r>
              <w:rPr>
                <w:sz w:val="21"/>
                <w:szCs w:val="21"/>
              </w:rPr>
              <w:t>6920-86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玻璃电极法</w:t>
            </w:r>
          </w:p>
        </w:tc>
        <w:tc>
          <w:tcPr>
            <w:tcW w:w="871" w:type="pct"/>
            <w:vAlign w:val="center"/>
          </w:tcPr>
          <w:p>
            <w:pPr>
              <w:pStyle w:val="57"/>
              <w:spacing w:before="0" w:after="0" w:line="240" w:lineRule="auto"/>
              <w:ind w:firstLine="0" w:firstLineChars="0"/>
              <w:jc w:val="center"/>
              <w:rPr>
                <w:sz w:val="21"/>
                <w:szCs w:val="21"/>
              </w:rPr>
            </w:pPr>
            <w:r>
              <w:rPr>
                <w:sz w:val="21"/>
                <w:szCs w:val="21"/>
              </w:rPr>
              <w:t>0.01</w:t>
            </w:r>
            <w:r>
              <w:rPr>
                <w:rFonts w:hint="eastAsia"/>
                <w:sz w:val="21"/>
                <w:szCs w:val="21"/>
              </w:rPr>
              <w:t>（p</w:t>
            </w:r>
            <w:r>
              <w:rPr>
                <w:sz w:val="21"/>
                <w:szCs w:val="21"/>
              </w:rPr>
              <w:t>H</w:t>
            </w:r>
            <w:r>
              <w:rPr>
                <w:rFonts w:hint="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2</w:t>
            </w:r>
          </w:p>
        </w:tc>
        <w:tc>
          <w:tcPr>
            <w:tcW w:w="842" w:type="pct"/>
            <w:vAlign w:val="center"/>
          </w:tcPr>
          <w:p>
            <w:pPr>
              <w:pStyle w:val="57"/>
              <w:spacing w:before="0" w:after="0" w:line="240" w:lineRule="auto"/>
              <w:ind w:firstLine="0" w:firstLineChars="0"/>
              <w:jc w:val="center"/>
              <w:rPr>
                <w:sz w:val="21"/>
                <w:szCs w:val="21"/>
              </w:rPr>
            </w:pPr>
            <w:r>
              <w:rPr>
                <w:sz w:val="21"/>
                <w:szCs w:val="21"/>
              </w:rPr>
              <w:t>K</w:t>
            </w:r>
            <w:r>
              <w:rPr>
                <w:sz w:val="21"/>
                <w:szCs w:val="21"/>
                <w:vertAlign w:val="superscript"/>
              </w:rPr>
              <w:t>+</w:t>
            </w:r>
          </w:p>
        </w:tc>
        <w:tc>
          <w:tcPr>
            <w:tcW w:w="1087" w:type="pct"/>
            <w:vMerge w:val="restart"/>
            <w:vAlign w:val="center"/>
          </w:tcPr>
          <w:p>
            <w:pPr>
              <w:pStyle w:val="57"/>
              <w:spacing w:before="0" w:after="0" w:line="240" w:lineRule="auto"/>
              <w:ind w:firstLine="0" w:firstLineChars="0"/>
              <w:jc w:val="center"/>
              <w:rPr>
                <w:sz w:val="21"/>
                <w:szCs w:val="21"/>
              </w:rPr>
            </w:pPr>
            <w:r>
              <w:rPr>
                <w:rFonts w:hint="eastAsia"/>
                <w:sz w:val="21"/>
                <w:szCs w:val="21"/>
              </w:rPr>
              <w:t>HJ812-2016</w:t>
            </w:r>
          </w:p>
        </w:tc>
        <w:tc>
          <w:tcPr>
            <w:tcW w:w="1851" w:type="pct"/>
            <w:vMerge w:val="restart"/>
            <w:vAlign w:val="center"/>
          </w:tcPr>
          <w:p>
            <w:pPr>
              <w:pStyle w:val="57"/>
              <w:spacing w:before="0" w:after="0" w:line="240" w:lineRule="auto"/>
              <w:ind w:firstLine="0" w:firstLineChars="0"/>
              <w:jc w:val="center"/>
              <w:rPr>
                <w:sz w:val="21"/>
                <w:szCs w:val="21"/>
              </w:rPr>
            </w:pPr>
            <w:r>
              <w:rPr>
                <w:rFonts w:hint="eastAsia"/>
                <w:sz w:val="21"/>
                <w:szCs w:val="21"/>
              </w:rPr>
              <w:t>水质 可溶性阳离子的测定（Li</w:t>
            </w:r>
            <w:r>
              <w:rPr>
                <w:sz w:val="21"/>
                <w:szCs w:val="21"/>
                <w:vertAlign w:val="superscript"/>
              </w:rPr>
              <w:t>+</w:t>
            </w:r>
            <w:r>
              <w:rPr>
                <w:rFonts w:hint="eastAsia"/>
                <w:sz w:val="21"/>
                <w:szCs w:val="21"/>
              </w:rPr>
              <w:t>、Na</w:t>
            </w:r>
            <w:r>
              <w:rPr>
                <w:sz w:val="21"/>
                <w:szCs w:val="21"/>
                <w:vertAlign w:val="superscript"/>
              </w:rPr>
              <w:t>+</w:t>
            </w:r>
            <w:r>
              <w:rPr>
                <w:rFonts w:hint="eastAsia"/>
                <w:sz w:val="21"/>
                <w:szCs w:val="21"/>
              </w:rPr>
              <w:t>、N</w:t>
            </w:r>
            <w:r>
              <w:rPr>
                <w:sz w:val="21"/>
                <w:szCs w:val="21"/>
              </w:rPr>
              <w:t>H</w:t>
            </w:r>
            <w:r>
              <w:rPr>
                <w:sz w:val="21"/>
                <w:szCs w:val="21"/>
                <w:vertAlign w:val="subscript"/>
              </w:rPr>
              <w:t>4</w:t>
            </w:r>
            <w:r>
              <w:rPr>
                <w:sz w:val="21"/>
                <w:szCs w:val="21"/>
                <w:vertAlign w:val="superscript"/>
              </w:rPr>
              <w:t>+</w:t>
            </w:r>
            <w:r>
              <w:rPr>
                <w:rFonts w:hint="eastAsia"/>
                <w:sz w:val="21"/>
                <w:szCs w:val="21"/>
              </w:rPr>
              <w:t>、</w:t>
            </w:r>
            <w:r>
              <w:rPr>
                <w:sz w:val="21"/>
                <w:szCs w:val="21"/>
              </w:rPr>
              <w:t>K</w:t>
            </w:r>
            <w:r>
              <w:rPr>
                <w:sz w:val="21"/>
                <w:szCs w:val="21"/>
                <w:vertAlign w:val="superscript"/>
              </w:rPr>
              <w:t>+</w:t>
            </w:r>
            <w:r>
              <w:rPr>
                <w:rFonts w:hint="eastAsia"/>
                <w:sz w:val="21"/>
                <w:szCs w:val="21"/>
              </w:rPr>
              <w:t>、</w:t>
            </w:r>
            <w:r>
              <w:rPr>
                <w:sz w:val="21"/>
                <w:szCs w:val="21"/>
              </w:rPr>
              <w:t>Ca</w:t>
            </w:r>
            <w:r>
              <w:rPr>
                <w:sz w:val="21"/>
                <w:szCs w:val="21"/>
                <w:vertAlign w:val="superscript"/>
              </w:rPr>
              <w:t>2+</w:t>
            </w:r>
            <w:r>
              <w:rPr>
                <w:rFonts w:hint="eastAsia"/>
                <w:sz w:val="21"/>
                <w:szCs w:val="21"/>
              </w:rPr>
              <w:t>、</w:t>
            </w:r>
            <w:r>
              <w:rPr>
                <w:sz w:val="21"/>
                <w:szCs w:val="21"/>
              </w:rPr>
              <w:t>Mg</w:t>
            </w:r>
            <w:r>
              <w:rPr>
                <w:sz w:val="21"/>
                <w:szCs w:val="21"/>
                <w:vertAlign w:val="superscript"/>
              </w:rPr>
              <w:t>2+</w:t>
            </w:r>
            <w:r>
              <w:rPr>
                <w:rFonts w:hint="eastAsia"/>
                <w:sz w:val="21"/>
                <w:szCs w:val="21"/>
              </w:rPr>
              <w:t>） 离子色谱法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0.02m</w:t>
            </w:r>
            <w:r>
              <w:rPr>
                <w:sz w:val="21"/>
                <w:szCs w:val="21"/>
              </w:rPr>
              <w:t>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3</w:t>
            </w:r>
          </w:p>
        </w:tc>
        <w:tc>
          <w:tcPr>
            <w:tcW w:w="842" w:type="pct"/>
            <w:vAlign w:val="center"/>
          </w:tcPr>
          <w:p>
            <w:pPr>
              <w:pStyle w:val="57"/>
              <w:spacing w:before="0" w:after="0" w:line="240" w:lineRule="auto"/>
              <w:ind w:firstLine="0" w:firstLineChars="0"/>
              <w:jc w:val="center"/>
              <w:rPr>
                <w:sz w:val="21"/>
                <w:szCs w:val="21"/>
              </w:rPr>
            </w:pPr>
            <w:r>
              <w:rPr>
                <w:sz w:val="21"/>
                <w:szCs w:val="21"/>
              </w:rPr>
              <w:t>Na</w:t>
            </w:r>
            <w:r>
              <w:rPr>
                <w:sz w:val="21"/>
                <w:szCs w:val="21"/>
                <w:vertAlign w:val="superscript"/>
              </w:rPr>
              <w:t>+</w:t>
            </w:r>
          </w:p>
        </w:tc>
        <w:tc>
          <w:tcPr>
            <w:tcW w:w="1087" w:type="pct"/>
            <w:vMerge w:val="continue"/>
            <w:vAlign w:val="center"/>
          </w:tcPr>
          <w:p>
            <w:pPr>
              <w:pStyle w:val="57"/>
              <w:spacing w:before="0" w:after="0" w:line="240" w:lineRule="auto"/>
              <w:ind w:firstLine="0" w:firstLineChars="0"/>
              <w:jc w:val="center"/>
              <w:rPr>
                <w:sz w:val="21"/>
                <w:szCs w:val="21"/>
              </w:rPr>
            </w:pPr>
          </w:p>
        </w:tc>
        <w:tc>
          <w:tcPr>
            <w:tcW w:w="1851" w:type="pct"/>
            <w:vMerge w:val="continue"/>
            <w:vAlign w:val="center"/>
          </w:tcPr>
          <w:p>
            <w:pPr>
              <w:pStyle w:val="57"/>
              <w:spacing w:before="0" w:after="0" w:line="240" w:lineRule="auto"/>
              <w:ind w:firstLine="0" w:firstLineChars="0"/>
              <w:jc w:val="center"/>
              <w:rPr>
                <w:sz w:val="21"/>
                <w:szCs w:val="21"/>
              </w:rPr>
            </w:pP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0.02m</w:t>
            </w:r>
            <w:r>
              <w:rPr>
                <w:sz w:val="21"/>
                <w:szCs w:val="21"/>
              </w:rPr>
              <w:t>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4</w:t>
            </w:r>
          </w:p>
        </w:tc>
        <w:tc>
          <w:tcPr>
            <w:tcW w:w="842" w:type="pct"/>
            <w:vAlign w:val="center"/>
          </w:tcPr>
          <w:p>
            <w:pPr>
              <w:pStyle w:val="57"/>
              <w:spacing w:before="0" w:after="0" w:line="240" w:lineRule="auto"/>
              <w:ind w:firstLine="0" w:firstLineChars="0"/>
              <w:jc w:val="center"/>
              <w:rPr>
                <w:sz w:val="21"/>
                <w:szCs w:val="21"/>
              </w:rPr>
            </w:pPr>
            <w:r>
              <w:rPr>
                <w:sz w:val="21"/>
                <w:szCs w:val="21"/>
              </w:rPr>
              <w:t>Ca</w:t>
            </w:r>
            <w:r>
              <w:rPr>
                <w:sz w:val="21"/>
                <w:szCs w:val="21"/>
                <w:vertAlign w:val="superscript"/>
              </w:rPr>
              <w:t>2+</w:t>
            </w:r>
          </w:p>
        </w:tc>
        <w:tc>
          <w:tcPr>
            <w:tcW w:w="1087" w:type="pct"/>
            <w:vMerge w:val="continue"/>
            <w:vAlign w:val="center"/>
          </w:tcPr>
          <w:p>
            <w:pPr>
              <w:pStyle w:val="57"/>
              <w:spacing w:before="0" w:after="0" w:line="240" w:lineRule="auto"/>
              <w:ind w:firstLine="0" w:firstLineChars="0"/>
              <w:jc w:val="center"/>
              <w:rPr>
                <w:sz w:val="21"/>
                <w:szCs w:val="21"/>
              </w:rPr>
            </w:pPr>
          </w:p>
        </w:tc>
        <w:tc>
          <w:tcPr>
            <w:tcW w:w="1851" w:type="pct"/>
            <w:vMerge w:val="continue"/>
            <w:vAlign w:val="center"/>
          </w:tcPr>
          <w:p>
            <w:pPr>
              <w:pStyle w:val="57"/>
              <w:spacing w:before="0" w:after="0" w:line="240" w:lineRule="auto"/>
              <w:ind w:firstLine="0" w:firstLineChars="0"/>
              <w:jc w:val="center"/>
              <w:rPr>
                <w:sz w:val="21"/>
                <w:szCs w:val="21"/>
              </w:rPr>
            </w:pP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0.03m</w:t>
            </w:r>
            <w:r>
              <w:rPr>
                <w:sz w:val="21"/>
                <w:szCs w:val="21"/>
              </w:rPr>
              <w:t>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5</w:t>
            </w:r>
          </w:p>
        </w:tc>
        <w:tc>
          <w:tcPr>
            <w:tcW w:w="842" w:type="pct"/>
            <w:vAlign w:val="center"/>
          </w:tcPr>
          <w:p>
            <w:pPr>
              <w:pStyle w:val="57"/>
              <w:spacing w:before="0" w:after="0" w:line="240" w:lineRule="auto"/>
              <w:ind w:firstLine="0" w:firstLineChars="0"/>
              <w:jc w:val="center"/>
              <w:rPr>
                <w:sz w:val="21"/>
                <w:szCs w:val="21"/>
              </w:rPr>
            </w:pPr>
            <w:r>
              <w:rPr>
                <w:sz w:val="21"/>
                <w:szCs w:val="21"/>
              </w:rPr>
              <w:t>Mg</w:t>
            </w:r>
            <w:r>
              <w:rPr>
                <w:sz w:val="21"/>
                <w:szCs w:val="21"/>
                <w:vertAlign w:val="superscript"/>
              </w:rPr>
              <w:t>2+</w:t>
            </w:r>
          </w:p>
        </w:tc>
        <w:tc>
          <w:tcPr>
            <w:tcW w:w="1087" w:type="pct"/>
            <w:vMerge w:val="continue"/>
            <w:vAlign w:val="center"/>
          </w:tcPr>
          <w:p>
            <w:pPr>
              <w:pStyle w:val="57"/>
              <w:spacing w:before="0" w:after="0" w:line="240" w:lineRule="auto"/>
              <w:ind w:firstLine="0" w:firstLineChars="0"/>
              <w:jc w:val="center"/>
              <w:rPr>
                <w:sz w:val="21"/>
                <w:szCs w:val="21"/>
              </w:rPr>
            </w:pPr>
          </w:p>
        </w:tc>
        <w:tc>
          <w:tcPr>
            <w:tcW w:w="1851" w:type="pct"/>
            <w:vMerge w:val="continue"/>
            <w:vAlign w:val="center"/>
          </w:tcPr>
          <w:p>
            <w:pPr>
              <w:pStyle w:val="57"/>
              <w:spacing w:before="0" w:after="0" w:line="240" w:lineRule="auto"/>
              <w:ind w:firstLine="0" w:firstLineChars="0"/>
              <w:jc w:val="center"/>
              <w:rPr>
                <w:sz w:val="21"/>
                <w:szCs w:val="21"/>
              </w:rPr>
            </w:pP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0.02m</w:t>
            </w:r>
            <w:r>
              <w:rPr>
                <w:sz w:val="21"/>
                <w:szCs w:val="21"/>
              </w:rPr>
              <w:t>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6</w:t>
            </w:r>
          </w:p>
        </w:tc>
        <w:tc>
          <w:tcPr>
            <w:tcW w:w="842" w:type="pct"/>
            <w:vAlign w:val="center"/>
          </w:tcPr>
          <w:p>
            <w:pPr>
              <w:pStyle w:val="57"/>
              <w:spacing w:before="0" w:after="0" w:line="240" w:lineRule="auto"/>
              <w:ind w:firstLine="0" w:firstLineChars="0"/>
              <w:jc w:val="center"/>
              <w:rPr>
                <w:sz w:val="21"/>
                <w:szCs w:val="21"/>
              </w:rPr>
            </w:pPr>
            <w:r>
              <w:rPr>
                <w:sz w:val="21"/>
                <w:szCs w:val="21"/>
              </w:rPr>
              <w:t>CO</w:t>
            </w:r>
            <w:r>
              <w:rPr>
                <w:sz w:val="21"/>
                <w:szCs w:val="21"/>
                <w:vertAlign w:val="subscript"/>
              </w:rPr>
              <w:t>3</w:t>
            </w:r>
            <w:r>
              <w:rPr>
                <w:sz w:val="21"/>
                <w:szCs w:val="21"/>
                <w:vertAlign w:val="superscript"/>
              </w:rPr>
              <w:t>2-</w:t>
            </w:r>
          </w:p>
        </w:tc>
        <w:tc>
          <w:tcPr>
            <w:tcW w:w="1087" w:type="pct"/>
            <w:vMerge w:val="restart"/>
            <w:vAlign w:val="center"/>
          </w:tcPr>
          <w:p>
            <w:pPr>
              <w:pStyle w:val="57"/>
              <w:spacing w:before="0" w:after="0" w:line="240" w:lineRule="auto"/>
              <w:ind w:firstLine="0" w:firstLineChars="0"/>
              <w:jc w:val="center"/>
              <w:rPr>
                <w:sz w:val="21"/>
                <w:szCs w:val="21"/>
              </w:rPr>
            </w:pPr>
            <w:r>
              <w:rPr>
                <w:rFonts w:hint="eastAsia"/>
                <w:sz w:val="21"/>
                <w:szCs w:val="21"/>
              </w:rPr>
              <w:t>DZ/T0064.49-93</w:t>
            </w:r>
          </w:p>
        </w:tc>
        <w:tc>
          <w:tcPr>
            <w:tcW w:w="1851" w:type="pct"/>
            <w:vMerge w:val="restart"/>
            <w:vAlign w:val="center"/>
          </w:tcPr>
          <w:p>
            <w:pPr>
              <w:pStyle w:val="57"/>
              <w:spacing w:before="0" w:after="0" w:line="240" w:lineRule="auto"/>
              <w:ind w:firstLine="0" w:firstLineChars="0"/>
              <w:jc w:val="center"/>
              <w:rPr>
                <w:sz w:val="21"/>
                <w:szCs w:val="21"/>
              </w:rPr>
            </w:pPr>
            <w:r>
              <w:rPr>
                <w:rFonts w:hint="eastAsia"/>
                <w:sz w:val="21"/>
                <w:szCs w:val="21"/>
              </w:rPr>
              <w:t>《地下水质检验方法 滴定法测定碳酸根、重碳酸根和氢氧根》</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7</w:t>
            </w:r>
          </w:p>
        </w:tc>
        <w:tc>
          <w:tcPr>
            <w:tcW w:w="842" w:type="pct"/>
            <w:vAlign w:val="center"/>
          </w:tcPr>
          <w:p>
            <w:pPr>
              <w:pStyle w:val="57"/>
              <w:spacing w:before="0" w:after="0" w:line="240" w:lineRule="auto"/>
              <w:ind w:firstLine="0" w:firstLineChars="0"/>
              <w:jc w:val="center"/>
              <w:rPr>
                <w:sz w:val="21"/>
                <w:szCs w:val="21"/>
              </w:rPr>
            </w:pPr>
            <w:r>
              <w:rPr>
                <w:sz w:val="21"/>
                <w:szCs w:val="21"/>
              </w:rPr>
              <w:t>HCO</w:t>
            </w:r>
            <w:r>
              <w:rPr>
                <w:sz w:val="21"/>
                <w:szCs w:val="21"/>
                <w:vertAlign w:val="subscript"/>
              </w:rPr>
              <w:t>3</w:t>
            </w:r>
            <w:r>
              <w:rPr>
                <w:sz w:val="21"/>
                <w:szCs w:val="21"/>
                <w:vertAlign w:val="superscript"/>
              </w:rPr>
              <w:t>-</w:t>
            </w:r>
          </w:p>
        </w:tc>
        <w:tc>
          <w:tcPr>
            <w:tcW w:w="1087" w:type="pct"/>
            <w:vMerge w:val="continue"/>
            <w:vAlign w:val="center"/>
          </w:tcPr>
          <w:p>
            <w:pPr>
              <w:pStyle w:val="57"/>
              <w:spacing w:before="0" w:after="0" w:line="240" w:lineRule="auto"/>
              <w:ind w:firstLine="0" w:firstLineChars="0"/>
              <w:jc w:val="center"/>
              <w:rPr>
                <w:sz w:val="21"/>
                <w:szCs w:val="21"/>
              </w:rPr>
            </w:pPr>
          </w:p>
        </w:tc>
        <w:tc>
          <w:tcPr>
            <w:tcW w:w="1851" w:type="pct"/>
            <w:vMerge w:val="continue"/>
            <w:vAlign w:val="center"/>
          </w:tcPr>
          <w:p>
            <w:pPr>
              <w:pStyle w:val="57"/>
              <w:spacing w:before="0" w:after="0" w:line="240" w:lineRule="auto"/>
              <w:ind w:firstLine="0" w:firstLineChars="0"/>
              <w:jc w:val="center"/>
              <w:rPr>
                <w:sz w:val="21"/>
                <w:szCs w:val="21"/>
              </w:rPr>
            </w:pP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8</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氯化物</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GB/T5750.5-2006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硝酸银滴定法</w:t>
            </w:r>
          </w:p>
        </w:tc>
        <w:tc>
          <w:tcPr>
            <w:tcW w:w="871" w:type="pct"/>
            <w:vAlign w:val="center"/>
          </w:tcPr>
          <w:p>
            <w:pPr>
              <w:pStyle w:val="57"/>
              <w:spacing w:before="0" w:after="0" w:line="240" w:lineRule="auto"/>
              <w:ind w:firstLine="0" w:firstLineChars="0"/>
              <w:jc w:val="center"/>
              <w:rPr>
                <w:sz w:val="21"/>
                <w:szCs w:val="21"/>
              </w:rPr>
            </w:pPr>
            <w:r>
              <w:rPr>
                <w:sz w:val="21"/>
                <w:szCs w:val="21"/>
              </w:rPr>
              <w:t>2</w:t>
            </w:r>
            <w:r>
              <w:rPr>
                <w:rFonts w:hint="eastAsia"/>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9</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硫酸盐</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GB/T5750.5-2006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铬酸钡分光光度法</w:t>
            </w:r>
          </w:p>
        </w:tc>
        <w:tc>
          <w:tcPr>
            <w:tcW w:w="871" w:type="pct"/>
            <w:vAlign w:val="center"/>
          </w:tcPr>
          <w:p>
            <w:pPr>
              <w:pStyle w:val="57"/>
              <w:spacing w:before="0" w:after="0" w:line="240" w:lineRule="auto"/>
              <w:ind w:firstLine="0" w:firstLineChars="0"/>
              <w:jc w:val="center"/>
              <w:rPr>
                <w:sz w:val="21"/>
                <w:szCs w:val="21"/>
              </w:rPr>
            </w:pPr>
            <w:r>
              <w:rPr>
                <w:sz w:val="21"/>
                <w:szCs w:val="21"/>
              </w:rPr>
              <w:t>1</w:t>
            </w:r>
            <w:r>
              <w:rPr>
                <w:rFonts w:hint="eastAsia"/>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w:t>
            </w:r>
            <w:r>
              <w:rPr>
                <w:sz w:val="21"/>
                <w:szCs w:val="21"/>
              </w:rPr>
              <w:t>0</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氨氮</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GB/T5750.5-2006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纳氏试剂分光光度法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0.02 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w:t>
            </w:r>
            <w:r>
              <w:rPr>
                <w:sz w:val="21"/>
                <w:szCs w:val="21"/>
              </w:rPr>
              <w:t>1</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硝酸盐</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GB/T5750.5-2006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紫外分光光度法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w:t>
            </w:r>
            <w:r>
              <w:rPr>
                <w:sz w:val="21"/>
                <w:szCs w:val="21"/>
              </w:rPr>
              <w:t>2</w:t>
            </w:r>
            <w:r>
              <w:rPr>
                <w:rFonts w:hint="eastAsia"/>
                <w:sz w:val="21"/>
                <w:szCs w:val="21"/>
              </w:rPr>
              <w:t>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w:t>
            </w:r>
            <w:r>
              <w:rPr>
                <w:sz w:val="21"/>
                <w:szCs w:val="21"/>
              </w:rPr>
              <w:t>2</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亚硝酸盐</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GB/T5750.5-2006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重氮偶合分光光度法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0.001mg/L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w:t>
            </w:r>
            <w:r>
              <w:rPr>
                <w:sz w:val="21"/>
                <w:szCs w:val="21"/>
              </w:rPr>
              <w:t>3</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挥发性酚类</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GB/T5750.4-2006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4-氨基安替吡啉三氯甲烷萃取分光光度法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0.002mg/L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w:t>
            </w:r>
            <w:r>
              <w:rPr>
                <w:sz w:val="21"/>
                <w:szCs w:val="21"/>
              </w:rPr>
              <w:t>4</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氰化物</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GB/T5750.5-2006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异烟酸-吡唑酮分光光度法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0.002mg/L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w:t>
            </w:r>
            <w:r>
              <w:rPr>
                <w:sz w:val="21"/>
                <w:szCs w:val="21"/>
              </w:rPr>
              <w:t>5</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砷</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GB/T5750.6-2006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氢化物原子荧光法</w:t>
            </w:r>
          </w:p>
        </w:tc>
        <w:tc>
          <w:tcPr>
            <w:tcW w:w="871" w:type="pct"/>
            <w:vAlign w:val="center"/>
          </w:tcPr>
          <w:p>
            <w:pPr>
              <w:pStyle w:val="57"/>
              <w:spacing w:before="0" w:after="0" w:line="240" w:lineRule="auto"/>
              <w:ind w:firstLine="0" w:firstLineChars="0"/>
              <w:jc w:val="center"/>
              <w:rPr>
                <w:sz w:val="21"/>
                <w:szCs w:val="21"/>
              </w:rPr>
            </w:pPr>
            <w:r>
              <w:rPr>
                <w:sz w:val="21"/>
                <w:szCs w:val="21"/>
              </w:rPr>
              <w:t>1.0μg/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w:t>
            </w:r>
            <w:r>
              <w:rPr>
                <w:sz w:val="21"/>
                <w:szCs w:val="21"/>
              </w:rPr>
              <w:t>6</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汞</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GB/T5750.6-2006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原子荧光法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w:t>
            </w:r>
            <w:r>
              <w:rPr>
                <w:sz w:val="21"/>
                <w:szCs w:val="21"/>
              </w:rPr>
              <w:t>2μg/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17</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六价铬</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GB/T5750.6-2006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二苯碳酰二肼分光光度法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0.004mg/L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18</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总硬度</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GB/T5750.4-2006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乙二胺四乙酸二钠滴定法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1.0mg/L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1</w:t>
            </w:r>
            <w:r>
              <w:rPr>
                <w:sz w:val="21"/>
                <w:szCs w:val="21"/>
              </w:rPr>
              <w:t>9</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铁</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GB/T5750.6-2006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原子吸收分光光度法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3m</w:t>
            </w:r>
            <w:r>
              <w:rPr>
                <w:sz w:val="21"/>
                <w:szCs w:val="21"/>
              </w:rPr>
              <w:t>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2</w:t>
            </w:r>
            <w:r>
              <w:rPr>
                <w:sz w:val="21"/>
                <w:szCs w:val="21"/>
              </w:rPr>
              <w:t>0</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锰</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GB/T5750.6-2006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原子吸收分光光度法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1m</w:t>
            </w:r>
            <w:r>
              <w:rPr>
                <w:sz w:val="21"/>
                <w:szCs w:val="21"/>
              </w:rPr>
              <w:t>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2</w:t>
            </w:r>
            <w:r>
              <w:rPr>
                <w:sz w:val="21"/>
                <w:szCs w:val="21"/>
              </w:rPr>
              <w:t>1</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溶解总固体</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GB/T5750.4-2006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称量法</w:t>
            </w:r>
          </w:p>
        </w:tc>
        <w:tc>
          <w:tcPr>
            <w:tcW w:w="871" w:type="pct"/>
            <w:vAlign w:val="center"/>
          </w:tcPr>
          <w:p>
            <w:pPr>
              <w:pStyle w:val="57"/>
              <w:spacing w:before="0" w:after="0" w:line="240" w:lineRule="auto"/>
              <w:ind w:firstLine="0" w:firstLineChars="0"/>
              <w:jc w:val="center"/>
              <w:rPr>
                <w:sz w:val="21"/>
                <w:szCs w:val="21"/>
              </w:rPr>
            </w:pPr>
            <w:r>
              <w:rPr>
                <w:sz w:val="21"/>
                <w:szCs w:val="21"/>
              </w:rPr>
              <w:t>4</w:t>
            </w:r>
            <w:r>
              <w:rPr>
                <w:rFonts w:hint="eastAsia"/>
                <w:sz w:val="21"/>
                <w:szCs w:val="21"/>
              </w:rPr>
              <w:t>m</w:t>
            </w:r>
            <w:r>
              <w:rPr>
                <w:sz w:val="21"/>
                <w:szCs w:val="21"/>
              </w:rPr>
              <w:t>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2</w:t>
            </w:r>
            <w:r>
              <w:rPr>
                <w:sz w:val="21"/>
                <w:szCs w:val="21"/>
              </w:rPr>
              <w:t>2</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耗氧量</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GB/T5750.7-2006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酸性高锰酸钾滴定法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0.5m</w:t>
            </w:r>
            <w:r>
              <w:rPr>
                <w:sz w:val="21"/>
                <w:szCs w:val="21"/>
              </w:rPr>
              <w:t>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2</w:t>
            </w:r>
            <w:r>
              <w:rPr>
                <w:sz w:val="21"/>
                <w:szCs w:val="21"/>
              </w:rPr>
              <w:t>3</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菌落总数</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GB/T5750.12-2006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平皿计数法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2</w:t>
            </w:r>
            <w:r>
              <w:rPr>
                <w:sz w:val="21"/>
                <w:szCs w:val="21"/>
              </w:rPr>
              <w:t>4</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总大肠菌群</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GB/T5750.12-2006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多管发酵法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2</w:t>
            </w:r>
            <w:r>
              <w:rPr>
                <w:sz w:val="21"/>
                <w:szCs w:val="21"/>
              </w:rPr>
              <w:t>5</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铅</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GB/T5750.6-2006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无火焰原子吸收分光光度法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2.5</w:t>
            </w:r>
            <w:r>
              <w:rPr>
                <w:sz w:val="21"/>
                <w:szCs w:val="21"/>
              </w:rPr>
              <w:t>μg/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2</w:t>
            </w:r>
            <w:r>
              <w:rPr>
                <w:sz w:val="21"/>
                <w:szCs w:val="21"/>
              </w:rPr>
              <w:t>6</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镉</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GB/T5750.6-2006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无火焰原子吸收分光光度法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0.5</w:t>
            </w:r>
            <w:r>
              <w:rPr>
                <w:sz w:val="21"/>
                <w:szCs w:val="21"/>
              </w:rPr>
              <w:t>μg/</w:t>
            </w:r>
            <w:r>
              <w:rPr>
                <w:rFonts w:hint="eastAsia"/>
                <w:sz w:val="21"/>
                <w:szCs w:val="21"/>
              </w:rPr>
              <w:t>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49" w:type="pct"/>
            <w:vAlign w:val="center"/>
          </w:tcPr>
          <w:p>
            <w:pPr>
              <w:pStyle w:val="57"/>
              <w:spacing w:before="0" w:after="0" w:line="240" w:lineRule="auto"/>
              <w:ind w:firstLine="0" w:firstLineChars="0"/>
              <w:jc w:val="center"/>
              <w:rPr>
                <w:sz w:val="21"/>
                <w:szCs w:val="21"/>
              </w:rPr>
            </w:pPr>
            <w:r>
              <w:rPr>
                <w:rFonts w:hint="eastAsia"/>
                <w:sz w:val="21"/>
                <w:szCs w:val="21"/>
              </w:rPr>
              <w:t>2</w:t>
            </w:r>
            <w:r>
              <w:rPr>
                <w:sz w:val="21"/>
                <w:szCs w:val="21"/>
              </w:rPr>
              <w:t>7</w:t>
            </w:r>
          </w:p>
        </w:tc>
        <w:tc>
          <w:tcPr>
            <w:tcW w:w="842" w:type="pct"/>
            <w:vAlign w:val="center"/>
          </w:tcPr>
          <w:p>
            <w:pPr>
              <w:pStyle w:val="57"/>
              <w:spacing w:before="0" w:after="0" w:line="240" w:lineRule="auto"/>
              <w:ind w:firstLine="0" w:firstLineChars="0"/>
              <w:jc w:val="center"/>
              <w:rPr>
                <w:sz w:val="21"/>
                <w:szCs w:val="21"/>
              </w:rPr>
            </w:pPr>
            <w:r>
              <w:rPr>
                <w:rFonts w:hint="eastAsia"/>
                <w:sz w:val="21"/>
                <w:szCs w:val="21"/>
              </w:rPr>
              <w:t>氟化物</w:t>
            </w:r>
          </w:p>
        </w:tc>
        <w:tc>
          <w:tcPr>
            <w:tcW w:w="1087" w:type="pct"/>
            <w:vAlign w:val="center"/>
          </w:tcPr>
          <w:p>
            <w:pPr>
              <w:pStyle w:val="57"/>
              <w:spacing w:before="0" w:after="0" w:line="240" w:lineRule="auto"/>
              <w:ind w:firstLine="0" w:firstLineChars="0"/>
              <w:jc w:val="center"/>
              <w:rPr>
                <w:sz w:val="21"/>
                <w:szCs w:val="21"/>
              </w:rPr>
            </w:pPr>
            <w:r>
              <w:rPr>
                <w:rFonts w:hint="eastAsia"/>
                <w:sz w:val="21"/>
                <w:szCs w:val="21"/>
              </w:rPr>
              <w:t>GB/T5750.5-2006</w:t>
            </w:r>
          </w:p>
        </w:tc>
        <w:tc>
          <w:tcPr>
            <w:tcW w:w="1851" w:type="pct"/>
            <w:vAlign w:val="center"/>
          </w:tcPr>
          <w:p>
            <w:pPr>
              <w:pStyle w:val="57"/>
              <w:spacing w:before="0" w:after="0" w:line="240" w:lineRule="auto"/>
              <w:ind w:firstLine="0" w:firstLineChars="0"/>
              <w:jc w:val="center"/>
              <w:rPr>
                <w:sz w:val="21"/>
                <w:szCs w:val="21"/>
              </w:rPr>
            </w:pPr>
            <w:r>
              <w:rPr>
                <w:rFonts w:hint="eastAsia"/>
                <w:sz w:val="21"/>
                <w:szCs w:val="21"/>
              </w:rPr>
              <w:t>离子选择电极法</w:t>
            </w:r>
          </w:p>
        </w:tc>
        <w:tc>
          <w:tcPr>
            <w:tcW w:w="871" w:type="pct"/>
            <w:vAlign w:val="center"/>
          </w:tcPr>
          <w:p>
            <w:pPr>
              <w:pStyle w:val="57"/>
              <w:spacing w:before="0" w:after="0" w:line="240" w:lineRule="auto"/>
              <w:ind w:firstLine="0" w:firstLineChars="0"/>
              <w:jc w:val="center"/>
              <w:rPr>
                <w:sz w:val="21"/>
                <w:szCs w:val="21"/>
              </w:rPr>
            </w:pPr>
            <w:r>
              <w:rPr>
                <w:rFonts w:hint="eastAsia"/>
                <w:sz w:val="21"/>
                <w:szCs w:val="21"/>
              </w:rPr>
              <w:t>0.2 mg/L</w:t>
            </w:r>
          </w:p>
        </w:tc>
      </w:tr>
      <w:bookmarkEnd w:id="76"/>
    </w:tbl>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w:t>
      </w:r>
      <w:r>
        <w:rPr>
          <w:rFonts w:hint="eastAsia"/>
          <w:b/>
        </w:rPr>
        <w:t>4</w:t>
      </w:r>
      <w:r>
        <w:rPr>
          <w:b/>
        </w:rPr>
        <w:t>.</w:t>
      </w:r>
      <w:r>
        <w:rPr>
          <w:rFonts w:hint="eastAsia"/>
          <w:b/>
        </w:rPr>
        <w:t>2</w:t>
      </w:r>
      <w:r>
        <w:rPr>
          <w:rFonts w:hint="eastAsia" w:ascii="宋体" w:hAnsi="宋体"/>
          <w:b/>
        </w:rPr>
        <w:t>评价标准</w:t>
      </w:r>
    </w:p>
    <w:p>
      <w:pPr>
        <w:spacing w:line="480" w:lineRule="exact"/>
        <w:ind w:firstLine="480" w:firstLineChars="200"/>
        <w:rPr>
          <w:bCs/>
          <w:sz w:val="24"/>
          <w:szCs w:val="24"/>
        </w:rPr>
      </w:pPr>
      <w:r>
        <w:rPr>
          <w:rFonts w:hint="eastAsia"/>
          <w:bCs/>
          <w:sz w:val="24"/>
          <w:szCs w:val="24"/>
        </w:rPr>
        <w:t>地下水质量现状评价标准值见下表。</w:t>
      </w:r>
    </w:p>
    <w:p>
      <w:pPr>
        <w:pStyle w:val="6"/>
        <w:spacing w:line="480" w:lineRule="exact"/>
        <w:ind w:firstLine="0"/>
        <w:jc w:val="center"/>
        <w:rPr>
          <w:rFonts w:ascii="黑体" w:hAnsi="黑体" w:eastAsia="黑体"/>
          <w:sz w:val="24"/>
          <w:szCs w:val="21"/>
        </w:rPr>
      </w:pPr>
      <w:r>
        <w:rPr>
          <w:rFonts w:hint="eastAsia" w:ascii="黑体" w:hAnsi="黑体" w:eastAsia="黑体"/>
          <w:sz w:val="24"/>
          <w:szCs w:val="21"/>
        </w:rPr>
        <w:t>表4.3-9 《地下水质量标准》（GB/T14848-2017）Ⅲ类标准 单位：mg/L</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913"/>
        <w:gridCol w:w="913"/>
        <w:gridCol w:w="913"/>
        <w:gridCol w:w="913"/>
        <w:gridCol w:w="1149"/>
        <w:gridCol w:w="1578"/>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污染物</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pH</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总硬度</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氟化物</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硝酸盐</w:t>
            </w:r>
          </w:p>
        </w:tc>
        <w:tc>
          <w:tcPr>
            <w:tcW w:w="63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亚硝酸盐</w:t>
            </w:r>
          </w:p>
        </w:tc>
        <w:tc>
          <w:tcPr>
            <w:tcW w:w="87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硫酸盐</w:t>
            </w:r>
          </w:p>
        </w:tc>
        <w:tc>
          <w:tcPr>
            <w:tcW w:w="978"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szCs w:val="21"/>
              </w:rPr>
              <w:t>耗氧量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标准值</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6.5~8.5</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≤450</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≤1.0</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≤20</w:t>
            </w:r>
          </w:p>
        </w:tc>
        <w:tc>
          <w:tcPr>
            <w:tcW w:w="63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≤1.00</w:t>
            </w:r>
          </w:p>
        </w:tc>
        <w:tc>
          <w:tcPr>
            <w:tcW w:w="87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≤250</w:t>
            </w:r>
          </w:p>
        </w:tc>
        <w:tc>
          <w:tcPr>
            <w:tcW w:w="978"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污染物</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氨氮</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氰化物</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挥发酚</w:t>
            </w:r>
          </w:p>
        </w:tc>
        <w:tc>
          <w:tcPr>
            <w:tcW w:w="504" w:type="pct"/>
            <w:tcBorders>
              <w:top w:val="single" w:color="auto" w:sz="4" w:space="0"/>
              <w:left w:val="single" w:color="auto" w:sz="4" w:space="0"/>
              <w:bottom w:val="single" w:color="auto" w:sz="4" w:space="0"/>
              <w:right w:val="single" w:color="auto" w:sz="4" w:space="0"/>
            </w:tcBorders>
            <w:vAlign w:val="center"/>
          </w:tcPr>
          <w:p>
            <w:pPr>
              <w:pStyle w:val="57"/>
              <w:spacing w:before="0" w:after="0" w:line="240" w:lineRule="auto"/>
              <w:ind w:firstLine="0" w:firstLineChars="0"/>
              <w:jc w:val="center"/>
              <w:rPr>
                <w:sz w:val="21"/>
                <w:szCs w:val="21"/>
              </w:rPr>
            </w:pPr>
            <w:r>
              <w:rPr>
                <w:rFonts w:hint="eastAsia" w:hAnsi="宋体"/>
                <w:sz w:val="21"/>
                <w:szCs w:val="21"/>
              </w:rPr>
              <w:t>氯化物</w:t>
            </w:r>
          </w:p>
        </w:tc>
        <w:tc>
          <w:tcPr>
            <w:tcW w:w="63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六价铬</w:t>
            </w:r>
          </w:p>
        </w:tc>
        <w:tc>
          <w:tcPr>
            <w:tcW w:w="87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菌落总数C</w:t>
            </w:r>
            <w:r>
              <w:rPr>
                <w:rFonts w:hAnsi="宋体"/>
                <w:szCs w:val="21"/>
              </w:rPr>
              <w:t>FU/ml</w:t>
            </w:r>
          </w:p>
        </w:tc>
        <w:tc>
          <w:tcPr>
            <w:tcW w:w="978"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总大肠菌群C</w:t>
            </w:r>
            <w:r>
              <w:rPr>
                <w:rFonts w:hAnsi="宋体"/>
                <w:szCs w:val="21"/>
              </w:rPr>
              <w:t>FU/100ml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标准值</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≤0.5</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≤0.05</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≤0.002</w:t>
            </w:r>
          </w:p>
        </w:tc>
        <w:tc>
          <w:tcPr>
            <w:tcW w:w="504" w:type="pct"/>
            <w:tcBorders>
              <w:top w:val="single" w:color="auto" w:sz="4" w:space="0"/>
              <w:left w:val="single" w:color="auto" w:sz="4" w:space="0"/>
              <w:bottom w:val="single" w:color="auto" w:sz="4" w:space="0"/>
              <w:right w:val="single" w:color="auto" w:sz="4" w:space="0"/>
            </w:tcBorders>
            <w:vAlign w:val="center"/>
          </w:tcPr>
          <w:p>
            <w:pPr>
              <w:pStyle w:val="57"/>
              <w:spacing w:before="0" w:after="0" w:line="240" w:lineRule="auto"/>
              <w:ind w:firstLine="0" w:firstLineChars="0"/>
              <w:jc w:val="center"/>
              <w:rPr>
                <w:sz w:val="21"/>
                <w:szCs w:val="21"/>
              </w:rPr>
            </w:pPr>
            <w:r>
              <w:rPr>
                <w:sz w:val="21"/>
                <w:szCs w:val="21"/>
              </w:rPr>
              <w:t>250</w:t>
            </w:r>
          </w:p>
        </w:tc>
        <w:tc>
          <w:tcPr>
            <w:tcW w:w="63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≤0.05</w:t>
            </w:r>
          </w:p>
        </w:tc>
        <w:tc>
          <w:tcPr>
            <w:tcW w:w="87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≤100</w:t>
            </w:r>
          </w:p>
        </w:tc>
        <w:tc>
          <w:tcPr>
            <w:tcW w:w="978"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污染物</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铁</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铅</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镉</w:t>
            </w:r>
          </w:p>
        </w:tc>
        <w:tc>
          <w:tcPr>
            <w:tcW w:w="504" w:type="pct"/>
            <w:tcBorders>
              <w:top w:val="single" w:color="auto" w:sz="4" w:space="0"/>
              <w:left w:val="single" w:color="auto" w:sz="4" w:space="0"/>
              <w:bottom w:val="single" w:color="auto" w:sz="4" w:space="0"/>
              <w:right w:val="single" w:color="auto" w:sz="4" w:space="0"/>
            </w:tcBorders>
            <w:vAlign w:val="center"/>
          </w:tcPr>
          <w:p>
            <w:pPr>
              <w:pStyle w:val="57"/>
              <w:spacing w:before="0" w:after="0" w:line="240" w:lineRule="auto"/>
              <w:ind w:firstLine="0" w:firstLineChars="0"/>
              <w:jc w:val="center"/>
              <w:rPr>
                <w:sz w:val="21"/>
                <w:szCs w:val="21"/>
              </w:rPr>
            </w:pPr>
            <w:r>
              <w:rPr>
                <w:rFonts w:hint="eastAsia" w:hAnsi="宋体"/>
                <w:sz w:val="21"/>
                <w:szCs w:val="21"/>
              </w:rPr>
              <w:t>锰</w:t>
            </w:r>
          </w:p>
        </w:tc>
        <w:tc>
          <w:tcPr>
            <w:tcW w:w="63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汞</w:t>
            </w:r>
          </w:p>
        </w:tc>
        <w:tc>
          <w:tcPr>
            <w:tcW w:w="87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砷</w:t>
            </w:r>
          </w:p>
        </w:tc>
        <w:tc>
          <w:tcPr>
            <w:tcW w:w="978"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溶解性总固体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rFonts w:hint="eastAsia" w:hAnsi="宋体"/>
                <w:szCs w:val="21"/>
              </w:rPr>
              <w:t>标准值</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≤0.3</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≤0.01</w:t>
            </w:r>
          </w:p>
        </w:tc>
        <w:tc>
          <w:tcPr>
            <w:tcW w:w="50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≤0.005</w:t>
            </w:r>
          </w:p>
        </w:tc>
        <w:tc>
          <w:tcPr>
            <w:tcW w:w="504" w:type="pct"/>
            <w:tcBorders>
              <w:top w:val="single" w:color="auto" w:sz="4" w:space="0"/>
              <w:left w:val="single" w:color="auto" w:sz="4" w:space="0"/>
              <w:bottom w:val="single" w:color="auto" w:sz="4" w:space="0"/>
              <w:right w:val="single" w:color="auto" w:sz="4" w:space="0"/>
            </w:tcBorders>
            <w:vAlign w:val="center"/>
          </w:tcPr>
          <w:p>
            <w:pPr>
              <w:pStyle w:val="57"/>
              <w:spacing w:before="0" w:after="0" w:line="240" w:lineRule="auto"/>
              <w:ind w:firstLine="0" w:firstLineChars="0"/>
              <w:jc w:val="center"/>
              <w:rPr>
                <w:sz w:val="21"/>
                <w:szCs w:val="21"/>
              </w:rPr>
            </w:pPr>
            <w:r>
              <w:rPr>
                <w:sz w:val="21"/>
                <w:szCs w:val="21"/>
              </w:rPr>
              <w:t>≤0.1</w:t>
            </w:r>
          </w:p>
        </w:tc>
        <w:tc>
          <w:tcPr>
            <w:tcW w:w="634"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≤0.001</w:t>
            </w:r>
          </w:p>
        </w:tc>
        <w:tc>
          <w:tcPr>
            <w:tcW w:w="871"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≤0.01</w:t>
            </w:r>
          </w:p>
        </w:tc>
        <w:tc>
          <w:tcPr>
            <w:tcW w:w="978" w:type="pct"/>
            <w:tcBorders>
              <w:top w:val="single" w:color="auto" w:sz="4" w:space="0"/>
              <w:left w:val="single" w:color="auto" w:sz="4" w:space="0"/>
              <w:bottom w:val="single" w:color="auto" w:sz="4" w:space="0"/>
              <w:right w:val="single" w:color="auto" w:sz="4" w:space="0"/>
            </w:tcBorders>
            <w:vAlign w:val="center"/>
          </w:tcPr>
          <w:p>
            <w:pPr>
              <w:pStyle w:val="54"/>
              <w:spacing w:line="240" w:lineRule="auto"/>
              <w:rPr>
                <w:szCs w:val="21"/>
              </w:rPr>
            </w:pPr>
            <w:r>
              <w:rPr>
                <w:szCs w:val="21"/>
              </w:rPr>
              <w:t>≤1000</w:t>
            </w:r>
          </w:p>
        </w:tc>
      </w:tr>
    </w:tbl>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w:t>
      </w:r>
      <w:r>
        <w:rPr>
          <w:rFonts w:hint="eastAsia"/>
          <w:b/>
        </w:rPr>
        <w:t>4</w:t>
      </w:r>
      <w:r>
        <w:rPr>
          <w:b/>
        </w:rPr>
        <w:t>.</w:t>
      </w:r>
      <w:r>
        <w:rPr>
          <w:rFonts w:hint="eastAsia"/>
          <w:b/>
        </w:rPr>
        <w:t>3</w:t>
      </w:r>
      <w:r>
        <w:rPr>
          <w:rFonts w:ascii="宋体" w:hAnsi="宋体"/>
          <w:b/>
        </w:rPr>
        <w:t>监测</w:t>
      </w:r>
      <w:r>
        <w:rPr>
          <w:rFonts w:hint="eastAsia" w:ascii="宋体" w:hAnsi="宋体"/>
          <w:b/>
        </w:rPr>
        <w:t>数据统计结果</w:t>
      </w:r>
    </w:p>
    <w:p>
      <w:pPr>
        <w:spacing w:line="480" w:lineRule="exact"/>
        <w:rPr>
          <w:b/>
          <w:bCs/>
          <w:sz w:val="24"/>
          <w:szCs w:val="24"/>
        </w:rPr>
      </w:pPr>
      <w:r>
        <w:rPr>
          <w:rFonts w:hint="eastAsia"/>
          <w:b/>
          <w:bCs/>
          <w:sz w:val="24"/>
          <w:szCs w:val="24"/>
        </w:rPr>
        <w:t>1、评价方法</w:t>
      </w:r>
    </w:p>
    <w:p>
      <w:pPr>
        <w:autoSpaceDE w:val="0"/>
        <w:autoSpaceDN w:val="0"/>
        <w:adjustRightInd w:val="0"/>
        <w:spacing w:line="480" w:lineRule="exact"/>
        <w:ind w:firstLine="480" w:firstLineChars="200"/>
        <w:rPr>
          <w:sz w:val="24"/>
        </w:rPr>
      </w:pPr>
      <w:r>
        <w:rPr>
          <w:rFonts w:hAnsi="宋体"/>
          <w:sz w:val="24"/>
          <w:lang w:val="zh-CN"/>
        </w:rPr>
        <w:t>采用标准指数法对地下水进行现状评价，并结合污染源调查结果，分析污染原因。</w:t>
      </w:r>
    </w:p>
    <w:p>
      <w:pPr>
        <w:autoSpaceDE w:val="0"/>
        <w:autoSpaceDN w:val="0"/>
        <w:adjustRightInd w:val="0"/>
        <w:spacing w:line="480" w:lineRule="exact"/>
        <w:ind w:firstLine="480" w:firstLineChars="200"/>
        <w:rPr>
          <w:sz w:val="24"/>
        </w:rPr>
      </w:pPr>
      <w:r>
        <w:rPr>
          <w:rFonts w:hAnsi="宋体"/>
          <w:sz w:val="24"/>
          <w:lang w:val="zh-CN"/>
        </w:rPr>
        <w:t>对于评价标准为定值的水质因子采用单因子标准指数法对地下水进行现状评价，其标准指数计算公式：</w:t>
      </w:r>
    </w:p>
    <w:p>
      <w:pPr>
        <w:autoSpaceDE w:val="0"/>
        <w:autoSpaceDN w:val="0"/>
        <w:adjustRightInd w:val="0"/>
        <w:jc w:val="center"/>
      </w:pPr>
      <w:r>
        <w:rPr>
          <w:kern w:val="0"/>
        </w:rPr>
        <w:drawing>
          <wp:inline distT="0" distB="0" distL="0" distR="0">
            <wp:extent cx="561975" cy="447675"/>
            <wp:effectExtent l="0" t="0" r="9525" b="0"/>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noChangeArrowheads="1"/>
                    </pic:cNvPicPr>
                  </pic:nvPicPr>
                  <pic:blipFill>
                    <a:blip r:embed="rId26" cstate="print"/>
                    <a:srcRect/>
                    <a:stretch>
                      <a:fillRect/>
                    </a:stretch>
                  </pic:blipFill>
                  <pic:spPr>
                    <a:xfrm>
                      <a:off x="0" y="0"/>
                      <a:ext cx="561975" cy="447675"/>
                    </a:xfrm>
                    <a:prstGeom prst="rect">
                      <a:avLst/>
                    </a:prstGeom>
                    <a:noFill/>
                    <a:ln w="9525">
                      <a:noFill/>
                      <a:miter lim="800000"/>
                      <a:headEnd/>
                      <a:tailEnd/>
                    </a:ln>
                  </pic:spPr>
                </pic:pic>
              </a:graphicData>
            </a:graphic>
          </wp:inline>
        </w:drawing>
      </w:r>
    </w:p>
    <w:p>
      <w:pPr>
        <w:autoSpaceDE w:val="0"/>
        <w:autoSpaceDN w:val="0"/>
        <w:adjustRightInd w:val="0"/>
        <w:spacing w:line="480" w:lineRule="exact"/>
        <w:ind w:firstLine="480" w:firstLineChars="200"/>
        <w:rPr>
          <w:sz w:val="24"/>
        </w:rPr>
      </w:pPr>
      <w:r>
        <w:rPr>
          <w:rFonts w:hAnsi="宋体"/>
          <w:sz w:val="24"/>
          <w:lang w:val="zh-CN"/>
        </w:rPr>
        <w:t>式中：</w:t>
      </w:r>
      <w:r>
        <w:rPr>
          <w:sz w:val="24"/>
        </w:rPr>
        <w:t>P</w:t>
      </w:r>
      <w:r>
        <w:rPr>
          <w:sz w:val="24"/>
          <w:vertAlign w:val="subscript"/>
        </w:rPr>
        <w:t>i</w:t>
      </w:r>
      <w:r>
        <w:rPr>
          <w:sz w:val="24"/>
        </w:rPr>
        <w:t>——</w:t>
      </w:r>
      <w:r>
        <w:rPr>
          <w:rFonts w:hAnsi="宋体"/>
          <w:sz w:val="24"/>
          <w:lang w:val="zh-CN"/>
        </w:rPr>
        <w:t>第</w:t>
      </w:r>
      <w:r>
        <w:rPr>
          <w:sz w:val="24"/>
        </w:rPr>
        <w:t>i</w:t>
      </w:r>
      <w:r>
        <w:rPr>
          <w:rFonts w:hAnsi="宋体"/>
          <w:sz w:val="24"/>
          <w:lang w:val="zh-CN"/>
        </w:rPr>
        <w:t>种污染物的污染指数；</w:t>
      </w:r>
    </w:p>
    <w:p>
      <w:pPr>
        <w:autoSpaceDE w:val="0"/>
        <w:autoSpaceDN w:val="0"/>
        <w:adjustRightInd w:val="0"/>
        <w:spacing w:line="480" w:lineRule="exact"/>
        <w:ind w:firstLine="1200" w:firstLineChars="500"/>
        <w:rPr>
          <w:sz w:val="24"/>
        </w:rPr>
      </w:pPr>
      <w:r>
        <w:rPr>
          <w:sz w:val="24"/>
        </w:rPr>
        <w:t>C</w:t>
      </w:r>
      <w:r>
        <w:rPr>
          <w:sz w:val="24"/>
          <w:vertAlign w:val="subscript"/>
        </w:rPr>
        <w:t>i</w:t>
      </w:r>
      <w:r>
        <w:rPr>
          <w:sz w:val="24"/>
        </w:rPr>
        <w:t>——</w:t>
      </w:r>
      <w:r>
        <w:rPr>
          <w:rFonts w:hAnsi="宋体"/>
          <w:sz w:val="24"/>
          <w:lang w:val="zh-CN"/>
        </w:rPr>
        <w:t>第</w:t>
      </w:r>
      <w:r>
        <w:rPr>
          <w:sz w:val="24"/>
        </w:rPr>
        <w:t>i</w:t>
      </w:r>
      <w:r>
        <w:rPr>
          <w:rFonts w:hAnsi="宋体"/>
          <w:sz w:val="24"/>
          <w:lang w:val="zh-CN"/>
        </w:rPr>
        <w:t>种污染物的实测浓度（</w:t>
      </w:r>
      <w:r>
        <w:rPr>
          <w:sz w:val="24"/>
        </w:rPr>
        <w:t>mg/L</w:t>
      </w:r>
      <w:r>
        <w:rPr>
          <w:rFonts w:hAnsi="宋体"/>
          <w:sz w:val="24"/>
          <w:lang w:val="zh-CN"/>
        </w:rPr>
        <w:t>）；</w:t>
      </w:r>
    </w:p>
    <w:p>
      <w:pPr>
        <w:autoSpaceDE w:val="0"/>
        <w:autoSpaceDN w:val="0"/>
        <w:adjustRightInd w:val="0"/>
        <w:spacing w:line="480" w:lineRule="exact"/>
        <w:ind w:firstLine="1200" w:firstLineChars="500"/>
        <w:rPr>
          <w:sz w:val="24"/>
        </w:rPr>
      </w:pPr>
      <w:r>
        <w:rPr>
          <w:sz w:val="24"/>
        </w:rPr>
        <w:t>C</w:t>
      </w:r>
      <w:r>
        <w:rPr>
          <w:sz w:val="24"/>
          <w:vertAlign w:val="subscript"/>
        </w:rPr>
        <w:t>oi</w:t>
      </w:r>
      <w:r>
        <w:rPr>
          <w:sz w:val="24"/>
        </w:rPr>
        <w:t>——</w:t>
      </w:r>
      <w:r>
        <w:rPr>
          <w:rFonts w:hAnsi="宋体"/>
          <w:sz w:val="24"/>
          <w:lang w:val="zh-CN"/>
        </w:rPr>
        <w:t>第</w:t>
      </w:r>
      <w:r>
        <w:rPr>
          <w:sz w:val="24"/>
        </w:rPr>
        <w:t>i</w:t>
      </w:r>
      <w:r>
        <w:rPr>
          <w:rFonts w:hAnsi="宋体"/>
          <w:sz w:val="24"/>
          <w:lang w:val="zh-CN"/>
        </w:rPr>
        <w:t>种污染物的评价标准（</w:t>
      </w:r>
      <w:r>
        <w:rPr>
          <w:sz w:val="24"/>
        </w:rPr>
        <w:t>mg/L</w:t>
      </w:r>
      <w:r>
        <w:rPr>
          <w:rFonts w:hAnsi="宋体"/>
          <w:sz w:val="24"/>
          <w:lang w:val="zh-CN"/>
        </w:rPr>
        <w:t>）；</w:t>
      </w:r>
    </w:p>
    <w:p>
      <w:pPr>
        <w:autoSpaceDE w:val="0"/>
        <w:autoSpaceDN w:val="0"/>
        <w:adjustRightInd w:val="0"/>
        <w:spacing w:line="480" w:lineRule="exact"/>
        <w:ind w:firstLine="480" w:firstLineChars="200"/>
        <w:rPr>
          <w:sz w:val="24"/>
        </w:rPr>
      </w:pPr>
      <w:r>
        <w:rPr>
          <w:rFonts w:hAnsi="宋体"/>
          <w:sz w:val="24"/>
          <w:lang w:val="zh-CN"/>
        </w:rPr>
        <w:t>对于评价标准为为区间值的水质因子，其标准指数计算公式：</w:t>
      </w:r>
    </w:p>
    <w:p>
      <w:pPr>
        <w:autoSpaceDE w:val="0"/>
        <w:autoSpaceDN w:val="0"/>
        <w:adjustRightInd w:val="0"/>
        <w:jc w:val="center"/>
      </w:pPr>
      <w:r>
        <w:rPr>
          <w:kern w:val="0"/>
        </w:rPr>
        <w:drawing>
          <wp:inline distT="0" distB="0" distL="0" distR="0">
            <wp:extent cx="2219325" cy="457200"/>
            <wp:effectExtent l="0" t="0" r="0" b="0"/>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noChangeArrowheads="1"/>
                    </pic:cNvPicPr>
                  </pic:nvPicPr>
                  <pic:blipFill>
                    <a:blip r:embed="rId27" cstate="print"/>
                    <a:srcRect/>
                    <a:stretch>
                      <a:fillRect/>
                    </a:stretch>
                  </pic:blipFill>
                  <pic:spPr>
                    <a:xfrm>
                      <a:off x="0" y="0"/>
                      <a:ext cx="2219325" cy="457200"/>
                    </a:xfrm>
                    <a:prstGeom prst="rect">
                      <a:avLst/>
                    </a:prstGeom>
                    <a:noFill/>
                    <a:ln w="9525">
                      <a:noFill/>
                      <a:miter lim="800000"/>
                      <a:headEnd/>
                      <a:tailEnd/>
                    </a:ln>
                  </pic:spPr>
                </pic:pic>
              </a:graphicData>
            </a:graphic>
          </wp:inline>
        </w:drawing>
      </w:r>
    </w:p>
    <w:p>
      <w:pPr>
        <w:autoSpaceDE w:val="0"/>
        <w:autoSpaceDN w:val="0"/>
        <w:adjustRightInd w:val="0"/>
        <w:jc w:val="center"/>
      </w:pPr>
      <w:r>
        <w:rPr>
          <w:kern w:val="0"/>
        </w:rPr>
        <w:drawing>
          <wp:inline distT="0" distB="0" distL="0" distR="0">
            <wp:extent cx="2171700" cy="457200"/>
            <wp:effectExtent l="0" t="0" r="0" b="0"/>
            <wp:docPr id="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pic:cNvPicPr>
                      <a:picLocks noChangeAspect="1" noChangeArrowheads="1"/>
                    </pic:cNvPicPr>
                  </pic:nvPicPr>
                  <pic:blipFill>
                    <a:blip r:embed="rId28" cstate="print"/>
                    <a:srcRect/>
                    <a:stretch>
                      <a:fillRect/>
                    </a:stretch>
                  </pic:blipFill>
                  <pic:spPr>
                    <a:xfrm>
                      <a:off x="0" y="0"/>
                      <a:ext cx="2171700" cy="457200"/>
                    </a:xfrm>
                    <a:prstGeom prst="rect">
                      <a:avLst/>
                    </a:prstGeom>
                    <a:noFill/>
                    <a:ln w="9525">
                      <a:noFill/>
                      <a:miter lim="800000"/>
                      <a:headEnd/>
                      <a:tailEnd/>
                    </a:ln>
                  </pic:spPr>
                </pic:pic>
              </a:graphicData>
            </a:graphic>
          </wp:inline>
        </w:drawing>
      </w:r>
    </w:p>
    <w:p>
      <w:pPr>
        <w:autoSpaceDE w:val="0"/>
        <w:autoSpaceDN w:val="0"/>
        <w:adjustRightInd w:val="0"/>
        <w:spacing w:line="480" w:lineRule="exact"/>
        <w:ind w:firstLine="480" w:firstLineChars="200"/>
        <w:rPr>
          <w:sz w:val="24"/>
        </w:rPr>
      </w:pPr>
      <w:r>
        <w:rPr>
          <w:rFonts w:hAnsi="宋体"/>
          <w:sz w:val="24"/>
          <w:lang w:val="zh-CN"/>
        </w:rPr>
        <w:t>式中：</w:t>
      </w:r>
      <w:r>
        <w:rPr>
          <w:sz w:val="24"/>
        </w:rPr>
        <w:t>pH</w:t>
      </w:r>
      <w:r>
        <w:rPr>
          <w:sz w:val="24"/>
          <w:vertAlign w:val="subscript"/>
        </w:rPr>
        <w:t xml:space="preserve"> j</w:t>
      </w:r>
      <w:r>
        <w:rPr>
          <w:sz w:val="24"/>
        </w:rPr>
        <w:t>——pH</w:t>
      </w:r>
      <w:r>
        <w:rPr>
          <w:rFonts w:hAnsi="宋体"/>
          <w:sz w:val="24"/>
          <w:lang w:val="zh-CN"/>
        </w:rPr>
        <w:t>实测值；</w:t>
      </w:r>
    </w:p>
    <w:p>
      <w:pPr>
        <w:autoSpaceDE w:val="0"/>
        <w:autoSpaceDN w:val="0"/>
        <w:adjustRightInd w:val="0"/>
        <w:spacing w:line="480" w:lineRule="exact"/>
        <w:ind w:firstLine="480" w:firstLineChars="200"/>
        <w:rPr>
          <w:sz w:val="24"/>
        </w:rPr>
      </w:pPr>
      <w:r>
        <w:rPr>
          <w:sz w:val="24"/>
        </w:rPr>
        <w:t xml:space="preserve">      pH</w:t>
      </w:r>
      <w:r>
        <w:rPr>
          <w:sz w:val="24"/>
          <w:vertAlign w:val="subscript"/>
        </w:rPr>
        <w:t xml:space="preserve"> su</w:t>
      </w:r>
      <w:r>
        <w:rPr>
          <w:sz w:val="24"/>
        </w:rPr>
        <w:t>——</w:t>
      </w:r>
      <w:r>
        <w:rPr>
          <w:rFonts w:hAnsi="宋体"/>
          <w:sz w:val="24"/>
          <w:lang w:val="zh-CN"/>
        </w:rPr>
        <w:t>水质标准中规定的</w:t>
      </w:r>
      <w:r>
        <w:rPr>
          <w:sz w:val="24"/>
        </w:rPr>
        <w:t>pH</w:t>
      </w:r>
      <w:r>
        <w:rPr>
          <w:rFonts w:hAnsi="宋体"/>
          <w:sz w:val="24"/>
          <w:lang w:val="zh-CN"/>
        </w:rPr>
        <w:t>值上限；</w:t>
      </w:r>
    </w:p>
    <w:p>
      <w:pPr>
        <w:autoSpaceDE w:val="0"/>
        <w:autoSpaceDN w:val="0"/>
        <w:adjustRightInd w:val="0"/>
        <w:spacing w:line="480" w:lineRule="exact"/>
        <w:ind w:firstLine="480" w:firstLineChars="200"/>
        <w:rPr>
          <w:sz w:val="24"/>
        </w:rPr>
      </w:pPr>
      <w:r>
        <w:rPr>
          <w:sz w:val="24"/>
        </w:rPr>
        <w:t xml:space="preserve">      pH</w:t>
      </w:r>
      <w:r>
        <w:rPr>
          <w:sz w:val="24"/>
          <w:vertAlign w:val="subscript"/>
        </w:rPr>
        <w:t xml:space="preserve"> sd</w:t>
      </w:r>
      <w:r>
        <w:rPr>
          <w:sz w:val="24"/>
        </w:rPr>
        <w:t>——</w:t>
      </w:r>
      <w:r>
        <w:rPr>
          <w:rFonts w:hAnsi="宋体"/>
          <w:sz w:val="24"/>
          <w:lang w:val="zh-CN"/>
        </w:rPr>
        <w:t>表示水质标准中规定的</w:t>
      </w:r>
      <w:r>
        <w:rPr>
          <w:sz w:val="24"/>
        </w:rPr>
        <w:t>pH</w:t>
      </w:r>
      <w:r>
        <w:rPr>
          <w:rFonts w:hAnsi="宋体"/>
          <w:sz w:val="24"/>
          <w:lang w:val="zh-CN"/>
        </w:rPr>
        <w:t>值下限；</w:t>
      </w:r>
    </w:p>
    <w:p>
      <w:pPr>
        <w:spacing w:line="480" w:lineRule="exact"/>
        <w:rPr>
          <w:b/>
          <w:bCs/>
          <w:sz w:val="24"/>
          <w:szCs w:val="24"/>
        </w:rPr>
      </w:pPr>
      <w:r>
        <w:rPr>
          <w:rFonts w:hint="eastAsia"/>
          <w:b/>
          <w:bCs/>
          <w:sz w:val="24"/>
          <w:szCs w:val="24"/>
        </w:rPr>
        <w:t>2、评价结果</w:t>
      </w:r>
    </w:p>
    <w:p>
      <w:pPr>
        <w:widowControl/>
        <w:snapToGrid w:val="0"/>
        <w:spacing w:line="480" w:lineRule="exact"/>
        <w:ind w:firstLine="480" w:firstLineChars="200"/>
        <w:jc w:val="left"/>
        <w:rPr>
          <w:bCs/>
          <w:color w:val="000000"/>
          <w:sz w:val="24"/>
        </w:rPr>
      </w:pPr>
      <w:r>
        <w:rPr>
          <w:rFonts w:hint="eastAsia"/>
          <w:bCs/>
          <w:color w:val="000000"/>
          <w:sz w:val="24"/>
        </w:rPr>
        <w:t>地表水环境质量</w:t>
      </w:r>
      <w:r>
        <w:rPr>
          <w:bCs/>
          <w:color w:val="000000"/>
          <w:sz w:val="24"/>
        </w:rPr>
        <w:t>现状评价结果列于表</w:t>
      </w:r>
      <w:r>
        <w:rPr>
          <w:rFonts w:hint="eastAsia"/>
          <w:bCs/>
          <w:color w:val="000000"/>
          <w:sz w:val="24"/>
        </w:rPr>
        <w:t>4.3-1</w:t>
      </w:r>
      <w:r>
        <w:rPr>
          <w:bCs/>
          <w:color w:val="000000"/>
          <w:sz w:val="24"/>
        </w:rPr>
        <w:t>3，污染物单因子指数P</w:t>
      </w:r>
      <w:r>
        <w:rPr>
          <w:bCs/>
          <w:color w:val="000000"/>
          <w:sz w:val="24"/>
          <w:vertAlign w:val="subscript"/>
        </w:rPr>
        <w:t>i</w:t>
      </w:r>
      <w:r>
        <w:rPr>
          <w:bCs/>
          <w:color w:val="000000"/>
          <w:sz w:val="24"/>
        </w:rPr>
        <w:t>＞1，污染物超标，P</w:t>
      </w:r>
      <w:r>
        <w:rPr>
          <w:bCs/>
          <w:color w:val="000000"/>
          <w:sz w:val="24"/>
          <w:vertAlign w:val="subscript"/>
        </w:rPr>
        <w:t>i</w:t>
      </w:r>
      <w:r>
        <w:rPr>
          <w:bCs/>
          <w:color w:val="000000"/>
          <w:sz w:val="24"/>
        </w:rPr>
        <w:t>≤1，污染物达标，以此说明地下水环境质量水平及各污染物的影响程度。</w:t>
      </w:r>
    </w:p>
    <w:p>
      <w:pPr>
        <w:widowControl/>
        <w:snapToGrid w:val="0"/>
        <w:spacing w:line="480" w:lineRule="exact"/>
        <w:ind w:firstLine="480" w:firstLineChars="200"/>
        <w:jc w:val="left"/>
        <w:rPr>
          <w:rFonts w:ascii="黑体" w:hAnsi="黑体" w:eastAsia="黑体"/>
          <w:color w:val="FF0000"/>
          <w:sz w:val="24"/>
          <w:szCs w:val="24"/>
        </w:rPr>
      </w:pPr>
      <w:r>
        <w:rPr>
          <w:rFonts w:hAnsi="宋体"/>
          <w:kern w:val="0"/>
          <w:sz w:val="24"/>
          <w:lang w:val="zh-CN"/>
        </w:rPr>
        <w:t>由表</w:t>
      </w:r>
      <w:r>
        <w:rPr>
          <w:rFonts w:hint="eastAsia"/>
          <w:sz w:val="24"/>
        </w:rPr>
        <w:t>4.3-10</w:t>
      </w:r>
      <w:r>
        <w:rPr>
          <w:rFonts w:hAnsi="宋体"/>
          <w:kern w:val="0"/>
          <w:sz w:val="24"/>
          <w:lang w:val="zh-CN"/>
        </w:rPr>
        <w:t>可知，</w:t>
      </w:r>
      <w:r>
        <w:rPr>
          <w:rFonts w:hint="eastAsia" w:hAnsi="宋体"/>
          <w:sz w:val="24"/>
        </w:rPr>
        <w:t>1#~</w:t>
      </w:r>
      <w:r>
        <w:rPr>
          <w:rFonts w:hAnsi="宋体"/>
          <w:sz w:val="24"/>
        </w:rPr>
        <w:t>3</w:t>
      </w:r>
      <w:r>
        <w:rPr>
          <w:rFonts w:hint="eastAsia" w:hAnsi="宋体"/>
          <w:sz w:val="24"/>
        </w:rPr>
        <w:t>#监测井中</w:t>
      </w:r>
      <w:r>
        <w:rPr>
          <w:rFonts w:hint="eastAsia"/>
          <w:bCs/>
          <w:sz w:val="24"/>
        </w:rPr>
        <w:t>各个监测因子</w:t>
      </w:r>
      <w:r>
        <w:rPr>
          <w:bCs/>
          <w:sz w:val="24"/>
        </w:rPr>
        <w:t>监测值均符合《地下水质量标准》（GB/T 14848-2017）中的</w:t>
      </w:r>
      <w:r>
        <w:rPr>
          <w:bCs/>
          <w:sz w:val="24"/>
        </w:rPr>
        <w:fldChar w:fldCharType="begin"/>
      </w:r>
      <w:r>
        <w:rPr>
          <w:bCs/>
          <w:sz w:val="24"/>
        </w:rPr>
        <w:instrText xml:space="preserve"> = 3 \* ROMAN </w:instrText>
      </w:r>
      <w:r>
        <w:rPr>
          <w:bCs/>
          <w:sz w:val="24"/>
        </w:rPr>
        <w:fldChar w:fldCharType="separate"/>
      </w:r>
      <w:r>
        <w:rPr>
          <w:bCs/>
          <w:sz w:val="24"/>
        </w:rPr>
        <w:t>III</w:t>
      </w:r>
      <w:r>
        <w:rPr>
          <w:bCs/>
          <w:sz w:val="24"/>
        </w:rPr>
        <w:fldChar w:fldCharType="end"/>
      </w:r>
      <w:r>
        <w:rPr>
          <w:bCs/>
          <w:sz w:val="24"/>
        </w:rPr>
        <w:t>类标准。</w:t>
      </w:r>
    </w:p>
    <w:p>
      <w:pPr>
        <w:widowControl/>
        <w:snapToGrid w:val="0"/>
        <w:spacing w:line="480" w:lineRule="exact"/>
        <w:ind w:firstLine="480" w:firstLineChars="200"/>
        <w:jc w:val="left"/>
        <w:rPr>
          <w:rFonts w:ascii="黑体" w:hAnsi="黑体" w:eastAsia="黑体"/>
          <w:sz w:val="24"/>
          <w:szCs w:val="24"/>
        </w:rPr>
      </w:pPr>
    </w:p>
    <w:p>
      <w:pPr>
        <w:widowControl/>
        <w:snapToGrid w:val="0"/>
        <w:spacing w:line="480" w:lineRule="exact"/>
        <w:ind w:firstLine="480" w:firstLineChars="200"/>
        <w:jc w:val="left"/>
        <w:rPr>
          <w:rFonts w:ascii="黑体" w:hAnsi="黑体" w:eastAsia="黑体"/>
          <w:sz w:val="24"/>
          <w:szCs w:val="24"/>
        </w:rPr>
      </w:pPr>
    </w:p>
    <w:p>
      <w:pPr>
        <w:spacing w:line="480" w:lineRule="exact"/>
        <w:ind w:firstLine="480" w:firstLineChars="200"/>
        <w:rPr>
          <w:bCs/>
          <w:sz w:val="24"/>
          <w:szCs w:val="24"/>
        </w:rPr>
        <w:sectPr>
          <w:headerReference r:id="rId9" w:type="default"/>
          <w:pgSz w:w="11906" w:h="16838"/>
          <w:pgMar w:top="1418" w:right="1531" w:bottom="1418" w:left="1531" w:header="851" w:footer="992" w:gutter="0"/>
          <w:cols w:space="425" w:num="1"/>
          <w:docGrid w:type="linesAndChars" w:linePitch="312" w:charSpace="0"/>
        </w:sectPr>
      </w:pPr>
    </w:p>
    <w:p>
      <w:pPr>
        <w:ind w:firstLine="488" w:firstLineChars="200"/>
        <w:jc w:val="center"/>
        <w:rPr>
          <w:rFonts w:ascii="黑体" w:hAnsi="黑体" w:eastAsia="黑体"/>
          <w:sz w:val="32"/>
        </w:rPr>
      </w:pPr>
      <w:r>
        <w:rPr>
          <w:rFonts w:ascii="黑体" w:hAnsi="黑体" w:eastAsia="黑体"/>
          <w:spacing w:val="2"/>
          <w:sz w:val="24"/>
        </w:rPr>
        <w:t>表</w:t>
      </w:r>
      <w:r>
        <w:rPr>
          <w:rFonts w:hint="eastAsia" w:ascii="黑体" w:hAnsi="黑体" w:eastAsia="黑体"/>
          <w:sz w:val="24"/>
        </w:rPr>
        <w:t>4.3-10</w:t>
      </w:r>
      <w:r>
        <w:rPr>
          <w:rFonts w:ascii="黑体" w:hAnsi="黑体" w:eastAsia="黑体"/>
          <w:spacing w:val="2"/>
          <w:sz w:val="24"/>
        </w:rPr>
        <w:t xml:space="preserve">  地下水质量现状监测数据统计分析表 单位：</w:t>
      </w:r>
      <w:r>
        <w:rPr>
          <w:rFonts w:ascii="黑体" w:hAnsi="黑体" w:eastAsia="黑体"/>
          <w:sz w:val="24"/>
        </w:rPr>
        <w:t>mg/L</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28"/>
        <w:gridCol w:w="1505"/>
        <w:gridCol w:w="1103"/>
        <w:gridCol w:w="1128"/>
        <w:gridCol w:w="1061"/>
        <w:gridCol w:w="901"/>
        <w:gridCol w:w="901"/>
        <w:gridCol w:w="1041"/>
        <w:gridCol w:w="974"/>
        <w:gridCol w:w="873"/>
        <w:gridCol w:w="935"/>
        <w:gridCol w:w="879"/>
        <w:gridCol w:w="879"/>
        <w:gridCol w:w="862"/>
        <w:gridCol w:w="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32" w:type="pct"/>
            <w:vMerge w:val="restart"/>
            <w:vAlign w:val="center"/>
          </w:tcPr>
          <w:p>
            <w:pPr>
              <w:widowControl/>
              <w:jc w:val="center"/>
              <w:rPr>
                <w:szCs w:val="21"/>
              </w:rPr>
            </w:pPr>
            <w:r>
              <w:rPr>
                <w:rFonts w:hAnsi="宋体"/>
                <w:kern w:val="0"/>
                <w:szCs w:val="21"/>
              </w:rPr>
              <w:t>井位</w:t>
            </w:r>
          </w:p>
        </w:tc>
        <w:tc>
          <w:tcPr>
            <w:tcW w:w="538" w:type="pct"/>
            <w:vMerge w:val="restart"/>
            <w:vAlign w:val="center"/>
          </w:tcPr>
          <w:p>
            <w:pPr>
              <w:widowControl/>
              <w:jc w:val="center"/>
              <w:rPr>
                <w:kern w:val="0"/>
                <w:szCs w:val="21"/>
              </w:rPr>
            </w:pPr>
            <w:r>
              <w:rPr>
                <w:rFonts w:hAnsi="宋体"/>
                <w:kern w:val="0"/>
                <w:szCs w:val="21"/>
              </w:rPr>
              <w:t>监测</w:t>
            </w:r>
          </w:p>
          <w:p>
            <w:pPr>
              <w:widowControl/>
              <w:jc w:val="center"/>
              <w:rPr>
                <w:kern w:val="0"/>
                <w:szCs w:val="21"/>
              </w:rPr>
            </w:pPr>
            <w:r>
              <w:rPr>
                <w:rFonts w:hAnsi="宋体"/>
                <w:kern w:val="0"/>
                <w:szCs w:val="21"/>
              </w:rPr>
              <w:t>时间</w:t>
            </w:r>
          </w:p>
        </w:tc>
        <w:tc>
          <w:tcPr>
            <w:tcW w:w="4131" w:type="pct"/>
            <w:gridSpan w:val="13"/>
            <w:vAlign w:val="center"/>
          </w:tcPr>
          <w:p>
            <w:pPr>
              <w:widowControl/>
              <w:jc w:val="center"/>
              <w:rPr>
                <w:kern w:val="0"/>
                <w:szCs w:val="21"/>
              </w:rPr>
            </w:pPr>
            <w:r>
              <w:rPr>
                <w:rFonts w:hAnsi="宋体"/>
                <w:kern w:val="0"/>
                <w:szCs w:val="21"/>
              </w:rPr>
              <w:t>测试结果（</w:t>
            </w:r>
            <w:r>
              <w:rPr>
                <w:kern w:val="0"/>
                <w:szCs w:val="21"/>
              </w:rPr>
              <w:t>mg/L</w:t>
            </w:r>
            <w:r>
              <w:rPr>
                <w:rFonts w:hAnsi="宋体"/>
                <w:kern w:val="0"/>
                <w:szCs w:val="21"/>
              </w:rPr>
              <w:t>，</w:t>
            </w:r>
            <w:r>
              <w:rPr>
                <w:kern w:val="0"/>
                <w:szCs w:val="21"/>
              </w:rPr>
              <w:t>pH</w:t>
            </w:r>
            <w:r>
              <w:rPr>
                <w:rFonts w:hAnsi="宋体"/>
                <w:kern w:val="0"/>
                <w:szCs w:val="21"/>
              </w:rPr>
              <w:t>无量纲，细菌总数个</w:t>
            </w:r>
            <w:r>
              <w:rPr>
                <w:kern w:val="0"/>
                <w:szCs w:val="21"/>
              </w:rPr>
              <w:t>/mL</w:t>
            </w:r>
            <w:r>
              <w:rPr>
                <w:rFonts w:hAnsi="宋体"/>
                <w:kern w:val="0"/>
                <w:szCs w:val="21"/>
              </w:rPr>
              <w:t>，总大肠菌群个</w:t>
            </w:r>
            <w:r>
              <w:rPr>
                <w:kern w:val="0"/>
                <w:szCs w:val="21"/>
              </w:rPr>
              <w:t>/L</w:t>
            </w:r>
            <w:r>
              <w:rPr>
                <w:rFonts w:hAnsi="宋体"/>
                <w:kern w:val="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kern w:val="0"/>
                <w:szCs w:val="21"/>
              </w:rPr>
            </w:pPr>
          </w:p>
        </w:tc>
        <w:tc>
          <w:tcPr>
            <w:tcW w:w="538" w:type="pct"/>
            <w:vMerge w:val="continue"/>
            <w:vAlign w:val="center"/>
          </w:tcPr>
          <w:p>
            <w:pPr>
              <w:widowControl/>
              <w:jc w:val="center"/>
              <w:rPr>
                <w:kern w:val="0"/>
                <w:szCs w:val="21"/>
              </w:rPr>
            </w:pPr>
          </w:p>
        </w:tc>
        <w:tc>
          <w:tcPr>
            <w:tcW w:w="394" w:type="pct"/>
            <w:vAlign w:val="center"/>
          </w:tcPr>
          <w:p>
            <w:pPr>
              <w:jc w:val="center"/>
              <w:rPr>
                <w:szCs w:val="21"/>
              </w:rPr>
            </w:pPr>
            <w:r>
              <w:rPr>
                <w:szCs w:val="21"/>
              </w:rPr>
              <w:t>pH</w:t>
            </w:r>
            <w:r>
              <w:rPr>
                <w:rFonts w:hAnsi="宋体"/>
                <w:szCs w:val="21"/>
              </w:rPr>
              <w:t>值</w:t>
            </w:r>
          </w:p>
        </w:tc>
        <w:tc>
          <w:tcPr>
            <w:tcW w:w="403" w:type="pct"/>
            <w:vAlign w:val="center"/>
          </w:tcPr>
          <w:p>
            <w:pPr>
              <w:jc w:val="center"/>
              <w:rPr>
                <w:szCs w:val="21"/>
              </w:rPr>
            </w:pPr>
            <w:r>
              <w:rPr>
                <w:rFonts w:hAnsi="宋体"/>
                <w:szCs w:val="21"/>
              </w:rPr>
              <w:t>总硬度</w:t>
            </w:r>
          </w:p>
        </w:tc>
        <w:tc>
          <w:tcPr>
            <w:tcW w:w="379" w:type="pct"/>
            <w:vAlign w:val="center"/>
          </w:tcPr>
          <w:p>
            <w:pPr>
              <w:jc w:val="center"/>
              <w:rPr>
                <w:szCs w:val="21"/>
              </w:rPr>
            </w:pPr>
            <w:r>
              <w:rPr>
                <w:rFonts w:hAnsi="宋体"/>
                <w:szCs w:val="21"/>
              </w:rPr>
              <w:t>溶解性总固体</w:t>
            </w:r>
          </w:p>
        </w:tc>
        <w:tc>
          <w:tcPr>
            <w:tcW w:w="322" w:type="pct"/>
            <w:vAlign w:val="center"/>
          </w:tcPr>
          <w:p>
            <w:pPr>
              <w:jc w:val="center"/>
              <w:rPr>
                <w:szCs w:val="21"/>
              </w:rPr>
            </w:pPr>
            <w:r>
              <w:rPr>
                <w:rFonts w:hAnsi="宋体"/>
                <w:szCs w:val="21"/>
              </w:rPr>
              <w:t>硫酸盐</w:t>
            </w:r>
          </w:p>
        </w:tc>
        <w:tc>
          <w:tcPr>
            <w:tcW w:w="322" w:type="pct"/>
            <w:vAlign w:val="center"/>
          </w:tcPr>
          <w:p>
            <w:pPr>
              <w:jc w:val="center"/>
              <w:rPr>
                <w:szCs w:val="21"/>
              </w:rPr>
            </w:pPr>
            <w:r>
              <w:rPr>
                <w:rFonts w:hAnsi="宋体"/>
                <w:szCs w:val="21"/>
              </w:rPr>
              <w:t>氟化物</w:t>
            </w:r>
          </w:p>
        </w:tc>
        <w:tc>
          <w:tcPr>
            <w:tcW w:w="372" w:type="pct"/>
            <w:vAlign w:val="center"/>
          </w:tcPr>
          <w:p>
            <w:pPr>
              <w:jc w:val="center"/>
              <w:rPr>
                <w:szCs w:val="21"/>
              </w:rPr>
            </w:pPr>
            <w:r>
              <w:rPr>
                <w:rFonts w:hAnsi="宋体"/>
                <w:szCs w:val="21"/>
              </w:rPr>
              <w:t>氯化物</w:t>
            </w:r>
          </w:p>
        </w:tc>
        <w:tc>
          <w:tcPr>
            <w:tcW w:w="348" w:type="pct"/>
            <w:vAlign w:val="center"/>
          </w:tcPr>
          <w:p>
            <w:pPr>
              <w:jc w:val="center"/>
              <w:rPr>
                <w:szCs w:val="21"/>
              </w:rPr>
            </w:pPr>
            <w:r>
              <w:rPr>
                <w:rFonts w:hAnsi="宋体"/>
                <w:szCs w:val="21"/>
              </w:rPr>
              <w:t>氨氮</w:t>
            </w:r>
          </w:p>
        </w:tc>
        <w:tc>
          <w:tcPr>
            <w:tcW w:w="312" w:type="pct"/>
            <w:vAlign w:val="center"/>
          </w:tcPr>
          <w:p>
            <w:pPr>
              <w:jc w:val="center"/>
              <w:rPr>
                <w:szCs w:val="21"/>
              </w:rPr>
            </w:pPr>
            <w:r>
              <w:rPr>
                <w:rFonts w:hAnsi="宋体"/>
                <w:szCs w:val="21"/>
              </w:rPr>
              <w:t>硝酸盐</w:t>
            </w:r>
          </w:p>
        </w:tc>
        <w:tc>
          <w:tcPr>
            <w:tcW w:w="334" w:type="pct"/>
            <w:vAlign w:val="center"/>
          </w:tcPr>
          <w:p>
            <w:pPr>
              <w:jc w:val="center"/>
              <w:rPr>
                <w:szCs w:val="21"/>
              </w:rPr>
            </w:pPr>
            <w:r>
              <w:rPr>
                <w:rFonts w:hAnsi="宋体"/>
                <w:szCs w:val="21"/>
              </w:rPr>
              <w:t>亚硝酸盐</w:t>
            </w:r>
          </w:p>
        </w:tc>
        <w:tc>
          <w:tcPr>
            <w:tcW w:w="314" w:type="pct"/>
            <w:vAlign w:val="center"/>
          </w:tcPr>
          <w:p>
            <w:pPr>
              <w:jc w:val="center"/>
              <w:rPr>
                <w:szCs w:val="21"/>
              </w:rPr>
            </w:pPr>
            <w:r>
              <w:rPr>
                <w:rFonts w:hint="eastAsia" w:hAnsi="宋体"/>
                <w:szCs w:val="21"/>
              </w:rPr>
              <w:t>耗氧量</w:t>
            </w:r>
          </w:p>
        </w:tc>
        <w:tc>
          <w:tcPr>
            <w:tcW w:w="314" w:type="pct"/>
            <w:vAlign w:val="center"/>
          </w:tcPr>
          <w:p>
            <w:pPr>
              <w:jc w:val="center"/>
              <w:rPr>
                <w:szCs w:val="21"/>
              </w:rPr>
            </w:pPr>
            <w:r>
              <w:rPr>
                <w:rFonts w:hAnsi="宋体"/>
                <w:szCs w:val="21"/>
              </w:rPr>
              <w:t>六价铬</w:t>
            </w:r>
          </w:p>
        </w:tc>
        <w:tc>
          <w:tcPr>
            <w:tcW w:w="308" w:type="pct"/>
            <w:vAlign w:val="center"/>
          </w:tcPr>
          <w:p>
            <w:pPr>
              <w:jc w:val="center"/>
              <w:rPr>
                <w:szCs w:val="21"/>
              </w:rPr>
            </w:pPr>
            <w:r>
              <w:rPr>
                <w:rFonts w:hAnsi="宋体"/>
                <w:szCs w:val="21"/>
              </w:rPr>
              <w:t>氰化物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restart"/>
            <w:vAlign w:val="center"/>
          </w:tcPr>
          <w:p>
            <w:pPr>
              <w:widowControl/>
              <w:jc w:val="center"/>
              <w:rPr>
                <w:szCs w:val="21"/>
              </w:rPr>
            </w:pPr>
            <w:bookmarkStart w:id="77" w:name="OLE_LINK12" w:colFirst="1" w:colLast="1"/>
            <w:bookmarkStart w:id="78" w:name="OLE_LINK13" w:colFirst="1" w:colLast="1"/>
            <w:bookmarkStart w:id="79" w:name="_Hlk468181961"/>
            <w:r>
              <w:rPr>
                <w:szCs w:val="21"/>
              </w:rPr>
              <w:t>1#</w:t>
            </w:r>
          </w:p>
          <w:p>
            <w:pPr>
              <w:widowControl/>
              <w:jc w:val="center"/>
              <w:rPr>
                <w:szCs w:val="21"/>
              </w:rPr>
            </w:pPr>
            <w:r>
              <w:rPr>
                <w:rFonts w:hint="eastAsia" w:hAnsi="宋体"/>
                <w:szCs w:val="21"/>
              </w:rPr>
              <w:t>柏草坡</w:t>
            </w:r>
            <w:r>
              <w:rPr>
                <w:rFonts w:hAnsi="宋体"/>
                <w:szCs w:val="21"/>
              </w:rPr>
              <w:t>村</w:t>
            </w:r>
          </w:p>
        </w:tc>
        <w:tc>
          <w:tcPr>
            <w:tcW w:w="538" w:type="pct"/>
            <w:vAlign w:val="center"/>
          </w:tcPr>
          <w:p>
            <w:pPr>
              <w:jc w:val="center"/>
              <w:rPr>
                <w:szCs w:val="21"/>
              </w:rPr>
            </w:pPr>
            <w:r>
              <w:rPr>
                <w:szCs w:val="21"/>
              </w:rPr>
              <w:t>201</w:t>
            </w:r>
            <w:r>
              <w:rPr>
                <w:rFonts w:hint="eastAsia"/>
                <w:szCs w:val="21"/>
              </w:rPr>
              <w:t>9</w:t>
            </w:r>
            <w:r>
              <w:rPr>
                <w:szCs w:val="21"/>
              </w:rPr>
              <w:t>.</w:t>
            </w:r>
            <w:r>
              <w:rPr>
                <w:rFonts w:hint="eastAsia"/>
                <w:szCs w:val="21"/>
              </w:rPr>
              <w:t>6</w:t>
            </w:r>
            <w:r>
              <w:rPr>
                <w:szCs w:val="21"/>
              </w:rPr>
              <w:t>.2</w:t>
            </w:r>
            <w:r>
              <w:rPr>
                <w:rFonts w:hint="eastAsia"/>
                <w:szCs w:val="21"/>
              </w:rPr>
              <w:t>1</w:t>
            </w:r>
          </w:p>
        </w:tc>
        <w:tc>
          <w:tcPr>
            <w:tcW w:w="394" w:type="pct"/>
            <w:vAlign w:val="center"/>
          </w:tcPr>
          <w:p>
            <w:pPr>
              <w:jc w:val="center"/>
              <w:rPr>
                <w:szCs w:val="21"/>
              </w:rPr>
            </w:pPr>
            <w:r>
              <w:rPr>
                <w:rFonts w:hint="eastAsia"/>
                <w:szCs w:val="21"/>
              </w:rPr>
              <w:t>7.84</w:t>
            </w:r>
          </w:p>
        </w:tc>
        <w:tc>
          <w:tcPr>
            <w:tcW w:w="403" w:type="pct"/>
            <w:vAlign w:val="center"/>
          </w:tcPr>
          <w:p>
            <w:pPr>
              <w:jc w:val="center"/>
              <w:rPr>
                <w:szCs w:val="21"/>
              </w:rPr>
            </w:pPr>
            <w:r>
              <w:rPr>
                <w:rFonts w:hint="eastAsia"/>
                <w:szCs w:val="21"/>
              </w:rPr>
              <w:t>228</w:t>
            </w:r>
          </w:p>
        </w:tc>
        <w:tc>
          <w:tcPr>
            <w:tcW w:w="379" w:type="pct"/>
            <w:vAlign w:val="center"/>
          </w:tcPr>
          <w:p>
            <w:pPr>
              <w:jc w:val="center"/>
              <w:rPr>
                <w:szCs w:val="21"/>
              </w:rPr>
            </w:pPr>
            <w:r>
              <w:rPr>
                <w:rFonts w:hint="eastAsia"/>
                <w:szCs w:val="21"/>
              </w:rPr>
              <w:t>232</w:t>
            </w:r>
          </w:p>
        </w:tc>
        <w:tc>
          <w:tcPr>
            <w:tcW w:w="322" w:type="pct"/>
            <w:vAlign w:val="center"/>
          </w:tcPr>
          <w:p>
            <w:pPr>
              <w:jc w:val="center"/>
              <w:rPr>
                <w:szCs w:val="21"/>
              </w:rPr>
            </w:pPr>
            <w:r>
              <w:rPr>
                <w:rFonts w:hint="eastAsia"/>
                <w:szCs w:val="21"/>
              </w:rPr>
              <w:t>42</w:t>
            </w:r>
          </w:p>
        </w:tc>
        <w:tc>
          <w:tcPr>
            <w:tcW w:w="322" w:type="pct"/>
            <w:vAlign w:val="center"/>
          </w:tcPr>
          <w:p>
            <w:pPr>
              <w:jc w:val="center"/>
              <w:rPr>
                <w:szCs w:val="21"/>
              </w:rPr>
            </w:pPr>
            <w:r>
              <w:rPr>
                <w:rFonts w:hint="eastAsia"/>
                <w:szCs w:val="21"/>
              </w:rPr>
              <w:t>0.25</w:t>
            </w:r>
          </w:p>
        </w:tc>
        <w:tc>
          <w:tcPr>
            <w:tcW w:w="372" w:type="pct"/>
            <w:vAlign w:val="center"/>
          </w:tcPr>
          <w:p>
            <w:pPr>
              <w:jc w:val="center"/>
              <w:rPr>
                <w:szCs w:val="21"/>
              </w:rPr>
            </w:pPr>
            <w:r>
              <w:rPr>
                <w:rFonts w:hint="eastAsia"/>
                <w:szCs w:val="21"/>
              </w:rPr>
              <w:t>7</w:t>
            </w:r>
          </w:p>
        </w:tc>
        <w:tc>
          <w:tcPr>
            <w:tcW w:w="348" w:type="pct"/>
            <w:vAlign w:val="center"/>
          </w:tcPr>
          <w:p>
            <w:pPr>
              <w:jc w:val="center"/>
              <w:rPr>
                <w:szCs w:val="21"/>
              </w:rPr>
            </w:pPr>
            <w:r>
              <w:rPr>
                <w:rFonts w:hint="eastAsia"/>
                <w:szCs w:val="21"/>
              </w:rPr>
              <w:t>0.026</w:t>
            </w:r>
          </w:p>
        </w:tc>
        <w:tc>
          <w:tcPr>
            <w:tcW w:w="312" w:type="pct"/>
            <w:vAlign w:val="center"/>
          </w:tcPr>
          <w:p>
            <w:pPr>
              <w:jc w:val="center"/>
              <w:rPr>
                <w:szCs w:val="21"/>
              </w:rPr>
            </w:pPr>
            <w:r>
              <w:rPr>
                <w:rFonts w:hint="eastAsia"/>
                <w:szCs w:val="21"/>
              </w:rPr>
              <w:t>2.38</w:t>
            </w:r>
          </w:p>
        </w:tc>
        <w:tc>
          <w:tcPr>
            <w:tcW w:w="334" w:type="pct"/>
            <w:vAlign w:val="center"/>
          </w:tcPr>
          <w:p>
            <w:pPr>
              <w:jc w:val="center"/>
              <w:rPr>
                <w:szCs w:val="21"/>
              </w:rPr>
            </w:pPr>
            <w:r>
              <w:rPr>
                <w:rFonts w:hint="eastAsia"/>
                <w:szCs w:val="21"/>
              </w:rPr>
              <w:t>0.003</w:t>
            </w:r>
          </w:p>
        </w:tc>
        <w:tc>
          <w:tcPr>
            <w:tcW w:w="314" w:type="pct"/>
            <w:vAlign w:val="center"/>
          </w:tcPr>
          <w:p>
            <w:pPr>
              <w:jc w:val="center"/>
              <w:rPr>
                <w:szCs w:val="21"/>
              </w:rPr>
            </w:pPr>
            <w:r>
              <w:rPr>
                <w:rFonts w:hint="eastAsia"/>
                <w:szCs w:val="21"/>
              </w:rPr>
              <w:t>0.32</w:t>
            </w:r>
          </w:p>
        </w:tc>
        <w:tc>
          <w:tcPr>
            <w:tcW w:w="314" w:type="pct"/>
            <w:vAlign w:val="center"/>
          </w:tcPr>
          <w:p>
            <w:pPr>
              <w:jc w:val="center"/>
              <w:rPr>
                <w:szCs w:val="21"/>
              </w:rPr>
            </w:pPr>
            <w:r>
              <w:rPr>
                <w:rFonts w:hint="eastAsia"/>
                <w:szCs w:val="21"/>
              </w:rPr>
              <w:t>0.004</w:t>
            </w:r>
          </w:p>
        </w:tc>
        <w:tc>
          <w:tcPr>
            <w:tcW w:w="308" w:type="pct"/>
            <w:vAlign w:val="center"/>
          </w:tcPr>
          <w:p>
            <w:pPr>
              <w:jc w:val="center"/>
              <w:rPr>
                <w:szCs w:val="21"/>
              </w:rPr>
            </w:pPr>
            <w:r>
              <w:rPr>
                <w:szCs w:val="21"/>
              </w:rPr>
              <w:t>ND</w:t>
            </w:r>
          </w:p>
        </w:tc>
      </w:tr>
      <w:bookmarkEnd w:id="77"/>
      <w:bookmarkEnd w:id="78"/>
      <w:bookmarkEnd w:id="79"/>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szCs w:val="21"/>
              </w:rPr>
            </w:pPr>
          </w:p>
        </w:tc>
        <w:tc>
          <w:tcPr>
            <w:tcW w:w="538" w:type="pct"/>
            <w:vAlign w:val="center"/>
          </w:tcPr>
          <w:p>
            <w:pPr>
              <w:jc w:val="center"/>
              <w:rPr>
                <w:szCs w:val="21"/>
              </w:rPr>
            </w:pPr>
            <w:r>
              <w:rPr>
                <w:rFonts w:hAnsi="宋体"/>
                <w:szCs w:val="21"/>
              </w:rPr>
              <w:t>标准值</w:t>
            </w:r>
          </w:p>
        </w:tc>
        <w:tc>
          <w:tcPr>
            <w:tcW w:w="394" w:type="pct"/>
            <w:vAlign w:val="center"/>
          </w:tcPr>
          <w:p>
            <w:pPr>
              <w:jc w:val="center"/>
              <w:rPr>
                <w:szCs w:val="21"/>
              </w:rPr>
            </w:pPr>
            <w:r>
              <w:rPr>
                <w:szCs w:val="21"/>
              </w:rPr>
              <w:t>6.5~8.5</w:t>
            </w:r>
          </w:p>
        </w:tc>
        <w:tc>
          <w:tcPr>
            <w:tcW w:w="403" w:type="pct"/>
            <w:vAlign w:val="center"/>
          </w:tcPr>
          <w:p>
            <w:pPr>
              <w:jc w:val="center"/>
              <w:rPr>
                <w:szCs w:val="21"/>
              </w:rPr>
            </w:pPr>
            <w:r>
              <w:rPr>
                <w:szCs w:val="21"/>
              </w:rPr>
              <w:t>450</w:t>
            </w:r>
          </w:p>
        </w:tc>
        <w:tc>
          <w:tcPr>
            <w:tcW w:w="379" w:type="pct"/>
            <w:vAlign w:val="center"/>
          </w:tcPr>
          <w:p>
            <w:pPr>
              <w:jc w:val="center"/>
              <w:rPr>
                <w:szCs w:val="21"/>
              </w:rPr>
            </w:pPr>
            <w:r>
              <w:rPr>
                <w:szCs w:val="21"/>
              </w:rPr>
              <w:t>1000</w:t>
            </w:r>
          </w:p>
        </w:tc>
        <w:tc>
          <w:tcPr>
            <w:tcW w:w="322" w:type="pct"/>
            <w:vAlign w:val="center"/>
          </w:tcPr>
          <w:p>
            <w:pPr>
              <w:jc w:val="center"/>
              <w:rPr>
                <w:szCs w:val="21"/>
              </w:rPr>
            </w:pPr>
            <w:r>
              <w:rPr>
                <w:szCs w:val="21"/>
              </w:rPr>
              <w:t>250</w:t>
            </w:r>
          </w:p>
        </w:tc>
        <w:tc>
          <w:tcPr>
            <w:tcW w:w="322" w:type="pct"/>
            <w:vAlign w:val="center"/>
          </w:tcPr>
          <w:p>
            <w:pPr>
              <w:jc w:val="center"/>
              <w:rPr>
                <w:szCs w:val="21"/>
              </w:rPr>
            </w:pPr>
            <w:r>
              <w:rPr>
                <w:szCs w:val="21"/>
              </w:rPr>
              <w:t>1.0</w:t>
            </w:r>
          </w:p>
        </w:tc>
        <w:tc>
          <w:tcPr>
            <w:tcW w:w="372" w:type="pct"/>
            <w:vAlign w:val="center"/>
          </w:tcPr>
          <w:p>
            <w:pPr>
              <w:jc w:val="center"/>
              <w:rPr>
                <w:szCs w:val="21"/>
              </w:rPr>
            </w:pPr>
            <w:r>
              <w:rPr>
                <w:szCs w:val="21"/>
              </w:rPr>
              <w:t>250</w:t>
            </w:r>
          </w:p>
        </w:tc>
        <w:tc>
          <w:tcPr>
            <w:tcW w:w="348" w:type="pct"/>
            <w:vAlign w:val="center"/>
          </w:tcPr>
          <w:p>
            <w:pPr>
              <w:jc w:val="center"/>
              <w:rPr>
                <w:szCs w:val="21"/>
              </w:rPr>
            </w:pPr>
            <w:r>
              <w:rPr>
                <w:szCs w:val="21"/>
              </w:rPr>
              <w:t>0.5</w:t>
            </w:r>
          </w:p>
        </w:tc>
        <w:tc>
          <w:tcPr>
            <w:tcW w:w="312" w:type="pct"/>
            <w:vAlign w:val="center"/>
          </w:tcPr>
          <w:p>
            <w:pPr>
              <w:jc w:val="center"/>
              <w:rPr>
                <w:szCs w:val="21"/>
              </w:rPr>
            </w:pPr>
            <w:r>
              <w:rPr>
                <w:szCs w:val="21"/>
              </w:rPr>
              <w:t>20</w:t>
            </w:r>
          </w:p>
        </w:tc>
        <w:tc>
          <w:tcPr>
            <w:tcW w:w="334" w:type="pct"/>
            <w:vAlign w:val="center"/>
          </w:tcPr>
          <w:p>
            <w:pPr>
              <w:jc w:val="center"/>
              <w:rPr>
                <w:szCs w:val="21"/>
              </w:rPr>
            </w:pPr>
            <w:r>
              <w:rPr>
                <w:szCs w:val="21"/>
              </w:rPr>
              <w:t>1.00</w:t>
            </w:r>
          </w:p>
        </w:tc>
        <w:tc>
          <w:tcPr>
            <w:tcW w:w="314" w:type="pct"/>
            <w:vAlign w:val="center"/>
          </w:tcPr>
          <w:p>
            <w:pPr>
              <w:jc w:val="center"/>
              <w:rPr>
                <w:szCs w:val="21"/>
              </w:rPr>
            </w:pPr>
            <w:r>
              <w:rPr>
                <w:szCs w:val="21"/>
              </w:rPr>
              <w:t>3.0</w:t>
            </w:r>
          </w:p>
        </w:tc>
        <w:tc>
          <w:tcPr>
            <w:tcW w:w="314" w:type="pct"/>
            <w:vAlign w:val="center"/>
          </w:tcPr>
          <w:p>
            <w:pPr>
              <w:jc w:val="center"/>
              <w:rPr>
                <w:szCs w:val="21"/>
              </w:rPr>
            </w:pPr>
            <w:r>
              <w:rPr>
                <w:szCs w:val="21"/>
              </w:rPr>
              <w:t>0.05</w:t>
            </w:r>
          </w:p>
        </w:tc>
        <w:tc>
          <w:tcPr>
            <w:tcW w:w="308" w:type="pct"/>
            <w:vAlign w:val="center"/>
          </w:tcPr>
          <w:p>
            <w:pPr>
              <w:jc w:val="center"/>
              <w:rPr>
                <w:szCs w:val="21"/>
              </w:rPr>
            </w:pPr>
            <w:r>
              <w:rPr>
                <w:szCs w:val="21"/>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szCs w:val="21"/>
              </w:rPr>
            </w:pPr>
          </w:p>
        </w:tc>
        <w:tc>
          <w:tcPr>
            <w:tcW w:w="538" w:type="pct"/>
            <w:vAlign w:val="center"/>
          </w:tcPr>
          <w:p>
            <w:pPr>
              <w:jc w:val="center"/>
              <w:rPr>
                <w:szCs w:val="21"/>
              </w:rPr>
            </w:pPr>
            <w:r>
              <w:rPr>
                <w:rFonts w:hAnsi="宋体"/>
                <w:szCs w:val="21"/>
              </w:rPr>
              <w:t>标准指数</w:t>
            </w:r>
          </w:p>
        </w:tc>
        <w:tc>
          <w:tcPr>
            <w:tcW w:w="394" w:type="pct"/>
            <w:vAlign w:val="center"/>
          </w:tcPr>
          <w:p>
            <w:pPr>
              <w:jc w:val="center"/>
            </w:pPr>
            <w:r>
              <w:rPr>
                <w:rFonts w:hint="eastAsia"/>
              </w:rPr>
              <w:t>0.56</w:t>
            </w:r>
          </w:p>
        </w:tc>
        <w:tc>
          <w:tcPr>
            <w:tcW w:w="403" w:type="pct"/>
            <w:vAlign w:val="center"/>
          </w:tcPr>
          <w:p>
            <w:pPr>
              <w:jc w:val="center"/>
            </w:pPr>
            <w:r>
              <w:rPr>
                <w:rFonts w:hint="eastAsia"/>
              </w:rPr>
              <w:t>0.507</w:t>
            </w:r>
          </w:p>
        </w:tc>
        <w:tc>
          <w:tcPr>
            <w:tcW w:w="379" w:type="pct"/>
            <w:vAlign w:val="center"/>
          </w:tcPr>
          <w:p>
            <w:pPr>
              <w:jc w:val="center"/>
            </w:pPr>
            <w:r>
              <w:rPr>
                <w:rFonts w:hint="eastAsia"/>
              </w:rPr>
              <w:t>0.232</w:t>
            </w:r>
          </w:p>
        </w:tc>
        <w:tc>
          <w:tcPr>
            <w:tcW w:w="322" w:type="pct"/>
            <w:vAlign w:val="center"/>
          </w:tcPr>
          <w:p>
            <w:pPr>
              <w:jc w:val="center"/>
            </w:pPr>
            <w:r>
              <w:rPr>
                <w:rFonts w:hint="eastAsia"/>
              </w:rPr>
              <w:t>0.168</w:t>
            </w:r>
          </w:p>
        </w:tc>
        <w:tc>
          <w:tcPr>
            <w:tcW w:w="322" w:type="pct"/>
            <w:vAlign w:val="center"/>
          </w:tcPr>
          <w:p>
            <w:pPr>
              <w:jc w:val="center"/>
            </w:pPr>
            <w:r>
              <w:rPr>
                <w:rFonts w:hint="eastAsia"/>
              </w:rPr>
              <w:t>0.25</w:t>
            </w:r>
          </w:p>
        </w:tc>
        <w:tc>
          <w:tcPr>
            <w:tcW w:w="372" w:type="pct"/>
            <w:vAlign w:val="center"/>
          </w:tcPr>
          <w:p>
            <w:pPr>
              <w:jc w:val="center"/>
            </w:pPr>
            <w:r>
              <w:rPr>
                <w:rFonts w:hint="eastAsia"/>
              </w:rPr>
              <w:t>0.028</w:t>
            </w:r>
          </w:p>
        </w:tc>
        <w:tc>
          <w:tcPr>
            <w:tcW w:w="348" w:type="pct"/>
            <w:vAlign w:val="center"/>
          </w:tcPr>
          <w:p>
            <w:pPr>
              <w:jc w:val="center"/>
            </w:pPr>
            <w:r>
              <w:rPr>
                <w:rFonts w:hint="eastAsia"/>
              </w:rPr>
              <w:t>0.052</w:t>
            </w:r>
          </w:p>
        </w:tc>
        <w:tc>
          <w:tcPr>
            <w:tcW w:w="312" w:type="pct"/>
            <w:vAlign w:val="center"/>
          </w:tcPr>
          <w:p>
            <w:pPr>
              <w:jc w:val="center"/>
            </w:pPr>
            <w:r>
              <w:rPr>
                <w:rFonts w:hint="eastAsia"/>
              </w:rPr>
              <w:t>0.119</w:t>
            </w:r>
          </w:p>
        </w:tc>
        <w:tc>
          <w:tcPr>
            <w:tcW w:w="334" w:type="pct"/>
            <w:vAlign w:val="center"/>
          </w:tcPr>
          <w:p>
            <w:pPr>
              <w:jc w:val="center"/>
            </w:pPr>
            <w:r>
              <w:rPr>
                <w:rFonts w:hint="eastAsia"/>
              </w:rPr>
              <w:t>0.003</w:t>
            </w:r>
          </w:p>
        </w:tc>
        <w:tc>
          <w:tcPr>
            <w:tcW w:w="314" w:type="pct"/>
            <w:vAlign w:val="center"/>
          </w:tcPr>
          <w:p>
            <w:pPr>
              <w:jc w:val="center"/>
            </w:pPr>
            <w:r>
              <w:rPr>
                <w:rFonts w:hint="eastAsia"/>
              </w:rPr>
              <w:t>0.107</w:t>
            </w:r>
          </w:p>
        </w:tc>
        <w:tc>
          <w:tcPr>
            <w:tcW w:w="314" w:type="pct"/>
            <w:vAlign w:val="center"/>
          </w:tcPr>
          <w:p>
            <w:pPr>
              <w:jc w:val="center"/>
            </w:pPr>
            <w:r>
              <w:rPr>
                <w:rFonts w:hint="eastAsia"/>
              </w:rPr>
              <w:t>0.08</w:t>
            </w:r>
          </w:p>
        </w:tc>
        <w:tc>
          <w:tcPr>
            <w:tcW w:w="308" w:type="pct"/>
            <w:vAlign w:val="center"/>
          </w:tcPr>
          <w:p>
            <w:pPr>
              <w:jc w:val="center"/>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szCs w:val="21"/>
              </w:rPr>
            </w:pPr>
          </w:p>
        </w:tc>
        <w:tc>
          <w:tcPr>
            <w:tcW w:w="538" w:type="pct"/>
            <w:vAlign w:val="center"/>
          </w:tcPr>
          <w:p>
            <w:pPr>
              <w:jc w:val="center"/>
              <w:rPr>
                <w:szCs w:val="21"/>
              </w:rPr>
            </w:pPr>
            <w:r>
              <w:rPr>
                <w:rFonts w:hAnsi="宋体"/>
                <w:szCs w:val="21"/>
              </w:rPr>
              <w:t>达标情况</w:t>
            </w:r>
          </w:p>
        </w:tc>
        <w:tc>
          <w:tcPr>
            <w:tcW w:w="394" w:type="pct"/>
            <w:vAlign w:val="center"/>
          </w:tcPr>
          <w:p>
            <w:pPr>
              <w:jc w:val="center"/>
              <w:rPr>
                <w:szCs w:val="21"/>
              </w:rPr>
            </w:pPr>
            <w:r>
              <w:rPr>
                <w:rFonts w:hAnsi="宋体"/>
                <w:szCs w:val="21"/>
              </w:rPr>
              <w:t>达标</w:t>
            </w:r>
          </w:p>
        </w:tc>
        <w:tc>
          <w:tcPr>
            <w:tcW w:w="403" w:type="pct"/>
            <w:vAlign w:val="center"/>
          </w:tcPr>
          <w:p>
            <w:pPr>
              <w:jc w:val="center"/>
              <w:rPr>
                <w:szCs w:val="21"/>
              </w:rPr>
            </w:pPr>
            <w:r>
              <w:rPr>
                <w:rFonts w:hAnsi="宋体"/>
                <w:szCs w:val="21"/>
              </w:rPr>
              <w:t>达标</w:t>
            </w:r>
          </w:p>
        </w:tc>
        <w:tc>
          <w:tcPr>
            <w:tcW w:w="379" w:type="pct"/>
            <w:vAlign w:val="center"/>
          </w:tcPr>
          <w:p>
            <w:pPr>
              <w:jc w:val="center"/>
              <w:rPr>
                <w:szCs w:val="21"/>
              </w:rPr>
            </w:pPr>
            <w:r>
              <w:rPr>
                <w:rFonts w:hAnsi="宋体"/>
                <w:szCs w:val="21"/>
              </w:rPr>
              <w:t>达标</w:t>
            </w:r>
          </w:p>
        </w:tc>
        <w:tc>
          <w:tcPr>
            <w:tcW w:w="322" w:type="pct"/>
            <w:vAlign w:val="center"/>
          </w:tcPr>
          <w:p>
            <w:pPr>
              <w:jc w:val="center"/>
              <w:rPr>
                <w:szCs w:val="21"/>
              </w:rPr>
            </w:pPr>
            <w:r>
              <w:rPr>
                <w:rFonts w:hAnsi="宋体"/>
                <w:szCs w:val="21"/>
              </w:rPr>
              <w:t>达标</w:t>
            </w:r>
          </w:p>
        </w:tc>
        <w:tc>
          <w:tcPr>
            <w:tcW w:w="322" w:type="pct"/>
            <w:vAlign w:val="center"/>
          </w:tcPr>
          <w:p>
            <w:pPr>
              <w:jc w:val="center"/>
              <w:rPr>
                <w:szCs w:val="21"/>
              </w:rPr>
            </w:pPr>
            <w:r>
              <w:rPr>
                <w:rFonts w:hAnsi="宋体"/>
                <w:szCs w:val="21"/>
              </w:rPr>
              <w:t>达标</w:t>
            </w:r>
          </w:p>
        </w:tc>
        <w:tc>
          <w:tcPr>
            <w:tcW w:w="372" w:type="pct"/>
            <w:vAlign w:val="center"/>
          </w:tcPr>
          <w:p>
            <w:pPr>
              <w:jc w:val="center"/>
              <w:rPr>
                <w:szCs w:val="21"/>
              </w:rPr>
            </w:pPr>
            <w:r>
              <w:rPr>
                <w:rFonts w:hAnsi="宋体"/>
                <w:szCs w:val="21"/>
              </w:rPr>
              <w:t>达标</w:t>
            </w:r>
          </w:p>
        </w:tc>
        <w:tc>
          <w:tcPr>
            <w:tcW w:w="348" w:type="pct"/>
            <w:vAlign w:val="center"/>
          </w:tcPr>
          <w:p>
            <w:pPr>
              <w:jc w:val="center"/>
              <w:rPr>
                <w:szCs w:val="21"/>
              </w:rPr>
            </w:pPr>
            <w:r>
              <w:rPr>
                <w:rFonts w:hAnsi="宋体"/>
                <w:szCs w:val="21"/>
              </w:rPr>
              <w:t>达标</w:t>
            </w:r>
          </w:p>
        </w:tc>
        <w:tc>
          <w:tcPr>
            <w:tcW w:w="312" w:type="pct"/>
            <w:vAlign w:val="center"/>
          </w:tcPr>
          <w:p>
            <w:pPr>
              <w:jc w:val="center"/>
              <w:rPr>
                <w:szCs w:val="21"/>
              </w:rPr>
            </w:pPr>
            <w:r>
              <w:rPr>
                <w:rFonts w:hAnsi="宋体"/>
                <w:szCs w:val="21"/>
              </w:rPr>
              <w:t>达标</w:t>
            </w:r>
          </w:p>
        </w:tc>
        <w:tc>
          <w:tcPr>
            <w:tcW w:w="334" w:type="pct"/>
            <w:vAlign w:val="center"/>
          </w:tcPr>
          <w:p>
            <w:pPr>
              <w:jc w:val="center"/>
              <w:rPr>
                <w:szCs w:val="21"/>
              </w:rPr>
            </w:pPr>
            <w:r>
              <w:rPr>
                <w:rFonts w:hAnsi="宋体"/>
                <w:szCs w:val="21"/>
              </w:rPr>
              <w:t>达标</w:t>
            </w:r>
          </w:p>
        </w:tc>
        <w:tc>
          <w:tcPr>
            <w:tcW w:w="314" w:type="pct"/>
            <w:vAlign w:val="center"/>
          </w:tcPr>
          <w:p>
            <w:pPr>
              <w:jc w:val="center"/>
              <w:rPr>
                <w:szCs w:val="21"/>
              </w:rPr>
            </w:pPr>
            <w:r>
              <w:rPr>
                <w:rFonts w:hAnsi="宋体"/>
                <w:szCs w:val="21"/>
              </w:rPr>
              <w:t>达标</w:t>
            </w:r>
          </w:p>
        </w:tc>
        <w:tc>
          <w:tcPr>
            <w:tcW w:w="314" w:type="pct"/>
            <w:vAlign w:val="center"/>
          </w:tcPr>
          <w:p>
            <w:pPr>
              <w:jc w:val="center"/>
              <w:rPr>
                <w:szCs w:val="21"/>
              </w:rPr>
            </w:pPr>
            <w:r>
              <w:rPr>
                <w:rFonts w:hAnsi="宋体"/>
                <w:szCs w:val="21"/>
              </w:rPr>
              <w:t>达标</w:t>
            </w:r>
          </w:p>
        </w:tc>
        <w:tc>
          <w:tcPr>
            <w:tcW w:w="308" w:type="pct"/>
            <w:vAlign w:val="center"/>
          </w:tcPr>
          <w:p>
            <w:pPr>
              <w:jc w:val="center"/>
              <w:rPr>
                <w:szCs w:val="21"/>
              </w:rPr>
            </w:pPr>
            <w:r>
              <w:rPr>
                <w:rFonts w:hAnsi="宋体"/>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restart"/>
            <w:vAlign w:val="center"/>
          </w:tcPr>
          <w:p>
            <w:pPr>
              <w:pStyle w:val="57"/>
              <w:spacing w:before="0" w:after="0" w:line="240" w:lineRule="auto"/>
              <w:ind w:firstLine="0" w:firstLineChars="0"/>
              <w:jc w:val="center"/>
              <w:rPr>
                <w:sz w:val="21"/>
                <w:szCs w:val="21"/>
              </w:rPr>
            </w:pPr>
            <w:r>
              <w:rPr>
                <w:sz w:val="21"/>
                <w:szCs w:val="21"/>
              </w:rPr>
              <w:t>2#</w:t>
            </w:r>
          </w:p>
          <w:p>
            <w:pPr>
              <w:pStyle w:val="57"/>
              <w:spacing w:before="0" w:after="0" w:line="240" w:lineRule="auto"/>
              <w:ind w:firstLine="0" w:firstLineChars="0"/>
              <w:jc w:val="center"/>
              <w:rPr>
                <w:sz w:val="21"/>
                <w:szCs w:val="21"/>
              </w:rPr>
            </w:pPr>
            <w:r>
              <w:rPr>
                <w:rFonts w:hint="eastAsia" w:hAnsi="宋体"/>
                <w:sz w:val="21"/>
                <w:szCs w:val="21"/>
              </w:rPr>
              <w:t>厂区</w:t>
            </w:r>
            <w:r>
              <w:rPr>
                <w:rFonts w:hAnsi="宋体"/>
                <w:sz w:val="21"/>
                <w:szCs w:val="21"/>
              </w:rPr>
              <w:t>水井</w:t>
            </w:r>
          </w:p>
        </w:tc>
        <w:tc>
          <w:tcPr>
            <w:tcW w:w="538" w:type="pct"/>
            <w:vAlign w:val="center"/>
          </w:tcPr>
          <w:p>
            <w:pPr>
              <w:jc w:val="center"/>
              <w:rPr>
                <w:szCs w:val="21"/>
              </w:rPr>
            </w:pPr>
            <w:r>
              <w:rPr>
                <w:szCs w:val="21"/>
              </w:rPr>
              <w:t>201</w:t>
            </w:r>
            <w:r>
              <w:rPr>
                <w:rFonts w:hint="eastAsia"/>
                <w:szCs w:val="21"/>
              </w:rPr>
              <w:t>9</w:t>
            </w:r>
            <w:r>
              <w:rPr>
                <w:szCs w:val="21"/>
              </w:rPr>
              <w:t>.</w:t>
            </w:r>
            <w:r>
              <w:rPr>
                <w:rFonts w:hint="eastAsia"/>
                <w:szCs w:val="21"/>
              </w:rPr>
              <w:t>6</w:t>
            </w:r>
            <w:r>
              <w:rPr>
                <w:szCs w:val="21"/>
              </w:rPr>
              <w:t>.2</w:t>
            </w:r>
            <w:r>
              <w:rPr>
                <w:rFonts w:hint="eastAsia"/>
                <w:szCs w:val="21"/>
              </w:rPr>
              <w:t>1</w:t>
            </w:r>
          </w:p>
        </w:tc>
        <w:tc>
          <w:tcPr>
            <w:tcW w:w="394" w:type="pct"/>
            <w:vAlign w:val="center"/>
          </w:tcPr>
          <w:p>
            <w:pPr>
              <w:jc w:val="center"/>
              <w:rPr>
                <w:szCs w:val="21"/>
              </w:rPr>
            </w:pPr>
            <w:r>
              <w:rPr>
                <w:rFonts w:hint="eastAsia"/>
                <w:szCs w:val="21"/>
              </w:rPr>
              <w:t>8.14</w:t>
            </w:r>
          </w:p>
        </w:tc>
        <w:tc>
          <w:tcPr>
            <w:tcW w:w="403" w:type="pct"/>
            <w:vAlign w:val="center"/>
          </w:tcPr>
          <w:p>
            <w:pPr>
              <w:jc w:val="center"/>
              <w:rPr>
                <w:szCs w:val="21"/>
              </w:rPr>
            </w:pPr>
            <w:r>
              <w:rPr>
                <w:rFonts w:hint="eastAsia"/>
                <w:szCs w:val="21"/>
              </w:rPr>
              <w:t>187</w:t>
            </w:r>
          </w:p>
        </w:tc>
        <w:tc>
          <w:tcPr>
            <w:tcW w:w="379" w:type="pct"/>
            <w:vAlign w:val="center"/>
          </w:tcPr>
          <w:p>
            <w:pPr>
              <w:jc w:val="center"/>
              <w:rPr>
                <w:szCs w:val="21"/>
              </w:rPr>
            </w:pPr>
            <w:r>
              <w:rPr>
                <w:rFonts w:hint="eastAsia"/>
                <w:szCs w:val="21"/>
              </w:rPr>
              <w:t>198</w:t>
            </w:r>
          </w:p>
        </w:tc>
        <w:tc>
          <w:tcPr>
            <w:tcW w:w="322" w:type="pct"/>
            <w:vAlign w:val="center"/>
          </w:tcPr>
          <w:p>
            <w:pPr>
              <w:jc w:val="center"/>
              <w:rPr>
                <w:szCs w:val="21"/>
              </w:rPr>
            </w:pPr>
            <w:r>
              <w:rPr>
                <w:rFonts w:hint="eastAsia"/>
                <w:szCs w:val="21"/>
              </w:rPr>
              <w:t>15</w:t>
            </w:r>
          </w:p>
        </w:tc>
        <w:tc>
          <w:tcPr>
            <w:tcW w:w="322" w:type="pct"/>
            <w:vAlign w:val="center"/>
          </w:tcPr>
          <w:p>
            <w:pPr>
              <w:jc w:val="center"/>
              <w:rPr>
                <w:szCs w:val="21"/>
              </w:rPr>
            </w:pPr>
            <w:r>
              <w:rPr>
                <w:rFonts w:hint="eastAsia"/>
                <w:szCs w:val="21"/>
              </w:rPr>
              <w:t>0.26</w:t>
            </w:r>
          </w:p>
        </w:tc>
        <w:tc>
          <w:tcPr>
            <w:tcW w:w="372" w:type="pct"/>
            <w:vAlign w:val="center"/>
          </w:tcPr>
          <w:p>
            <w:pPr>
              <w:jc w:val="center"/>
              <w:rPr>
                <w:szCs w:val="21"/>
              </w:rPr>
            </w:pPr>
            <w:r>
              <w:rPr>
                <w:rFonts w:hint="eastAsia"/>
                <w:szCs w:val="21"/>
              </w:rPr>
              <w:t>6</w:t>
            </w:r>
          </w:p>
        </w:tc>
        <w:tc>
          <w:tcPr>
            <w:tcW w:w="348" w:type="pct"/>
            <w:vAlign w:val="center"/>
          </w:tcPr>
          <w:p>
            <w:pPr>
              <w:jc w:val="center"/>
              <w:rPr>
                <w:szCs w:val="21"/>
              </w:rPr>
            </w:pPr>
            <w:r>
              <w:rPr>
                <w:szCs w:val="21"/>
              </w:rPr>
              <w:t>ND</w:t>
            </w:r>
          </w:p>
        </w:tc>
        <w:tc>
          <w:tcPr>
            <w:tcW w:w="312" w:type="pct"/>
            <w:vAlign w:val="center"/>
          </w:tcPr>
          <w:p>
            <w:pPr>
              <w:jc w:val="center"/>
              <w:rPr>
                <w:szCs w:val="21"/>
              </w:rPr>
            </w:pPr>
            <w:r>
              <w:rPr>
                <w:rFonts w:hint="eastAsia"/>
                <w:szCs w:val="21"/>
              </w:rPr>
              <w:t>2.38</w:t>
            </w:r>
          </w:p>
        </w:tc>
        <w:tc>
          <w:tcPr>
            <w:tcW w:w="334" w:type="pct"/>
            <w:vAlign w:val="center"/>
          </w:tcPr>
          <w:p>
            <w:pPr>
              <w:jc w:val="center"/>
              <w:rPr>
                <w:szCs w:val="21"/>
              </w:rPr>
            </w:pPr>
            <w:r>
              <w:rPr>
                <w:rFonts w:hint="eastAsia"/>
                <w:szCs w:val="21"/>
              </w:rPr>
              <w:t>0.001</w:t>
            </w:r>
          </w:p>
        </w:tc>
        <w:tc>
          <w:tcPr>
            <w:tcW w:w="314" w:type="pct"/>
            <w:vAlign w:val="center"/>
          </w:tcPr>
          <w:p>
            <w:pPr>
              <w:jc w:val="center"/>
              <w:rPr>
                <w:szCs w:val="21"/>
              </w:rPr>
            </w:pPr>
            <w:r>
              <w:rPr>
                <w:rFonts w:hint="eastAsia"/>
                <w:szCs w:val="21"/>
              </w:rPr>
              <w:t>0.21</w:t>
            </w:r>
          </w:p>
        </w:tc>
        <w:tc>
          <w:tcPr>
            <w:tcW w:w="314" w:type="pct"/>
            <w:vAlign w:val="center"/>
          </w:tcPr>
          <w:p>
            <w:pPr>
              <w:jc w:val="center"/>
              <w:rPr>
                <w:szCs w:val="21"/>
              </w:rPr>
            </w:pPr>
            <w:r>
              <w:rPr>
                <w:rFonts w:hint="eastAsia"/>
                <w:szCs w:val="21"/>
              </w:rPr>
              <w:t>0.009</w:t>
            </w:r>
          </w:p>
        </w:tc>
        <w:tc>
          <w:tcPr>
            <w:tcW w:w="308" w:type="pct"/>
            <w:vAlign w:val="center"/>
          </w:tcPr>
          <w:p>
            <w:pPr>
              <w:jc w:val="center"/>
              <w:rPr>
                <w:szCs w:val="21"/>
              </w:rPr>
            </w:pPr>
            <w:r>
              <w:rPr>
                <w:rFonts w:hint="eastAsia"/>
                <w:szCs w:val="21"/>
              </w:rPr>
              <w:t>ND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kern w:val="0"/>
                <w:szCs w:val="21"/>
              </w:rPr>
            </w:pPr>
          </w:p>
        </w:tc>
        <w:tc>
          <w:tcPr>
            <w:tcW w:w="538" w:type="pct"/>
            <w:vAlign w:val="center"/>
          </w:tcPr>
          <w:p>
            <w:pPr>
              <w:jc w:val="center"/>
              <w:rPr>
                <w:szCs w:val="21"/>
              </w:rPr>
            </w:pPr>
            <w:r>
              <w:rPr>
                <w:rFonts w:hAnsi="宋体"/>
                <w:szCs w:val="21"/>
              </w:rPr>
              <w:t>标准值</w:t>
            </w:r>
          </w:p>
        </w:tc>
        <w:tc>
          <w:tcPr>
            <w:tcW w:w="394" w:type="pct"/>
            <w:vAlign w:val="center"/>
          </w:tcPr>
          <w:p>
            <w:pPr>
              <w:jc w:val="center"/>
              <w:rPr>
                <w:szCs w:val="21"/>
              </w:rPr>
            </w:pPr>
            <w:r>
              <w:rPr>
                <w:szCs w:val="21"/>
              </w:rPr>
              <w:t>6.5~8.5</w:t>
            </w:r>
          </w:p>
        </w:tc>
        <w:tc>
          <w:tcPr>
            <w:tcW w:w="403" w:type="pct"/>
            <w:vAlign w:val="center"/>
          </w:tcPr>
          <w:p>
            <w:pPr>
              <w:jc w:val="center"/>
              <w:rPr>
                <w:szCs w:val="21"/>
              </w:rPr>
            </w:pPr>
            <w:r>
              <w:rPr>
                <w:szCs w:val="21"/>
              </w:rPr>
              <w:t>450</w:t>
            </w:r>
          </w:p>
        </w:tc>
        <w:tc>
          <w:tcPr>
            <w:tcW w:w="379" w:type="pct"/>
            <w:vAlign w:val="center"/>
          </w:tcPr>
          <w:p>
            <w:pPr>
              <w:jc w:val="center"/>
              <w:rPr>
                <w:szCs w:val="21"/>
              </w:rPr>
            </w:pPr>
            <w:r>
              <w:rPr>
                <w:szCs w:val="21"/>
              </w:rPr>
              <w:t>1000</w:t>
            </w:r>
          </w:p>
        </w:tc>
        <w:tc>
          <w:tcPr>
            <w:tcW w:w="322" w:type="pct"/>
            <w:vAlign w:val="center"/>
          </w:tcPr>
          <w:p>
            <w:pPr>
              <w:jc w:val="center"/>
              <w:rPr>
                <w:szCs w:val="21"/>
              </w:rPr>
            </w:pPr>
            <w:r>
              <w:rPr>
                <w:szCs w:val="21"/>
              </w:rPr>
              <w:t>250</w:t>
            </w:r>
          </w:p>
        </w:tc>
        <w:tc>
          <w:tcPr>
            <w:tcW w:w="322" w:type="pct"/>
            <w:vAlign w:val="center"/>
          </w:tcPr>
          <w:p>
            <w:pPr>
              <w:jc w:val="center"/>
              <w:rPr>
                <w:szCs w:val="21"/>
              </w:rPr>
            </w:pPr>
            <w:r>
              <w:rPr>
                <w:szCs w:val="21"/>
              </w:rPr>
              <w:t>1.0</w:t>
            </w:r>
          </w:p>
        </w:tc>
        <w:tc>
          <w:tcPr>
            <w:tcW w:w="372" w:type="pct"/>
            <w:vAlign w:val="center"/>
          </w:tcPr>
          <w:p>
            <w:pPr>
              <w:jc w:val="center"/>
              <w:rPr>
                <w:szCs w:val="21"/>
              </w:rPr>
            </w:pPr>
            <w:r>
              <w:rPr>
                <w:szCs w:val="21"/>
              </w:rPr>
              <w:t>250</w:t>
            </w:r>
          </w:p>
        </w:tc>
        <w:tc>
          <w:tcPr>
            <w:tcW w:w="348" w:type="pct"/>
            <w:vAlign w:val="center"/>
          </w:tcPr>
          <w:p>
            <w:pPr>
              <w:jc w:val="center"/>
              <w:rPr>
                <w:szCs w:val="21"/>
              </w:rPr>
            </w:pPr>
            <w:r>
              <w:rPr>
                <w:szCs w:val="21"/>
              </w:rPr>
              <w:t>0.5</w:t>
            </w:r>
          </w:p>
        </w:tc>
        <w:tc>
          <w:tcPr>
            <w:tcW w:w="312" w:type="pct"/>
            <w:vAlign w:val="center"/>
          </w:tcPr>
          <w:p>
            <w:pPr>
              <w:jc w:val="center"/>
              <w:rPr>
                <w:szCs w:val="21"/>
              </w:rPr>
            </w:pPr>
            <w:r>
              <w:rPr>
                <w:szCs w:val="21"/>
              </w:rPr>
              <w:t>20</w:t>
            </w:r>
          </w:p>
        </w:tc>
        <w:tc>
          <w:tcPr>
            <w:tcW w:w="334" w:type="pct"/>
            <w:vAlign w:val="center"/>
          </w:tcPr>
          <w:p>
            <w:pPr>
              <w:jc w:val="center"/>
              <w:rPr>
                <w:szCs w:val="21"/>
              </w:rPr>
            </w:pPr>
            <w:r>
              <w:rPr>
                <w:szCs w:val="21"/>
              </w:rPr>
              <w:t>0.02</w:t>
            </w:r>
          </w:p>
        </w:tc>
        <w:tc>
          <w:tcPr>
            <w:tcW w:w="314" w:type="pct"/>
            <w:vAlign w:val="center"/>
          </w:tcPr>
          <w:p>
            <w:pPr>
              <w:jc w:val="center"/>
              <w:rPr>
                <w:szCs w:val="21"/>
              </w:rPr>
            </w:pPr>
            <w:r>
              <w:rPr>
                <w:szCs w:val="21"/>
              </w:rPr>
              <w:t>3.0</w:t>
            </w:r>
          </w:p>
        </w:tc>
        <w:tc>
          <w:tcPr>
            <w:tcW w:w="314" w:type="pct"/>
            <w:vAlign w:val="center"/>
          </w:tcPr>
          <w:p>
            <w:pPr>
              <w:jc w:val="center"/>
              <w:rPr>
                <w:szCs w:val="21"/>
              </w:rPr>
            </w:pPr>
            <w:r>
              <w:rPr>
                <w:szCs w:val="21"/>
              </w:rPr>
              <w:t>0.05</w:t>
            </w:r>
          </w:p>
        </w:tc>
        <w:tc>
          <w:tcPr>
            <w:tcW w:w="308" w:type="pct"/>
            <w:vAlign w:val="center"/>
          </w:tcPr>
          <w:p>
            <w:pPr>
              <w:jc w:val="center"/>
              <w:rPr>
                <w:szCs w:val="21"/>
              </w:rPr>
            </w:pPr>
            <w:r>
              <w:rPr>
                <w:szCs w:val="21"/>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kern w:val="0"/>
                <w:szCs w:val="21"/>
              </w:rPr>
            </w:pPr>
          </w:p>
        </w:tc>
        <w:tc>
          <w:tcPr>
            <w:tcW w:w="538" w:type="pct"/>
            <w:vAlign w:val="center"/>
          </w:tcPr>
          <w:p>
            <w:pPr>
              <w:jc w:val="center"/>
              <w:rPr>
                <w:szCs w:val="21"/>
              </w:rPr>
            </w:pPr>
            <w:r>
              <w:rPr>
                <w:rFonts w:hAnsi="宋体"/>
                <w:szCs w:val="21"/>
              </w:rPr>
              <w:t>标准指数</w:t>
            </w:r>
          </w:p>
        </w:tc>
        <w:tc>
          <w:tcPr>
            <w:tcW w:w="394" w:type="pct"/>
            <w:vAlign w:val="center"/>
          </w:tcPr>
          <w:p>
            <w:pPr>
              <w:widowControl/>
              <w:jc w:val="center"/>
              <w:rPr>
                <w:rFonts w:eastAsia="等线"/>
                <w:color w:val="000000"/>
                <w:szCs w:val="21"/>
              </w:rPr>
            </w:pPr>
            <w:r>
              <w:rPr>
                <w:rFonts w:hint="eastAsia" w:eastAsia="等线"/>
                <w:color w:val="000000"/>
                <w:szCs w:val="21"/>
              </w:rPr>
              <w:t>0.76</w:t>
            </w:r>
          </w:p>
        </w:tc>
        <w:tc>
          <w:tcPr>
            <w:tcW w:w="403" w:type="pct"/>
            <w:vAlign w:val="center"/>
          </w:tcPr>
          <w:p>
            <w:pPr>
              <w:jc w:val="center"/>
              <w:rPr>
                <w:rFonts w:eastAsia="等线"/>
                <w:color w:val="000000"/>
                <w:szCs w:val="21"/>
              </w:rPr>
            </w:pPr>
            <w:r>
              <w:rPr>
                <w:rFonts w:hint="eastAsia" w:eastAsia="等线"/>
                <w:color w:val="000000"/>
                <w:szCs w:val="21"/>
              </w:rPr>
              <w:t>0.416</w:t>
            </w:r>
          </w:p>
        </w:tc>
        <w:tc>
          <w:tcPr>
            <w:tcW w:w="379" w:type="pct"/>
            <w:vAlign w:val="center"/>
          </w:tcPr>
          <w:p>
            <w:pPr>
              <w:jc w:val="center"/>
              <w:rPr>
                <w:rFonts w:eastAsia="等线"/>
                <w:color w:val="000000"/>
                <w:szCs w:val="21"/>
              </w:rPr>
            </w:pPr>
            <w:r>
              <w:rPr>
                <w:rFonts w:hint="eastAsia" w:eastAsia="等线"/>
                <w:color w:val="000000"/>
                <w:szCs w:val="21"/>
              </w:rPr>
              <w:t>0.198</w:t>
            </w:r>
          </w:p>
        </w:tc>
        <w:tc>
          <w:tcPr>
            <w:tcW w:w="322" w:type="pct"/>
            <w:vAlign w:val="center"/>
          </w:tcPr>
          <w:p>
            <w:pPr>
              <w:jc w:val="center"/>
              <w:rPr>
                <w:rFonts w:eastAsia="等线"/>
                <w:color w:val="000000"/>
                <w:szCs w:val="21"/>
              </w:rPr>
            </w:pPr>
            <w:r>
              <w:rPr>
                <w:rFonts w:hint="eastAsia" w:eastAsia="等线"/>
                <w:color w:val="000000"/>
                <w:szCs w:val="21"/>
              </w:rPr>
              <w:t>0.06</w:t>
            </w:r>
          </w:p>
        </w:tc>
        <w:tc>
          <w:tcPr>
            <w:tcW w:w="322" w:type="pct"/>
            <w:vAlign w:val="center"/>
          </w:tcPr>
          <w:p>
            <w:pPr>
              <w:jc w:val="center"/>
              <w:rPr>
                <w:rFonts w:eastAsia="等线"/>
                <w:color w:val="000000"/>
                <w:szCs w:val="21"/>
              </w:rPr>
            </w:pPr>
            <w:r>
              <w:rPr>
                <w:rFonts w:hint="eastAsia" w:eastAsia="等线"/>
                <w:color w:val="000000"/>
                <w:szCs w:val="21"/>
              </w:rPr>
              <w:t>0.26</w:t>
            </w:r>
          </w:p>
        </w:tc>
        <w:tc>
          <w:tcPr>
            <w:tcW w:w="372" w:type="pct"/>
            <w:vAlign w:val="center"/>
          </w:tcPr>
          <w:p>
            <w:pPr>
              <w:jc w:val="center"/>
              <w:rPr>
                <w:rFonts w:eastAsia="等线"/>
                <w:color w:val="000000"/>
                <w:szCs w:val="21"/>
              </w:rPr>
            </w:pPr>
            <w:r>
              <w:rPr>
                <w:rFonts w:hint="eastAsia" w:eastAsia="等线"/>
                <w:color w:val="000000"/>
                <w:szCs w:val="21"/>
              </w:rPr>
              <w:t>0.024</w:t>
            </w:r>
          </w:p>
        </w:tc>
        <w:tc>
          <w:tcPr>
            <w:tcW w:w="348" w:type="pct"/>
            <w:vAlign w:val="center"/>
          </w:tcPr>
          <w:p>
            <w:pPr>
              <w:jc w:val="center"/>
              <w:rPr>
                <w:rFonts w:eastAsia="等线"/>
                <w:color w:val="000000"/>
                <w:szCs w:val="21"/>
              </w:rPr>
            </w:pPr>
            <w:r>
              <w:rPr>
                <w:rFonts w:hint="eastAsia" w:eastAsia="等线"/>
                <w:color w:val="000000"/>
                <w:szCs w:val="21"/>
              </w:rPr>
              <w:t>0</w:t>
            </w:r>
          </w:p>
        </w:tc>
        <w:tc>
          <w:tcPr>
            <w:tcW w:w="312" w:type="pct"/>
            <w:vAlign w:val="center"/>
          </w:tcPr>
          <w:p>
            <w:pPr>
              <w:jc w:val="center"/>
              <w:rPr>
                <w:rFonts w:eastAsia="等线"/>
                <w:color w:val="000000"/>
                <w:szCs w:val="21"/>
              </w:rPr>
            </w:pPr>
            <w:r>
              <w:rPr>
                <w:rFonts w:hint="eastAsia" w:eastAsia="等线"/>
                <w:color w:val="000000"/>
                <w:szCs w:val="21"/>
              </w:rPr>
              <w:t>0.119</w:t>
            </w:r>
          </w:p>
        </w:tc>
        <w:tc>
          <w:tcPr>
            <w:tcW w:w="334" w:type="pct"/>
            <w:vAlign w:val="center"/>
          </w:tcPr>
          <w:p>
            <w:pPr>
              <w:jc w:val="center"/>
              <w:rPr>
                <w:rFonts w:eastAsia="等线"/>
                <w:color w:val="000000"/>
                <w:szCs w:val="21"/>
              </w:rPr>
            </w:pPr>
            <w:r>
              <w:rPr>
                <w:rFonts w:hint="eastAsia" w:eastAsia="等线"/>
                <w:color w:val="000000"/>
                <w:szCs w:val="21"/>
              </w:rPr>
              <w:t>0.001</w:t>
            </w:r>
          </w:p>
        </w:tc>
        <w:tc>
          <w:tcPr>
            <w:tcW w:w="314" w:type="pct"/>
            <w:vAlign w:val="center"/>
          </w:tcPr>
          <w:p>
            <w:pPr>
              <w:jc w:val="center"/>
              <w:rPr>
                <w:rFonts w:eastAsia="等线"/>
                <w:color w:val="000000"/>
                <w:szCs w:val="21"/>
              </w:rPr>
            </w:pPr>
            <w:r>
              <w:rPr>
                <w:rFonts w:hint="eastAsia" w:eastAsia="等线"/>
                <w:color w:val="000000"/>
                <w:szCs w:val="21"/>
              </w:rPr>
              <w:t>0.07</w:t>
            </w:r>
          </w:p>
        </w:tc>
        <w:tc>
          <w:tcPr>
            <w:tcW w:w="314" w:type="pct"/>
            <w:vAlign w:val="center"/>
          </w:tcPr>
          <w:p>
            <w:pPr>
              <w:jc w:val="center"/>
            </w:pPr>
            <w:r>
              <w:rPr>
                <w:rFonts w:hint="eastAsia"/>
              </w:rPr>
              <w:t>0.18</w:t>
            </w:r>
          </w:p>
        </w:tc>
        <w:tc>
          <w:tcPr>
            <w:tcW w:w="308" w:type="pct"/>
            <w:vAlign w:val="center"/>
          </w:tcPr>
          <w:p>
            <w:pPr>
              <w:jc w:val="center"/>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kern w:val="0"/>
                <w:szCs w:val="21"/>
              </w:rPr>
            </w:pPr>
          </w:p>
        </w:tc>
        <w:tc>
          <w:tcPr>
            <w:tcW w:w="538" w:type="pct"/>
            <w:vAlign w:val="center"/>
          </w:tcPr>
          <w:p>
            <w:pPr>
              <w:jc w:val="center"/>
              <w:rPr>
                <w:szCs w:val="21"/>
              </w:rPr>
            </w:pPr>
            <w:r>
              <w:rPr>
                <w:rFonts w:hAnsi="宋体"/>
                <w:szCs w:val="21"/>
              </w:rPr>
              <w:t>达标情况</w:t>
            </w:r>
          </w:p>
        </w:tc>
        <w:tc>
          <w:tcPr>
            <w:tcW w:w="394" w:type="pct"/>
            <w:vAlign w:val="center"/>
          </w:tcPr>
          <w:p>
            <w:pPr>
              <w:jc w:val="center"/>
              <w:rPr>
                <w:szCs w:val="21"/>
              </w:rPr>
            </w:pPr>
            <w:r>
              <w:rPr>
                <w:rFonts w:hAnsi="宋体"/>
                <w:szCs w:val="21"/>
              </w:rPr>
              <w:t>达标</w:t>
            </w:r>
          </w:p>
        </w:tc>
        <w:tc>
          <w:tcPr>
            <w:tcW w:w="403" w:type="pct"/>
            <w:vAlign w:val="center"/>
          </w:tcPr>
          <w:p>
            <w:pPr>
              <w:jc w:val="center"/>
              <w:rPr>
                <w:szCs w:val="21"/>
              </w:rPr>
            </w:pPr>
            <w:r>
              <w:rPr>
                <w:rFonts w:hAnsi="宋体"/>
                <w:szCs w:val="21"/>
              </w:rPr>
              <w:t>达标</w:t>
            </w:r>
          </w:p>
        </w:tc>
        <w:tc>
          <w:tcPr>
            <w:tcW w:w="379" w:type="pct"/>
            <w:vAlign w:val="center"/>
          </w:tcPr>
          <w:p>
            <w:pPr>
              <w:jc w:val="center"/>
              <w:rPr>
                <w:szCs w:val="21"/>
              </w:rPr>
            </w:pPr>
            <w:r>
              <w:rPr>
                <w:rFonts w:hAnsi="宋体"/>
                <w:szCs w:val="21"/>
              </w:rPr>
              <w:t>达标</w:t>
            </w:r>
          </w:p>
        </w:tc>
        <w:tc>
          <w:tcPr>
            <w:tcW w:w="322" w:type="pct"/>
            <w:vAlign w:val="center"/>
          </w:tcPr>
          <w:p>
            <w:pPr>
              <w:jc w:val="center"/>
              <w:rPr>
                <w:szCs w:val="21"/>
              </w:rPr>
            </w:pPr>
            <w:r>
              <w:rPr>
                <w:rFonts w:hAnsi="宋体"/>
                <w:szCs w:val="21"/>
              </w:rPr>
              <w:t>达标</w:t>
            </w:r>
          </w:p>
        </w:tc>
        <w:tc>
          <w:tcPr>
            <w:tcW w:w="322" w:type="pct"/>
            <w:vAlign w:val="center"/>
          </w:tcPr>
          <w:p>
            <w:pPr>
              <w:jc w:val="center"/>
              <w:rPr>
                <w:szCs w:val="21"/>
              </w:rPr>
            </w:pPr>
            <w:r>
              <w:rPr>
                <w:rFonts w:hAnsi="宋体"/>
                <w:szCs w:val="21"/>
              </w:rPr>
              <w:t>达标</w:t>
            </w:r>
          </w:p>
        </w:tc>
        <w:tc>
          <w:tcPr>
            <w:tcW w:w="372" w:type="pct"/>
            <w:vAlign w:val="center"/>
          </w:tcPr>
          <w:p>
            <w:pPr>
              <w:jc w:val="center"/>
              <w:rPr>
                <w:szCs w:val="21"/>
              </w:rPr>
            </w:pPr>
            <w:r>
              <w:rPr>
                <w:rFonts w:hAnsi="宋体"/>
                <w:szCs w:val="21"/>
              </w:rPr>
              <w:t>达标</w:t>
            </w:r>
          </w:p>
        </w:tc>
        <w:tc>
          <w:tcPr>
            <w:tcW w:w="348" w:type="pct"/>
            <w:vAlign w:val="center"/>
          </w:tcPr>
          <w:p>
            <w:pPr>
              <w:jc w:val="center"/>
              <w:rPr>
                <w:szCs w:val="21"/>
              </w:rPr>
            </w:pPr>
            <w:r>
              <w:rPr>
                <w:rFonts w:hAnsi="宋体"/>
                <w:szCs w:val="21"/>
              </w:rPr>
              <w:t>达标</w:t>
            </w:r>
          </w:p>
        </w:tc>
        <w:tc>
          <w:tcPr>
            <w:tcW w:w="312" w:type="pct"/>
            <w:vAlign w:val="center"/>
          </w:tcPr>
          <w:p>
            <w:pPr>
              <w:jc w:val="center"/>
              <w:rPr>
                <w:szCs w:val="21"/>
              </w:rPr>
            </w:pPr>
            <w:r>
              <w:rPr>
                <w:rFonts w:hAnsi="宋体"/>
                <w:szCs w:val="21"/>
              </w:rPr>
              <w:t>达标</w:t>
            </w:r>
          </w:p>
        </w:tc>
        <w:tc>
          <w:tcPr>
            <w:tcW w:w="334" w:type="pct"/>
            <w:vAlign w:val="center"/>
          </w:tcPr>
          <w:p>
            <w:pPr>
              <w:jc w:val="center"/>
              <w:rPr>
                <w:szCs w:val="21"/>
              </w:rPr>
            </w:pPr>
            <w:r>
              <w:rPr>
                <w:rFonts w:hAnsi="宋体"/>
                <w:szCs w:val="21"/>
              </w:rPr>
              <w:t>达标</w:t>
            </w:r>
          </w:p>
        </w:tc>
        <w:tc>
          <w:tcPr>
            <w:tcW w:w="314" w:type="pct"/>
            <w:vAlign w:val="center"/>
          </w:tcPr>
          <w:p>
            <w:pPr>
              <w:jc w:val="center"/>
              <w:rPr>
                <w:szCs w:val="21"/>
              </w:rPr>
            </w:pPr>
            <w:r>
              <w:rPr>
                <w:rFonts w:hAnsi="宋体"/>
                <w:szCs w:val="21"/>
              </w:rPr>
              <w:t>达标</w:t>
            </w:r>
          </w:p>
        </w:tc>
        <w:tc>
          <w:tcPr>
            <w:tcW w:w="314" w:type="pct"/>
            <w:vAlign w:val="center"/>
          </w:tcPr>
          <w:p>
            <w:pPr>
              <w:jc w:val="center"/>
              <w:rPr>
                <w:szCs w:val="21"/>
              </w:rPr>
            </w:pPr>
            <w:r>
              <w:rPr>
                <w:rFonts w:hAnsi="宋体"/>
                <w:szCs w:val="21"/>
              </w:rPr>
              <w:t>达标</w:t>
            </w:r>
          </w:p>
        </w:tc>
        <w:tc>
          <w:tcPr>
            <w:tcW w:w="308" w:type="pct"/>
            <w:vAlign w:val="center"/>
          </w:tcPr>
          <w:p>
            <w:pPr>
              <w:jc w:val="center"/>
              <w:rPr>
                <w:szCs w:val="21"/>
              </w:rPr>
            </w:pPr>
            <w:r>
              <w:rPr>
                <w:rFonts w:hAnsi="宋体"/>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restart"/>
            <w:vAlign w:val="center"/>
          </w:tcPr>
          <w:p>
            <w:pPr>
              <w:pStyle w:val="57"/>
              <w:spacing w:before="0" w:after="0" w:line="240" w:lineRule="auto"/>
              <w:ind w:firstLine="0" w:firstLineChars="0"/>
              <w:jc w:val="center"/>
              <w:rPr>
                <w:sz w:val="21"/>
                <w:szCs w:val="21"/>
              </w:rPr>
            </w:pPr>
            <w:r>
              <w:rPr>
                <w:sz w:val="21"/>
                <w:szCs w:val="21"/>
              </w:rPr>
              <w:t>3#</w:t>
            </w:r>
          </w:p>
          <w:p>
            <w:pPr>
              <w:widowControl/>
              <w:jc w:val="center"/>
              <w:rPr>
                <w:kern w:val="0"/>
                <w:szCs w:val="21"/>
              </w:rPr>
            </w:pPr>
            <w:r>
              <w:rPr>
                <w:rFonts w:hint="eastAsia"/>
              </w:rPr>
              <w:t>圪塔村</w:t>
            </w:r>
          </w:p>
        </w:tc>
        <w:tc>
          <w:tcPr>
            <w:tcW w:w="538" w:type="pct"/>
            <w:vAlign w:val="center"/>
          </w:tcPr>
          <w:p>
            <w:pPr>
              <w:jc w:val="center"/>
              <w:rPr>
                <w:szCs w:val="21"/>
              </w:rPr>
            </w:pPr>
            <w:r>
              <w:rPr>
                <w:szCs w:val="21"/>
              </w:rPr>
              <w:t>201</w:t>
            </w:r>
            <w:r>
              <w:rPr>
                <w:rFonts w:hint="eastAsia"/>
                <w:szCs w:val="21"/>
              </w:rPr>
              <w:t>9</w:t>
            </w:r>
            <w:r>
              <w:rPr>
                <w:szCs w:val="21"/>
              </w:rPr>
              <w:t>.</w:t>
            </w:r>
            <w:r>
              <w:rPr>
                <w:rFonts w:hint="eastAsia"/>
                <w:szCs w:val="21"/>
              </w:rPr>
              <w:t>6</w:t>
            </w:r>
            <w:r>
              <w:rPr>
                <w:szCs w:val="21"/>
              </w:rPr>
              <w:t>.2</w:t>
            </w:r>
            <w:r>
              <w:rPr>
                <w:rFonts w:hint="eastAsia"/>
                <w:szCs w:val="21"/>
              </w:rPr>
              <w:t>1</w:t>
            </w:r>
          </w:p>
        </w:tc>
        <w:tc>
          <w:tcPr>
            <w:tcW w:w="394" w:type="pct"/>
            <w:vAlign w:val="center"/>
          </w:tcPr>
          <w:p>
            <w:pPr>
              <w:jc w:val="center"/>
              <w:rPr>
                <w:szCs w:val="21"/>
              </w:rPr>
            </w:pPr>
            <w:r>
              <w:rPr>
                <w:rFonts w:hint="eastAsia"/>
                <w:szCs w:val="21"/>
              </w:rPr>
              <w:t>8.05</w:t>
            </w:r>
          </w:p>
        </w:tc>
        <w:tc>
          <w:tcPr>
            <w:tcW w:w="403" w:type="pct"/>
            <w:vAlign w:val="center"/>
          </w:tcPr>
          <w:p>
            <w:pPr>
              <w:jc w:val="center"/>
              <w:rPr>
                <w:szCs w:val="21"/>
              </w:rPr>
            </w:pPr>
            <w:r>
              <w:rPr>
                <w:rFonts w:hint="eastAsia"/>
                <w:szCs w:val="21"/>
              </w:rPr>
              <w:t>224</w:t>
            </w:r>
          </w:p>
        </w:tc>
        <w:tc>
          <w:tcPr>
            <w:tcW w:w="379" w:type="pct"/>
            <w:vAlign w:val="center"/>
          </w:tcPr>
          <w:p>
            <w:pPr>
              <w:jc w:val="center"/>
              <w:rPr>
                <w:szCs w:val="21"/>
              </w:rPr>
            </w:pPr>
            <w:r>
              <w:rPr>
                <w:rFonts w:hint="eastAsia"/>
                <w:szCs w:val="21"/>
              </w:rPr>
              <w:t>204</w:t>
            </w:r>
          </w:p>
        </w:tc>
        <w:tc>
          <w:tcPr>
            <w:tcW w:w="322" w:type="pct"/>
            <w:vAlign w:val="center"/>
          </w:tcPr>
          <w:p>
            <w:pPr>
              <w:jc w:val="center"/>
              <w:rPr>
                <w:szCs w:val="21"/>
              </w:rPr>
            </w:pPr>
            <w:r>
              <w:rPr>
                <w:rFonts w:hint="eastAsia"/>
                <w:szCs w:val="21"/>
              </w:rPr>
              <w:t>18</w:t>
            </w:r>
          </w:p>
        </w:tc>
        <w:tc>
          <w:tcPr>
            <w:tcW w:w="322" w:type="pct"/>
            <w:vAlign w:val="center"/>
          </w:tcPr>
          <w:p>
            <w:pPr>
              <w:jc w:val="center"/>
              <w:rPr>
                <w:szCs w:val="21"/>
              </w:rPr>
            </w:pPr>
            <w:r>
              <w:rPr>
                <w:rFonts w:hint="eastAsia"/>
                <w:szCs w:val="21"/>
              </w:rPr>
              <w:t>0.16</w:t>
            </w:r>
          </w:p>
        </w:tc>
        <w:tc>
          <w:tcPr>
            <w:tcW w:w="372" w:type="pct"/>
            <w:vAlign w:val="center"/>
          </w:tcPr>
          <w:p>
            <w:pPr>
              <w:jc w:val="center"/>
              <w:rPr>
                <w:szCs w:val="21"/>
              </w:rPr>
            </w:pPr>
            <w:r>
              <w:rPr>
                <w:rFonts w:hint="eastAsia"/>
                <w:szCs w:val="21"/>
              </w:rPr>
              <w:t>4</w:t>
            </w:r>
          </w:p>
        </w:tc>
        <w:tc>
          <w:tcPr>
            <w:tcW w:w="348" w:type="pct"/>
            <w:vAlign w:val="center"/>
          </w:tcPr>
          <w:p>
            <w:pPr>
              <w:jc w:val="center"/>
              <w:rPr>
                <w:szCs w:val="21"/>
              </w:rPr>
            </w:pPr>
            <w:r>
              <w:rPr>
                <w:rFonts w:hint="eastAsia"/>
                <w:szCs w:val="21"/>
              </w:rPr>
              <w:t>0.026</w:t>
            </w:r>
          </w:p>
        </w:tc>
        <w:tc>
          <w:tcPr>
            <w:tcW w:w="312" w:type="pct"/>
            <w:vAlign w:val="center"/>
          </w:tcPr>
          <w:p>
            <w:pPr>
              <w:jc w:val="center"/>
              <w:rPr>
                <w:szCs w:val="21"/>
              </w:rPr>
            </w:pPr>
            <w:r>
              <w:rPr>
                <w:rFonts w:hint="eastAsia"/>
                <w:szCs w:val="21"/>
              </w:rPr>
              <w:t>2.35</w:t>
            </w:r>
          </w:p>
        </w:tc>
        <w:tc>
          <w:tcPr>
            <w:tcW w:w="334" w:type="pct"/>
            <w:vAlign w:val="center"/>
          </w:tcPr>
          <w:p>
            <w:pPr>
              <w:jc w:val="center"/>
              <w:rPr>
                <w:szCs w:val="21"/>
              </w:rPr>
            </w:pPr>
            <w:r>
              <w:rPr>
                <w:rFonts w:hint="eastAsia"/>
                <w:szCs w:val="21"/>
              </w:rPr>
              <w:t>ND</w:t>
            </w:r>
          </w:p>
        </w:tc>
        <w:tc>
          <w:tcPr>
            <w:tcW w:w="314" w:type="pct"/>
            <w:vAlign w:val="center"/>
          </w:tcPr>
          <w:p>
            <w:pPr>
              <w:jc w:val="center"/>
              <w:rPr>
                <w:szCs w:val="21"/>
              </w:rPr>
            </w:pPr>
            <w:r>
              <w:rPr>
                <w:rFonts w:hint="eastAsia"/>
                <w:szCs w:val="21"/>
              </w:rPr>
              <w:t>0.10</w:t>
            </w:r>
          </w:p>
        </w:tc>
        <w:tc>
          <w:tcPr>
            <w:tcW w:w="314" w:type="pct"/>
            <w:vAlign w:val="center"/>
          </w:tcPr>
          <w:p>
            <w:pPr>
              <w:jc w:val="center"/>
              <w:rPr>
                <w:szCs w:val="21"/>
              </w:rPr>
            </w:pPr>
            <w:r>
              <w:rPr>
                <w:rFonts w:hint="eastAsia"/>
                <w:szCs w:val="21"/>
              </w:rPr>
              <w:t>0.004</w:t>
            </w:r>
          </w:p>
        </w:tc>
        <w:tc>
          <w:tcPr>
            <w:tcW w:w="308" w:type="pct"/>
            <w:vAlign w:val="center"/>
          </w:tcPr>
          <w:p>
            <w:pPr>
              <w:jc w:val="center"/>
              <w:rPr>
                <w:szCs w:val="21"/>
              </w:rPr>
            </w:pPr>
            <w:r>
              <w:rPr>
                <w:rFonts w:hint="eastAsia"/>
                <w:szCs w:val="21"/>
              </w:rPr>
              <w:t>ND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kern w:val="0"/>
                <w:szCs w:val="21"/>
              </w:rPr>
            </w:pPr>
          </w:p>
        </w:tc>
        <w:tc>
          <w:tcPr>
            <w:tcW w:w="538" w:type="pct"/>
            <w:vAlign w:val="center"/>
          </w:tcPr>
          <w:p>
            <w:pPr>
              <w:jc w:val="center"/>
              <w:rPr>
                <w:szCs w:val="21"/>
              </w:rPr>
            </w:pPr>
            <w:r>
              <w:rPr>
                <w:rFonts w:hAnsi="宋体"/>
                <w:szCs w:val="21"/>
              </w:rPr>
              <w:t>标准值</w:t>
            </w:r>
          </w:p>
        </w:tc>
        <w:tc>
          <w:tcPr>
            <w:tcW w:w="394" w:type="pct"/>
            <w:vAlign w:val="center"/>
          </w:tcPr>
          <w:p>
            <w:pPr>
              <w:jc w:val="center"/>
              <w:rPr>
                <w:szCs w:val="21"/>
              </w:rPr>
            </w:pPr>
            <w:r>
              <w:rPr>
                <w:szCs w:val="21"/>
              </w:rPr>
              <w:t>6.5~8.5</w:t>
            </w:r>
          </w:p>
        </w:tc>
        <w:tc>
          <w:tcPr>
            <w:tcW w:w="403" w:type="pct"/>
            <w:vAlign w:val="center"/>
          </w:tcPr>
          <w:p>
            <w:pPr>
              <w:jc w:val="center"/>
              <w:rPr>
                <w:szCs w:val="21"/>
              </w:rPr>
            </w:pPr>
            <w:r>
              <w:rPr>
                <w:szCs w:val="21"/>
              </w:rPr>
              <w:t>450</w:t>
            </w:r>
          </w:p>
        </w:tc>
        <w:tc>
          <w:tcPr>
            <w:tcW w:w="379" w:type="pct"/>
            <w:vAlign w:val="center"/>
          </w:tcPr>
          <w:p>
            <w:pPr>
              <w:jc w:val="center"/>
              <w:rPr>
                <w:szCs w:val="21"/>
              </w:rPr>
            </w:pPr>
            <w:r>
              <w:rPr>
                <w:szCs w:val="21"/>
              </w:rPr>
              <w:t>1000</w:t>
            </w:r>
          </w:p>
        </w:tc>
        <w:tc>
          <w:tcPr>
            <w:tcW w:w="322" w:type="pct"/>
            <w:vAlign w:val="center"/>
          </w:tcPr>
          <w:p>
            <w:pPr>
              <w:jc w:val="center"/>
              <w:rPr>
                <w:szCs w:val="21"/>
              </w:rPr>
            </w:pPr>
            <w:r>
              <w:rPr>
                <w:szCs w:val="21"/>
              </w:rPr>
              <w:t>250</w:t>
            </w:r>
          </w:p>
        </w:tc>
        <w:tc>
          <w:tcPr>
            <w:tcW w:w="322" w:type="pct"/>
            <w:vAlign w:val="center"/>
          </w:tcPr>
          <w:p>
            <w:pPr>
              <w:jc w:val="center"/>
              <w:rPr>
                <w:szCs w:val="21"/>
              </w:rPr>
            </w:pPr>
            <w:r>
              <w:rPr>
                <w:szCs w:val="21"/>
              </w:rPr>
              <w:t>1.0</w:t>
            </w:r>
          </w:p>
        </w:tc>
        <w:tc>
          <w:tcPr>
            <w:tcW w:w="372" w:type="pct"/>
            <w:vAlign w:val="center"/>
          </w:tcPr>
          <w:p>
            <w:pPr>
              <w:jc w:val="center"/>
              <w:rPr>
                <w:szCs w:val="21"/>
              </w:rPr>
            </w:pPr>
            <w:r>
              <w:rPr>
                <w:szCs w:val="21"/>
              </w:rPr>
              <w:t>250</w:t>
            </w:r>
          </w:p>
        </w:tc>
        <w:tc>
          <w:tcPr>
            <w:tcW w:w="348" w:type="pct"/>
            <w:vAlign w:val="center"/>
          </w:tcPr>
          <w:p>
            <w:pPr>
              <w:jc w:val="center"/>
              <w:rPr>
                <w:szCs w:val="21"/>
              </w:rPr>
            </w:pPr>
            <w:r>
              <w:rPr>
                <w:szCs w:val="21"/>
              </w:rPr>
              <w:t>0.5</w:t>
            </w:r>
          </w:p>
        </w:tc>
        <w:tc>
          <w:tcPr>
            <w:tcW w:w="312" w:type="pct"/>
            <w:vAlign w:val="center"/>
          </w:tcPr>
          <w:p>
            <w:pPr>
              <w:jc w:val="center"/>
              <w:rPr>
                <w:szCs w:val="21"/>
              </w:rPr>
            </w:pPr>
            <w:r>
              <w:rPr>
                <w:szCs w:val="21"/>
              </w:rPr>
              <w:t>20</w:t>
            </w:r>
          </w:p>
        </w:tc>
        <w:tc>
          <w:tcPr>
            <w:tcW w:w="334" w:type="pct"/>
            <w:vAlign w:val="center"/>
          </w:tcPr>
          <w:p>
            <w:pPr>
              <w:jc w:val="center"/>
              <w:rPr>
                <w:szCs w:val="21"/>
              </w:rPr>
            </w:pPr>
            <w:r>
              <w:rPr>
                <w:szCs w:val="21"/>
              </w:rPr>
              <w:t>0.02</w:t>
            </w:r>
          </w:p>
        </w:tc>
        <w:tc>
          <w:tcPr>
            <w:tcW w:w="314" w:type="pct"/>
            <w:vAlign w:val="center"/>
          </w:tcPr>
          <w:p>
            <w:pPr>
              <w:jc w:val="center"/>
              <w:rPr>
                <w:szCs w:val="21"/>
              </w:rPr>
            </w:pPr>
            <w:r>
              <w:rPr>
                <w:szCs w:val="21"/>
              </w:rPr>
              <w:t>3.0</w:t>
            </w:r>
          </w:p>
        </w:tc>
        <w:tc>
          <w:tcPr>
            <w:tcW w:w="314" w:type="pct"/>
            <w:vAlign w:val="center"/>
          </w:tcPr>
          <w:p>
            <w:pPr>
              <w:jc w:val="center"/>
              <w:rPr>
                <w:szCs w:val="21"/>
              </w:rPr>
            </w:pPr>
            <w:r>
              <w:rPr>
                <w:szCs w:val="21"/>
              </w:rPr>
              <w:t>0.05</w:t>
            </w:r>
          </w:p>
        </w:tc>
        <w:tc>
          <w:tcPr>
            <w:tcW w:w="308" w:type="pct"/>
            <w:vAlign w:val="center"/>
          </w:tcPr>
          <w:p>
            <w:pPr>
              <w:jc w:val="center"/>
              <w:rPr>
                <w:szCs w:val="21"/>
              </w:rPr>
            </w:pPr>
            <w:r>
              <w:rPr>
                <w:szCs w:val="21"/>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kern w:val="0"/>
                <w:szCs w:val="21"/>
              </w:rPr>
            </w:pPr>
          </w:p>
        </w:tc>
        <w:tc>
          <w:tcPr>
            <w:tcW w:w="538" w:type="pct"/>
            <w:vAlign w:val="center"/>
          </w:tcPr>
          <w:p>
            <w:pPr>
              <w:jc w:val="center"/>
              <w:rPr>
                <w:szCs w:val="21"/>
              </w:rPr>
            </w:pPr>
            <w:r>
              <w:rPr>
                <w:rFonts w:hAnsi="宋体"/>
                <w:szCs w:val="21"/>
              </w:rPr>
              <w:t>标准指数</w:t>
            </w:r>
          </w:p>
        </w:tc>
        <w:tc>
          <w:tcPr>
            <w:tcW w:w="394" w:type="pct"/>
            <w:vAlign w:val="center"/>
          </w:tcPr>
          <w:p>
            <w:pPr>
              <w:widowControl/>
              <w:jc w:val="center"/>
              <w:rPr>
                <w:rFonts w:eastAsia="等线"/>
                <w:color w:val="000000"/>
                <w:szCs w:val="21"/>
              </w:rPr>
            </w:pPr>
            <w:r>
              <w:rPr>
                <w:rFonts w:hint="eastAsia" w:eastAsia="等线"/>
                <w:color w:val="000000"/>
                <w:szCs w:val="21"/>
              </w:rPr>
              <w:t>0.7</w:t>
            </w:r>
          </w:p>
        </w:tc>
        <w:tc>
          <w:tcPr>
            <w:tcW w:w="403" w:type="pct"/>
            <w:vAlign w:val="center"/>
          </w:tcPr>
          <w:p>
            <w:pPr>
              <w:jc w:val="center"/>
              <w:rPr>
                <w:rFonts w:eastAsia="等线"/>
                <w:color w:val="000000"/>
                <w:szCs w:val="21"/>
              </w:rPr>
            </w:pPr>
            <w:r>
              <w:rPr>
                <w:rFonts w:hint="eastAsia" w:eastAsia="等线"/>
                <w:color w:val="000000"/>
                <w:szCs w:val="21"/>
              </w:rPr>
              <w:t>0.498</w:t>
            </w:r>
          </w:p>
        </w:tc>
        <w:tc>
          <w:tcPr>
            <w:tcW w:w="379" w:type="pct"/>
            <w:vAlign w:val="center"/>
          </w:tcPr>
          <w:p>
            <w:pPr>
              <w:jc w:val="center"/>
              <w:rPr>
                <w:rFonts w:eastAsia="等线"/>
                <w:color w:val="000000"/>
                <w:szCs w:val="21"/>
              </w:rPr>
            </w:pPr>
            <w:r>
              <w:rPr>
                <w:rFonts w:hint="eastAsia" w:eastAsia="等线"/>
                <w:color w:val="000000"/>
                <w:szCs w:val="21"/>
              </w:rPr>
              <w:t>0.204</w:t>
            </w:r>
          </w:p>
        </w:tc>
        <w:tc>
          <w:tcPr>
            <w:tcW w:w="322" w:type="pct"/>
            <w:vAlign w:val="center"/>
          </w:tcPr>
          <w:p>
            <w:pPr>
              <w:jc w:val="center"/>
              <w:rPr>
                <w:rFonts w:eastAsia="等线"/>
                <w:color w:val="000000"/>
                <w:szCs w:val="21"/>
              </w:rPr>
            </w:pPr>
            <w:r>
              <w:rPr>
                <w:rFonts w:hint="eastAsia" w:eastAsia="等线"/>
                <w:color w:val="000000"/>
                <w:szCs w:val="21"/>
              </w:rPr>
              <w:t>0.072</w:t>
            </w:r>
          </w:p>
        </w:tc>
        <w:tc>
          <w:tcPr>
            <w:tcW w:w="322" w:type="pct"/>
            <w:vAlign w:val="center"/>
          </w:tcPr>
          <w:p>
            <w:pPr>
              <w:jc w:val="center"/>
              <w:rPr>
                <w:rFonts w:eastAsia="等线"/>
                <w:color w:val="000000"/>
                <w:szCs w:val="21"/>
              </w:rPr>
            </w:pPr>
            <w:r>
              <w:rPr>
                <w:rFonts w:hint="eastAsia" w:eastAsia="等线"/>
                <w:color w:val="000000"/>
                <w:szCs w:val="21"/>
              </w:rPr>
              <w:t>0.16</w:t>
            </w:r>
          </w:p>
        </w:tc>
        <w:tc>
          <w:tcPr>
            <w:tcW w:w="372" w:type="pct"/>
            <w:vAlign w:val="center"/>
          </w:tcPr>
          <w:p>
            <w:pPr>
              <w:jc w:val="center"/>
              <w:rPr>
                <w:rFonts w:eastAsia="等线"/>
                <w:color w:val="000000"/>
                <w:szCs w:val="21"/>
              </w:rPr>
            </w:pPr>
            <w:r>
              <w:rPr>
                <w:rFonts w:hint="eastAsia" w:eastAsia="等线"/>
                <w:color w:val="000000"/>
                <w:szCs w:val="21"/>
              </w:rPr>
              <w:t>0.016</w:t>
            </w:r>
          </w:p>
        </w:tc>
        <w:tc>
          <w:tcPr>
            <w:tcW w:w="348" w:type="pct"/>
            <w:vAlign w:val="center"/>
          </w:tcPr>
          <w:p>
            <w:pPr>
              <w:jc w:val="center"/>
              <w:rPr>
                <w:rFonts w:eastAsia="等线"/>
                <w:color w:val="000000"/>
                <w:szCs w:val="21"/>
              </w:rPr>
            </w:pPr>
            <w:r>
              <w:rPr>
                <w:rFonts w:hint="eastAsia" w:eastAsia="等线"/>
                <w:color w:val="000000"/>
                <w:szCs w:val="21"/>
              </w:rPr>
              <w:t>0.052</w:t>
            </w:r>
          </w:p>
        </w:tc>
        <w:tc>
          <w:tcPr>
            <w:tcW w:w="312" w:type="pct"/>
            <w:vAlign w:val="center"/>
          </w:tcPr>
          <w:p>
            <w:pPr>
              <w:jc w:val="center"/>
              <w:rPr>
                <w:rFonts w:eastAsia="等线"/>
                <w:color w:val="000000"/>
                <w:szCs w:val="21"/>
              </w:rPr>
            </w:pPr>
            <w:r>
              <w:rPr>
                <w:rFonts w:hint="eastAsia" w:eastAsia="等线"/>
                <w:color w:val="000000"/>
                <w:szCs w:val="21"/>
              </w:rPr>
              <w:t>0.118</w:t>
            </w:r>
          </w:p>
        </w:tc>
        <w:tc>
          <w:tcPr>
            <w:tcW w:w="334" w:type="pct"/>
            <w:vAlign w:val="center"/>
          </w:tcPr>
          <w:p>
            <w:pPr>
              <w:jc w:val="center"/>
              <w:rPr>
                <w:rFonts w:eastAsia="等线"/>
                <w:color w:val="000000"/>
                <w:szCs w:val="21"/>
              </w:rPr>
            </w:pPr>
            <w:r>
              <w:rPr>
                <w:rFonts w:hint="eastAsia" w:eastAsia="等线"/>
                <w:color w:val="000000"/>
                <w:szCs w:val="21"/>
              </w:rPr>
              <w:t>0</w:t>
            </w:r>
          </w:p>
        </w:tc>
        <w:tc>
          <w:tcPr>
            <w:tcW w:w="314" w:type="pct"/>
            <w:vAlign w:val="center"/>
          </w:tcPr>
          <w:p>
            <w:pPr>
              <w:jc w:val="center"/>
              <w:rPr>
                <w:rFonts w:eastAsia="等线"/>
                <w:color w:val="000000"/>
                <w:szCs w:val="21"/>
              </w:rPr>
            </w:pPr>
            <w:r>
              <w:rPr>
                <w:rFonts w:hint="eastAsia" w:eastAsia="等线"/>
                <w:color w:val="000000"/>
                <w:szCs w:val="21"/>
              </w:rPr>
              <w:t>0.033</w:t>
            </w:r>
          </w:p>
        </w:tc>
        <w:tc>
          <w:tcPr>
            <w:tcW w:w="314" w:type="pct"/>
            <w:vAlign w:val="center"/>
          </w:tcPr>
          <w:p>
            <w:pPr>
              <w:jc w:val="center"/>
            </w:pPr>
            <w:r>
              <w:rPr>
                <w:rFonts w:hint="eastAsia"/>
              </w:rPr>
              <w:t>0.08</w:t>
            </w:r>
          </w:p>
        </w:tc>
        <w:tc>
          <w:tcPr>
            <w:tcW w:w="308" w:type="pct"/>
            <w:vAlign w:val="center"/>
          </w:tcPr>
          <w:p>
            <w:pPr>
              <w:jc w:val="center"/>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8" w:type="pct"/>
          <w:trHeight w:val="340" w:hRule="atLeast"/>
          <w:tblHeader/>
          <w:jc w:val="center"/>
        </w:trPr>
        <w:tc>
          <w:tcPr>
            <w:tcW w:w="332" w:type="pct"/>
            <w:vMerge w:val="continue"/>
            <w:vAlign w:val="center"/>
          </w:tcPr>
          <w:p>
            <w:pPr>
              <w:widowControl/>
              <w:jc w:val="center"/>
              <w:rPr>
                <w:kern w:val="0"/>
                <w:szCs w:val="21"/>
              </w:rPr>
            </w:pPr>
          </w:p>
        </w:tc>
        <w:tc>
          <w:tcPr>
            <w:tcW w:w="538" w:type="pct"/>
            <w:vAlign w:val="center"/>
          </w:tcPr>
          <w:p>
            <w:pPr>
              <w:jc w:val="center"/>
              <w:rPr>
                <w:szCs w:val="21"/>
              </w:rPr>
            </w:pPr>
            <w:r>
              <w:rPr>
                <w:rFonts w:hAnsi="宋体"/>
                <w:szCs w:val="21"/>
              </w:rPr>
              <w:t>达标情况</w:t>
            </w:r>
          </w:p>
        </w:tc>
        <w:tc>
          <w:tcPr>
            <w:tcW w:w="394" w:type="pct"/>
            <w:vAlign w:val="center"/>
          </w:tcPr>
          <w:p>
            <w:pPr>
              <w:jc w:val="center"/>
              <w:rPr>
                <w:color w:val="FF0000"/>
                <w:szCs w:val="21"/>
              </w:rPr>
            </w:pPr>
            <w:r>
              <w:rPr>
                <w:rFonts w:hAnsi="宋体"/>
                <w:szCs w:val="21"/>
              </w:rPr>
              <w:t>达标</w:t>
            </w:r>
          </w:p>
        </w:tc>
        <w:tc>
          <w:tcPr>
            <w:tcW w:w="403" w:type="pct"/>
            <w:vAlign w:val="center"/>
          </w:tcPr>
          <w:p>
            <w:pPr>
              <w:jc w:val="center"/>
              <w:rPr>
                <w:szCs w:val="21"/>
              </w:rPr>
            </w:pPr>
            <w:r>
              <w:rPr>
                <w:rFonts w:hAnsi="宋体"/>
                <w:szCs w:val="21"/>
              </w:rPr>
              <w:t>达标</w:t>
            </w:r>
          </w:p>
        </w:tc>
        <w:tc>
          <w:tcPr>
            <w:tcW w:w="379" w:type="pct"/>
            <w:vAlign w:val="center"/>
          </w:tcPr>
          <w:p>
            <w:pPr>
              <w:jc w:val="center"/>
              <w:rPr>
                <w:szCs w:val="21"/>
              </w:rPr>
            </w:pPr>
            <w:r>
              <w:rPr>
                <w:rFonts w:hAnsi="宋体"/>
                <w:szCs w:val="21"/>
              </w:rPr>
              <w:t>达标</w:t>
            </w:r>
          </w:p>
        </w:tc>
        <w:tc>
          <w:tcPr>
            <w:tcW w:w="322" w:type="pct"/>
            <w:vAlign w:val="center"/>
          </w:tcPr>
          <w:p>
            <w:pPr>
              <w:jc w:val="center"/>
              <w:rPr>
                <w:szCs w:val="21"/>
              </w:rPr>
            </w:pPr>
            <w:r>
              <w:rPr>
                <w:rFonts w:hAnsi="宋体"/>
                <w:szCs w:val="21"/>
              </w:rPr>
              <w:t>达标</w:t>
            </w:r>
          </w:p>
        </w:tc>
        <w:tc>
          <w:tcPr>
            <w:tcW w:w="322" w:type="pct"/>
            <w:vAlign w:val="center"/>
          </w:tcPr>
          <w:p>
            <w:pPr>
              <w:jc w:val="center"/>
              <w:rPr>
                <w:szCs w:val="21"/>
              </w:rPr>
            </w:pPr>
            <w:r>
              <w:rPr>
                <w:rFonts w:hAnsi="宋体"/>
                <w:szCs w:val="21"/>
              </w:rPr>
              <w:t>达标</w:t>
            </w:r>
          </w:p>
        </w:tc>
        <w:tc>
          <w:tcPr>
            <w:tcW w:w="372" w:type="pct"/>
            <w:vAlign w:val="center"/>
          </w:tcPr>
          <w:p>
            <w:pPr>
              <w:jc w:val="center"/>
              <w:rPr>
                <w:szCs w:val="21"/>
              </w:rPr>
            </w:pPr>
            <w:r>
              <w:rPr>
                <w:rFonts w:hAnsi="宋体"/>
                <w:szCs w:val="21"/>
              </w:rPr>
              <w:t>达标</w:t>
            </w:r>
          </w:p>
        </w:tc>
        <w:tc>
          <w:tcPr>
            <w:tcW w:w="348" w:type="pct"/>
            <w:vAlign w:val="center"/>
          </w:tcPr>
          <w:p>
            <w:pPr>
              <w:jc w:val="center"/>
              <w:rPr>
                <w:szCs w:val="21"/>
              </w:rPr>
            </w:pPr>
            <w:r>
              <w:rPr>
                <w:rFonts w:hAnsi="宋体"/>
                <w:szCs w:val="21"/>
              </w:rPr>
              <w:t>达标</w:t>
            </w:r>
          </w:p>
        </w:tc>
        <w:tc>
          <w:tcPr>
            <w:tcW w:w="312" w:type="pct"/>
            <w:vAlign w:val="center"/>
          </w:tcPr>
          <w:p>
            <w:pPr>
              <w:jc w:val="center"/>
              <w:rPr>
                <w:szCs w:val="21"/>
              </w:rPr>
            </w:pPr>
            <w:r>
              <w:rPr>
                <w:rFonts w:hAnsi="宋体"/>
                <w:szCs w:val="21"/>
              </w:rPr>
              <w:t>达标</w:t>
            </w:r>
          </w:p>
        </w:tc>
        <w:tc>
          <w:tcPr>
            <w:tcW w:w="334" w:type="pct"/>
            <w:vAlign w:val="center"/>
          </w:tcPr>
          <w:p>
            <w:pPr>
              <w:jc w:val="center"/>
              <w:rPr>
                <w:szCs w:val="21"/>
              </w:rPr>
            </w:pPr>
            <w:r>
              <w:rPr>
                <w:rFonts w:hAnsi="宋体"/>
                <w:szCs w:val="21"/>
              </w:rPr>
              <w:t>达标</w:t>
            </w:r>
          </w:p>
        </w:tc>
        <w:tc>
          <w:tcPr>
            <w:tcW w:w="314" w:type="pct"/>
            <w:vAlign w:val="center"/>
          </w:tcPr>
          <w:p>
            <w:pPr>
              <w:jc w:val="center"/>
              <w:rPr>
                <w:szCs w:val="21"/>
              </w:rPr>
            </w:pPr>
            <w:r>
              <w:rPr>
                <w:rFonts w:hAnsi="宋体"/>
                <w:szCs w:val="21"/>
              </w:rPr>
              <w:t>达标</w:t>
            </w:r>
          </w:p>
        </w:tc>
        <w:tc>
          <w:tcPr>
            <w:tcW w:w="314" w:type="pct"/>
            <w:vAlign w:val="center"/>
          </w:tcPr>
          <w:p>
            <w:pPr>
              <w:jc w:val="center"/>
              <w:rPr>
                <w:szCs w:val="21"/>
              </w:rPr>
            </w:pPr>
            <w:r>
              <w:rPr>
                <w:rFonts w:hAnsi="宋体"/>
                <w:szCs w:val="21"/>
              </w:rPr>
              <w:t>达标</w:t>
            </w:r>
          </w:p>
        </w:tc>
        <w:tc>
          <w:tcPr>
            <w:tcW w:w="308" w:type="pct"/>
            <w:vAlign w:val="center"/>
          </w:tcPr>
          <w:p>
            <w:pPr>
              <w:jc w:val="center"/>
              <w:rPr>
                <w:szCs w:val="21"/>
              </w:rPr>
            </w:pPr>
            <w:r>
              <w:rPr>
                <w:rFonts w:hAnsi="宋体"/>
                <w:szCs w:val="21"/>
              </w:rPr>
              <w:t>达标</w:t>
            </w:r>
          </w:p>
        </w:tc>
      </w:tr>
    </w:tbl>
    <w:p>
      <w:pPr>
        <w:ind w:firstLine="488" w:firstLineChars="200"/>
        <w:jc w:val="center"/>
        <w:rPr>
          <w:rFonts w:ascii="黑体" w:hAnsi="黑体" w:eastAsia="黑体"/>
          <w:spacing w:val="2"/>
          <w:sz w:val="24"/>
        </w:rPr>
      </w:pPr>
    </w:p>
    <w:p>
      <w:pPr>
        <w:ind w:firstLine="488" w:firstLineChars="200"/>
        <w:jc w:val="center"/>
        <w:rPr>
          <w:rFonts w:ascii="黑体" w:hAnsi="黑体" w:eastAsia="黑体"/>
          <w:spacing w:val="2"/>
          <w:sz w:val="24"/>
        </w:rPr>
      </w:pPr>
    </w:p>
    <w:p>
      <w:pPr>
        <w:ind w:firstLine="488" w:firstLineChars="200"/>
        <w:jc w:val="center"/>
        <w:rPr>
          <w:rFonts w:ascii="黑体" w:hAnsi="黑体" w:eastAsia="黑体"/>
          <w:sz w:val="32"/>
        </w:rPr>
      </w:pPr>
      <w:r>
        <w:rPr>
          <w:rFonts w:hint="eastAsia" w:ascii="黑体" w:hAnsi="黑体" w:eastAsia="黑体"/>
          <w:spacing w:val="2"/>
          <w:sz w:val="24"/>
        </w:rPr>
        <w:t>续</w:t>
      </w:r>
      <w:r>
        <w:rPr>
          <w:rFonts w:ascii="黑体" w:hAnsi="黑体" w:eastAsia="黑体"/>
          <w:spacing w:val="2"/>
          <w:sz w:val="24"/>
        </w:rPr>
        <w:t>表</w:t>
      </w:r>
      <w:r>
        <w:rPr>
          <w:rFonts w:hint="eastAsia" w:ascii="黑体" w:hAnsi="黑体" w:eastAsia="黑体"/>
          <w:sz w:val="24"/>
        </w:rPr>
        <w:t>4.3-10</w:t>
      </w:r>
      <w:r>
        <w:rPr>
          <w:rFonts w:ascii="黑体" w:hAnsi="黑体" w:eastAsia="黑体"/>
          <w:spacing w:val="2"/>
          <w:sz w:val="24"/>
        </w:rPr>
        <w:t xml:space="preserve">  地下水质量现状监测数据统计分析表 单位：</w:t>
      </w:r>
      <w:r>
        <w:rPr>
          <w:rFonts w:ascii="黑体" w:hAnsi="黑体" w:eastAsia="黑体"/>
          <w:sz w:val="24"/>
        </w:rPr>
        <w:t>mg/L</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45"/>
        <w:gridCol w:w="2292"/>
        <w:gridCol w:w="1005"/>
        <w:gridCol w:w="1005"/>
        <w:gridCol w:w="1010"/>
        <w:gridCol w:w="1002"/>
        <w:gridCol w:w="1010"/>
        <w:gridCol w:w="1013"/>
        <w:gridCol w:w="1086"/>
        <w:gridCol w:w="1441"/>
        <w:gridCol w:w="14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restart"/>
            <w:vAlign w:val="center"/>
          </w:tcPr>
          <w:p>
            <w:pPr>
              <w:widowControl/>
              <w:jc w:val="center"/>
              <w:rPr>
                <w:szCs w:val="21"/>
              </w:rPr>
            </w:pPr>
            <w:r>
              <w:rPr>
                <w:rFonts w:hAnsi="宋体"/>
                <w:kern w:val="0"/>
                <w:szCs w:val="21"/>
              </w:rPr>
              <w:t>井位</w:t>
            </w:r>
          </w:p>
        </w:tc>
        <w:tc>
          <w:tcPr>
            <w:tcW w:w="819" w:type="pct"/>
            <w:vMerge w:val="restart"/>
            <w:vAlign w:val="center"/>
          </w:tcPr>
          <w:p>
            <w:pPr>
              <w:widowControl/>
              <w:jc w:val="center"/>
              <w:rPr>
                <w:kern w:val="0"/>
                <w:szCs w:val="21"/>
              </w:rPr>
            </w:pPr>
            <w:r>
              <w:rPr>
                <w:rFonts w:hAnsi="宋体"/>
                <w:kern w:val="0"/>
                <w:szCs w:val="21"/>
              </w:rPr>
              <w:t>监测</w:t>
            </w:r>
          </w:p>
          <w:p>
            <w:pPr>
              <w:widowControl/>
              <w:jc w:val="center"/>
              <w:rPr>
                <w:kern w:val="0"/>
                <w:szCs w:val="21"/>
              </w:rPr>
            </w:pPr>
            <w:r>
              <w:rPr>
                <w:rFonts w:hAnsi="宋体"/>
                <w:kern w:val="0"/>
                <w:szCs w:val="21"/>
              </w:rPr>
              <w:t>时间</w:t>
            </w:r>
          </w:p>
        </w:tc>
        <w:tc>
          <w:tcPr>
            <w:tcW w:w="1079" w:type="pct"/>
            <w:gridSpan w:val="3"/>
            <w:tcBorders>
              <w:right w:val="single" w:color="auto" w:sz="4" w:space="0"/>
            </w:tcBorders>
            <w:vAlign w:val="center"/>
          </w:tcPr>
          <w:p>
            <w:pPr>
              <w:jc w:val="center"/>
              <w:rPr>
                <w:kern w:val="0"/>
                <w:szCs w:val="21"/>
              </w:rPr>
            </w:pPr>
          </w:p>
        </w:tc>
        <w:tc>
          <w:tcPr>
            <w:tcW w:w="2514" w:type="pct"/>
            <w:gridSpan w:val="6"/>
            <w:tcBorders>
              <w:left w:val="single" w:color="auto" w:sz="4" w:space="0"/>
            </w:tcBorders>
            <w:vAlign w:val="center"/>
          </w:tcPr>
          <w:p>
            <w:pPr>
              <w:jc w:val="center"/>
              <w:rPr>
                <w:kern w:val="0"/>
                <w:szCs w:val="21"/>
              </w:rPr>
            </w:pPr>
            <w:r>
              <w:rPr>
                <w:rFonts w:hAnsi="宋体"/>
                <w:kern w:val="0"/>
                <w:szCs w:val="21"/>
              </w:rPr>
              <w:t>测试结果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kern w:val="0"/>
                <w:szCs w:val="21"/>
              </w:rPr>
            </w:pPr>
          </w:p>
        </w:tc>
        <w:tc>
          <w:tcPr>
            <w:tcW w:w="819" w:type="pct"/>
            <w:vMerge w:val="continue"/>
            <w:vAlign w:val="center"/>
          </w:tcPr>
          <w:p>
            <w:pPr>
              <w:widowControl/>
              <w:jc w:val="center"/>
              <w:rPr>
                <w:kern w:val="0"/>
                <w:szCs w:val="21"/>
              </w:rPr>
            </w:pPr>
          </w:p>
        </w:tc>
        <w:tc>
          <w:tcPr>
            <w:tcW w:w="359" w:type="pct"/>
            <w:vAlign w:val="center"/>
          </w:tcPr>
          <w:p>
            <w:pPr>
              <w:jc w:val="center"/>
              <w:rPr>
                <w:szCs w:val="21"/>
              </w:rPr>
            </w:pPr>
            <w:r>
              <w:rPr>
                <w:rFonts w:hAnsi="宋体"/>
                <w:szCs w:val="21"/>
              </w:rPr>
              <w:t>铅</w:t>
            </w:r>
          </w:p>
        </w:tc>
        <w:tc>
          <w:tcPr>
            <w:tcW w:w="359" w:type="pct"/>
            <w:vAlign w:val="center"/>
          </w:tcPr>
          <w:p>
            <w:pPr>
              <w:jc w:val="center"/>
              <w:rPr>
                <w:szCs w:val="21"/>
              </w:rPr>
            </w:pPr>
            <w:r>
              <w:rPr>
                <w:rFonts w:hAnsi="宋体"/>
                <w:szCs w:val="21"/>
              </w:rPr>
              <w:t>镉</w:t>
            </w:r>
          </w:p>
        </w:tc>
        <w:tc>
          <w:tcPr>
            <w:tcW w:w="361" w:type="pct"/>
            <w:tcBorders>
              <w:right w:val="single" w:color="auto" w:sz="4" w:space="0"/>
            </w:tcBorders>
            <w:vAlign w:val="center"/>
          </w:tcPr>
          <w:p>
            <w:pPr>
              <w:jc w:val="center"/>
              <w:rPr>
                <w:szCs w:val="21"/>
              </w:rPr>
            </w:pPr>
            <w:r>
              <w:rPr>
                <w:rFonts w:hAnsi="宋体"/>
                <w:szCs w:val="21"/>
              </w:rPr>
              <w:t>铁</w:t>
            </w:r>
          </w:p>
        </w:tc>
        <w:tc>
          <w:tcPr>
            <w:tcW w:w="358" w:type="pct"/>
            <w:tcBorders>
              <w:left w:val="single" w:color="auto" w:sz="4" w:space="0"/>
            </w:tcBorders>
            <w:vAlign w:val="center"/>
          </w:tcPr>
          <w:p>
            <w:pPr>
              <w:jc w:val="center"/>
              <w:rPr>
                <w:szCs w:val="21"/>
              </w:rPr>
            </w:pPr>
            <w:r>
              <w:rPr>
                <w:rFonts w:hAnsi="宋体"/>
                <w:szCs w:val="21"/>
              </w:rPr>
              <w:t>锰</w:t>
            </w:r>
          </w:p>
        </w:tc>
        <w:tc>
          <w:tcPr>
            <w:tcW w:w="361" w:type="pct"/>
            <w:vAlign w:val="center"/>
          </w:tcPr>
          <w:p>
            <w:pPr>
              <w:jc w:val="center"/>
              <w:rPr>
                <w:szCs w:val="21"/>
              </w:rPr>
            </w:pPr>
            <w:r>
              <w:rPr>
                <w:rFonts w:hAnsi="宋体"/>
                <w:szCs w:val="21"/>
              </w:rPr>
              <w:t>汞</w:t>
            </w:r>
          </w:p>
        </w:tc>
        <w:tc>
          <w:tcPr>
            <w:tcW w:w="362" w:type="pct"/>
            <w:vAlign w:val="center"/>
          </w:tcPr>
          <w:p>
            <w:pPr>
              <w:jc w:val="center"/>
              <w:rPr>
                <w:szCs w:val="21"/>
              </w:rPr>
            </w:pPr>
            <w:r>
              <w:rPr>
                <w:rFonts w:hAnsi="宋体"/>
                <w:szCs w:val="21"/>
              </w:rPr>
              <w:t>砷</w:t>
            </w:r>
          </w:p>
        </w:tc>
        <w:tc>
          <w:tcPr>
            <w:tcW w:w="388" w:type="pct"/>
            <w:vAlign w:val="center"/>
          </w:tcPr>
          <w:p>
            <w:pPr>
              <w:jc w:val="center"/>
              <w:rPr>
                <w:szCs w:val="21"/>
              </w:rPr>
            </w:pPr>
            <w:r>
              <w:rPr>
                <w:rFonts w:hAnsi="宋体"/>
                <w:szCs w:val="21"/>
              </w:rPr>
              <w:t>挥发性</w:t>
            </w:r>
          </w:p>
          <w:p>
            <w:pPr>
              <w:jc w:val="center"/>
              <w:rPr>
                <w:szCs w:val="21"/>
              </w:rPr>
            </w:pPr>
            <w:r>
              <w:rPr>
                <w:rFonts w:hAnsi="宋体"/>
                <w:szCs w:val="21"/>
              </w:rPr>
              <w:t>酚类</w:t>
            </w:r>
          </w:p>
        </w:tc>
        <w:tc>
          <w:tcPr>
            <w:tcW w:w="515" w:type="pct"/>
            <w:vAlign w:val="center"/>
          </w:tcPr>
          <w:p>
            <w:pPr>
              <w:jc w:val="center"/>
              <w:rPr>
                <w:szCs w:val="21"/>
              </w:rPr>
            </w:pPr>
            <w:r>
              <w:rPr>
                <w:rFonts w:hAnsi="宋体"/>
                <w:szCs w:val="21"/>
              </w:rPr>
              <w:t>总大肠杆菌个</w:t>
            </w:r>
            <w:r>
              <w:rPr>
                <w:szCs w:val="21"/>
              </w:rPr>
              <w:t>/L</w:t>
            </w:r>
          </w:p>
        </w:tc>
        <w:tc>
          <w:tcPr>
            <w:tcW w:w="530" w:type="pct"/>
            <w:vAlign w:val="center"/>
          </w:tcPr>
          <w:p>
            <w:pPr>
              <w:jc w:val="center"/>
              <w:rPr>
                <w:szCs w:val="21"/>
              </w:rPr>
            </w:pPr>
            <w:r>
              <w:rPr>
                <w:rFonts w:hAnsi="宋体"/>
                <w:szCs w:val="21"/>
              </w:rPr>
              <w:t>细菌个数个</w:t>
            </w:r>
            <w:r>
              <w:rPr>
                <w:szCs w:val="21"/>
              </w:rPr>
              <w:t>/mL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restart"/>
            <w:vAlign w:val="center"/>
          </w:tcPr>
          <w:p>
            <w:pPr>
              <w:widowControl/>
              <w:jc w:val="center"/>
              <w:rPr>
                <w:szCs w:val="21"/>
              </w:rPr>
            </w:pPr>
            <w:r>
              <w:rPr>
                <w:szCs w:val="21"/>
              </w:rPr>
              <w:t>1#</w:t>
            </w:r>
          </w:p>
          <w:p>
            <w:pPr>
              <w:widowControl/>
              <w:jc w:val="center"/>
              <w:rPr>
                <w:szCs w:val="21"/>
              </w:rPr>
            </w:pPr>
            <w:r>
              <w:rPr>
                <w:rFonts w:hint="eastAsia" w:hAnsi="宋体"/>
                <w:szCs w:val="21"/>
              </w:rPr>
              <w:t>柏草坡</w:t>
            </w:r>
            <w:r>
              <w:rPr>
                <w:rFonts w:hAnsi="宋体"/>
                <w:szCs w:val="21"/>
              </w:rPr>
              <w:t>村</w:t>
            </w:r>
          </w:p>
        </w:tc>
        <w:tc>
          <w:tcPr>
            <w:tcW w:w="819" w:type="pct"/>
            <w:vAlign w:val="center"/>
          </w:tcPr>
          <w:p>
            <w:pPr>
              <w:jc w:val="center"/>
              <w:rPr>
                <w:szCs w:val="21"/>
              </w:rPr>
            </w:pPr>
            <w:r>
              <w:rPr>
                <w:szCs w:val="21"/>
              </w:rPr>
              <w:t>201</w:t>
            </w:r>
            <w:r>
              <w:rPr>
                <w:rFonts w:hint="eastAsia"/>
                <w:szCs w:val="21"/>
              </w:rPr>
              <w:t>9</w:t>
            </w:r>
            <w:r>
              <w:rPr>
                <w:szCs w:val="21"/>
              </w:rPr>
              <w:t>.</w:t>
            </w:r>
            <w:r>
              <w:rPr>
                <w:rFonts w:hint="eastAsia"/>
                <w:szCs w:val="21"/>
              </w:rPr>
              <w:t>6</w:t>
            </w:r>
            <w:r>
              <w:rPr>
                <w:szCs w:val="21"/>
              </w:rPr>
              <w:t>.2</w:t>
            </w:r>
            <w:r>
              <w:rPr>
                <w:rFonts w:hint="eastAsia"/>
                <w:szCs w:val="21"/>
              </w:rPr>
              <w:t>1</w:t>
            </w:r>
          </w:p>
        </w:tc>
        <w:tc>
          <w:tcPr>
            <w:tcW w:w="359" w:type="pct"/>
            <w:vAlign w:val="center"/>
          </w:tcPr>
          <w:p>
            <w:pPr>
              <w:jc w:val="center"/>
              <w:rPr>
                <w:szCs w:val="21"/>
              </w:rPr>
            </w:pPr>
            <w:r>
              <w:rPr>
                <w:szCs w:val="21"/>
              </w:rPr>
              <w:t>ND</w:t>
            </w:r>
          </w:p>
        </w:tc>
        <w:tc>
          <w:tcPr>
            <w:tcW w:w="359" w:type="pct"/>
            <w:vAlign w:val="center"/>
          </w:tcPr>
          <w:p>
            <w:pPr>
              <w:jc w:val="center"/>
              <w:rPr>
                <w:szCs w:val="21"/>
              </w:rPr>
            </w:pPr>
            <w:r>
              <w:rPr>
                <w:szCs w:val="21"/>
              </w:rPr>
              <w:t>ND</w:t>
            </w:r>
          </w:p>
        </w:tc>
        <w:tc>
          <w:tcPr>
            <w:tcW w:w="361" w:type="pct"/>
            <w:vAlign w:val="center"/>
          </w:tcPr>
          <w:p>
            <w:pPr>
              <w:jc w:val="center"/>
              <w:rPr>
                <w:szCs w:val="21"/>
              </w:rPr>
            </w:pPr>
            <w:r>
              <w:rPr>
                <w:szCs w:val="21"/>
              </w:rPr>
              <w:t>ND</w:t>
            </w:r>
          </w:p>
        </w:tc>
        <w:tc>
          <w:tcPr>
            <w:tcW w:w="358" w:type="pct"/>
            <w:vAlign w:val="center"/>
          </w:tcPr>
          <w:p>
            <w:pPr>
              <w:jc w:val="center"/>
              <w:rPr>
                <w:szCs w:val="21"/>
              </w:rPr>
            </w:pPr>
            <w:r>
              <w:rPr>
                <w:szCs w:val="21"/>
              </w:rPr>
              <w:t>ND</w:t>
            </w:r>
          </w:p>
        </w:tc>
        <w:tc>
          <w:tcPr>
            <w:tcW w:w="361" w:type="pct"/>
            <w:vAlign w:val="center"/>
          </w:tcPr>
          <w:p>
            <w:pPr>
              <w:jc w:val="center"/>
              <w:rPr>
                <w:szCs w:val="21"/>
              </w:rPr>
            </w:pPr>
            <w:r>
              <w:rPr>
                <w:szCs w:val="21"/>
              </w:rPr>
              <w:t>ND</w:t>
            </w:r>
          </w:p>
        </w:tc>
        <w:tc>
          <w:tcPr>
            <w:tcW w:w="362" w:type="pct"/>
            <w:vAlign w:val="center"/>
          </w:tcPr>
          <w:p>
            <w:pPr>
              <w:jc w:val="center"/>
              <w:rPr>
                <w:szCs w:val="21"/>
                <w:vertAlign w:val="superscript"/>
              </w:rPr>
            </w:pPr>
            <w:r>
              <w:rPr>
                <w:szCs w:val="21"/>
              </w:rPr>
              <w:t>ND</w:t>
            </w:r>
          </w:p>
        </w:tc>
        <w:tc>
          <w:tcPr>
            <w:tcW w:w="388" w:type="pct"/>
            <w:vAlign w:val="center"/>
          </w:tcPr>
          <w:p>
            <w:pPr>
              <w:jc w:val="center"/>
              <w:rPr>
                <w:szCs w:val="21"/>
              </w:rPr>
            </w:pPr>
            <w:r>
              <w:rPr>
                <w:szCs w:val="21"/>
              </w:rPr>
              <w:t>ND</w:t>
            </w:r>
          </w:p>
        </w:tc>
        <w:tc>
          <w:tcPr>
            <w:tcW w:w="515" w:type="pct"/>
            <w:vAlign w:val="center"/>
          </w:tcPr>
          <w:p>
            <w:pPr>
              <w:jc w:val="center"/>
              <w:rPr>
                <w:szCs w:val="21"/>
              </w:rPr>
            </w:pPr>
            <w:r>
              <w:rPr>
                <w:szCs w:val="21"/>
              </w:rPr>
              <w:t>&lt;2</w:t>
            </w:r>
          </w:p>
        </w:tc>
        <w:tc>
          <w:tcPr>
            <w:tcW w:w="530" w:type="pct"/>
            <w:vAlign w:val="center"/>
          </w:tcPr>
          <w:p>
            <w:pPr>
              <w:jc w:val="center"/>
              <w:rPr>
                <w:szCs w:val="21"/>
              </w:rPr>
            </w:pPr>
            <w:r>
              <w:rPr>
                <w:rFonts w:hint="eastAsia"/>
                <w:szCs w:val="21"/>
              </w:rPr>
              <w:t>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szCs w:val="21"/>
              </w:rPr>
            </w:pPr>
            <w:bookmarkStart w:id="80" w:name="_Hlk460429375"/>
          </w:p>
        </w:tc>
        <w:tc>
          <w:tcPr>
            <w:tcW w:w="819" w:type="pct"/>
            <w:vAlign w:val="center"/>
          </w:tcPr>
          <w:p>
            <w:pPr>
              <w:jc w:val="center"/>
              <w:rPr>
                <w:szCs w:val="21"/>
              </w:rPr>
            </w:pPr>
            <w:r>
              <w:rPr>
                <w:rFonts w:hAnsi="宋体"/>
                <w:szCs w:val="21"/>
              </w:rPr>
              <w:t>标准值</w:t>
            </w:r>
          </w:p>
        </w:tc>
        <w:tc>
          <w:tcPr>
            <w:tcW w:w="359" w:type="pct"/>
            <w:vAlign w:val="center"/>
          </w:tcPr>
          <w:p>
            <w:pPr>
              <w:jc w:val="center"/>
              <w:rPr>
                <w:szCs w:val="21"/>
              </w:rPr>
            </w:pPr>
            <w:r>
              <w:rPr>
                <w:szCs w:val="21"/>
              </w:rPr>
              <w:t>0.01</w:t>
            </w:r>
          </w:p>
        </w:tc>
        <w:tc>
          <w:tcPr>
            <w:tcW w:w="359" w:type="pct"/>
            <w:vAlign w:val="center"/>
          </w:tcPr>
          <w:p>
            <w:pPr>
              <w:jc w:val="center"/>
              <w:rPr>
                <w:szCs w:val="21"/>
              </w:rPr>
            </w:pPr>
            <w:r>
              <w:rPr>
                <w:szCs w:val="21"/>
              </w:rPr>
              <w:t>0.005</w:t>
            </w:r>
          </w:p>
        </w:tc>
        <w:tc>
          <w:tcPr>
            <w:tcW w:w="361" w:type="pct"/>
            <w:vAlign w:val="center"/>
          </w:tcPr>
          <w:p>
            <w:pPr>
              <w:jc w:val="center"/>
              <w:rPr>
                <w:szCs w:val="21"/>
              </w:rPr>
            </w:pPr>
            <w:r>
              <w:rPr>
                <w:szCs w:val="21"/>
              </w:rPr>
              <w:t>0.3</w:t>
            </w:r>
          </w:p>
        </w:tc>
        <w:tc>
          <w:tcPr>
            <w:tcW w:w="358" w:type="pct"/>
            <w:vAlign w:val="center"/>
          </w:tcPr>
          <w:p>
            <w:pPr>
              <w:jc w:val="center"/>
              <w:rPr>
                <w:szCs w:val="21"/>
              </w:rPr>
            </w:pPr>
            <w:r>
              <w:rPr>
                <w:szCs w:val="21"/>
              </w:rPr>
              <w:t>0.1</w:t>
            </w:r>
          </w:p>
        </w:tc>
        <w:tc>
          <w:tcPr>
            <w:tcW w:w="361" w:type="pct"/>
            <w:vAlign w:val="center"/>
          </w:tcPr>
          <w:p>
            <w:pPr>
              <w:jc w:val="center"/>
              <w:rPr>
                <w:szCs w:val="21"/>
              </w:rPr>
            </w:pPr>
            <w:r>
              <w:rPr>
                <w:szCs w:val="21"/>
              </w:rPr>
              <w:t>0.001</w:t>
            </w:r>
          </w:p>
        </w:tc>
        <w:tc>
          <w:tcPr>
            <w:tcW w:w="362" w:type="pct"/>
            <w:vAlign w:val="center"/>
          </w:tcPr>
          <w:p>
            <w:pPr>
              <w:jc w:val="center"/>
              <w:rPr>
                <w:szCs w:val="21"/>
              </w:rPr>
            </w:pPr>
            <w:r>
              <w:rPr>
                <w:szCs w:val="21"/>
              </w:rPr>
              <w:t>0.01</w:t>
            </w:r>
          </w:p>
        </w:tc>
        <w:tc>
          <w:tcPr>
            <w:tcW w:w="388" w:type="pct"/>
            <w:vAlign w:val="center"/>
          </w:tcPr>
          <w:p>
            <w:pPr>
              <w:jc w:val="center"/>
              <w:rPr>
                <w:szCs w:val="21"/>
              </w:rPr>
            </w:pPr>
            <w:r>
              <w:rPr>
                <w:szCs w:val="21"/>
              </w:rPr>
              <w:t>0.002</w:t>
            </w:r>
          </w:p>
        </w:tc>
        <w:tc>
          <w:tcPr>
            <w:tcW w:w="515" w:type="pct"/>
            <w:vAlign w:val="center"/>
          </w:tcPr>
          <w:p>
            <w:pPr>
              <w:jc w:val="center"/>
              <w:rPr>
                <w:szCs w:val="21"/>
              </w:rPr>
            </w:pPr>
            <w:r>
              <w:rPr>
                <w:szCs w:val="21"/>
              </w:rPr>
              <w:t>3.0</w:t>
            </w:r>
          </w:p>
        </w:tc>
        <w:tc>
          <w:tcPr>
            <w:tcW w:w="530" w:type="pct"/>
            <w:vAlign w:val="center"/>
          </w:tcPr>
          <w:p>
            <w:pPr>
              <w:jc w:val="center"/>
              <w:rPr>
                <w:szCs w:val="21"/>
              </w:rPr>
            </w:pPr>
            <w:r>
              <w:rPr>
                <w:szCs w:val="21"/>
              </w:rPr>
              <w:t>100</w:t>
            </w:r>
          </w:p>
        </w:tc>
      </w:tr>
      <w:bookmarkEnd w:id="80"/>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szCs w:val="21"/>
              </w:rPr>
            </w:pPr>
          </w:p>
        </w:tc>
        <w:tc>
          <w:tcPr>
            <w:tcW w:w="819" w:type="pct"/>
            <w:vAlign w:val="center"/>
          </w:tcPr>
          <w:p>
            <w:pPr>
              <w:jc w:val="center"/>
              <w:rPr>
                <w:szCs w:val="21"/>
              </w:rPr>
            </w:pPr>
            <w:r>
              <w:rPr>
                <w:rFonts w:hAnsi="宋体"/>
                <w:szCs w:val="21"/>
              </w:rPr>
              <w:t>标准指数</w:t>
            </w:r>
          </w:p>
        </w:tc>
        <w:tc>
          <w:tcPr>
            <w:tcW w:w="359" w:type="pct"/>
          </w:tcPr>
          <w:p>
            <w:pPr>
              <w:jc w:val="center"/>
            </w:pPr>
            <w:r>
              <w:rPr>
                <w:rFonts w:hint="eastAsia"/>
              </w:rPr>
              <w:t>0</w:t>
            </w:r>
          </w:p>
        </w:tc>
        <w:tc>
          <w:tcPr>
            <w:tcW w:w="359" w:type="pct"/>
          </w:tcPr>
          <w:p>
            <w:pPr>
              <w:jc w:val="center"/>
            </w:pPr>
            <w:r>
              <w:rPr>
                <w:rFonts w:hint="eastAsia"/>
              </w:rPr>
              <w:t>0</w:t>
            </w:r>
          </w:p>
        </w:tc>
        <w:tc>
          <w:tcPr>
            <w:tcW w:w="361" w:type="pct"/>
          </w:tcPr>
          <w:p>
            <w:pPr>
              <w:jc w:val="center"/>
            </w:pPr>
            <w:r>
              <w:rPr>
                <w:rFonts w:hint="eastAsia"/>
              </w:rPr>
              <w:t>0</w:t>
            </w:r>
          </w:p>
        </w:tc>
        <w:tc>
          <w:tcPr>
            <w:tcW w:w="358" w:type="pct"/>
          </w:tcPr>
          <w:p>
            <w:pPr>
              <w:jc w:val="center"/>
            </w:pPr>
            <w:r>
              <w:rPr>
                <w:rFonts w:hint="eastAsia"/>
              </w:rPr>
              <w:t>0</w:t>
            </w:r>
          </w:p>
        </w:tc>
        <w:tc>
          <w:tcPr>
            <w:tcW w:w="361" w:type="pct"/>
          </w:tcPr>
          <w:p>
            <w:pPr>
              <w:jc w:val="center"/>
            </w:pPr>
            <w:r>
              <w:rPr>
                <w:rFonts w:hint="eastAsia"/>
              </w:rPr>
              <w:t>0</w:t>
            </w:r>
          </w:p>
        </w:tc>
        <w:tc>
          <w:tcPr>
            <w:tcW w:w="362" w:type="pct"/>
          </w:tcPr>
          <w:p>
            <w:pPr>
              <w:jc w:val="center"/>
            </w:pPr>
            <w:r>
              <w:rPr>
                <w:rFonts w:hint="eastAsia"/>
              </w:rPr>
              <w:t>0</w:t>
            </w:r>
          </w:p>
        </w:tc>
        <w:tc>
          <w:tcPr>
            <w:tcW w:w="388" w:type="pct"/>
          </w:tcPr>
          <w:p>
            <w:pPr>
              <w:jc w:val="center"/>
            </w:pPr>
            <w:r>
              <w:rPr>
                <w:rFonts w:hint="eastAsia"/>
              </w:rPr>
              <w:t>0</w:t>
            </w:r>
          </w:p>
        </w:tc>
        <w:tc>
          <w:tcPr>
            <w:tcW w:w="515" w:type="pct"/>
          </w:tcPr>
          <w:p>
            <w:pPr>
              <w:jc w:val="center"/>
            </w:pPr>
            <w:r>
              <w:t>0.667</w:t>
            </w:r>
          </w:p>
        </w:tc>
        <w:tc>
          <w:tcPr>
            <w:tcW w:w="530" w:type="pct"/>
          </w:tcPr>
          <w:p>
            <w:pPr>
              <w:jc w:val="center"/>
            </w:pPr>
            <w:r>
              <w:t>0.</w:t>
            </w:r>
            <w:r>
              <w:rPr>
                <w:rFonts w:hint="eastAsia"/>
              </w:rPr>
              <w:t>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szCs w:val="21"/>
              </w:rPr>
            </w:pPr>
          </w:p>
        </w:tc>
        <w:tc>
          <w:tcPr>
            <w:tcW w:w="819" w:type="pct"/>
            <w:vAlign w:val="center"/>
          </w:tcPr>
          <w:p>
            <w:pPr>
              <w:jc w:val="center"/>
              <w:rPr>
                <w:szCs w:val="21"/>
              </w:rPr>
            </w:pPr>
            <w:r>
              <w:rPr>
                <w:rFonts w:hAnsi="宋体"/>
                <w:szCs w:val="21"/>
              </w:rPr>
              <w:t>达标情况</w:t>
            </w:r>
          </w:p>
        </w:tc>
        <w:tc>
          <w:tcPr>
            <w:tcW w:w="359" w:type="pct"/>
            <w:vAlign w:val="center"/>
          </w:tcPr>
          <w:p>
            <w:pPr>
              <w:jc w:val="center"/>
              <w:rPr>
                <w:szCs w:val="21"/>
              </w:rPr>
            </w:pPr>
            <w:r>
              <w:rPr>
                <w:rFonts w:hAnsi="宋体"/>
                <w:szCs w:val="21"/>
              </w:rPr>
              <w:t>达标</w:t>
            </w:r>
          </w:p>
        </w:tc>
        <w:tc>
          <w:tcPr>
            <w:tcW w:w="359" w:type="pct"/>
            <w:vAlign w:val="center"/>
          </w:tcPr>
          <w:p>
            <w:pPr>
              <w:jc w:val="center"/>
              <w:rPr>
                <w:szCs w:val="21"/>
              </w:rPr>
            </w:pPr>
            <w:r>
              <w:rPr>
                <w:rFonts w:hAnsi="宋体"/>
                <w:szCs w:val="21"/>
              </w:rPr>
              <w:t>达标</w:t>
            </w:r>
          </w:p>
        </w:tc>
        <w:tc>
          <w:tcPr>
            <w:tcW w:w="361" w:type="pct"/>
            <w:vAlign w:val="center"/>
          </w:tcPr>
          <w:p>
            <w:pPr>
              <w:jc w:val="center"/>
              <w:rPr>
                <w:szCs w:val="21"/>
              </w:rPr>
            </w:pPr>
            <w:r>
              <w:rPr>
                <w:rFonts w:hAnsi="宋体"/>
                <w:szCs w:val="21"/>
              </w:rPr>
              <w:t>达标</w:t>
            </w:r>
          </w:p>
        </w:tc>
        <w:tc>
          <w:tcPr>
            <w:tcW w:w="358" w:type="pct"/>
            <w:vAlign w:val="center"/>
          </w:tcPr>
          <w:p>
            <w:pPr>
              <w:jc w:val="center"/>
              <w:rPr>
                <w:szCs w:val="21"/>
              </w:rPr>
            </w:pPr>
            <w:r>
              <w:rPr>
                <w:rFonts w:hAnsi="宋体"/>
                <w:szCs w:val="21"/>
              </w:rPr>
              <w:t>达标</w:t>
            </w:r>
          </w:p>
        </w:tc>
        <w:tc>
          <w:tcPr>
            <w:tcW w:w="361" w:type="pct"/>
            <w:vAlign w:val="center"/>
          </w:tcPr>
          <w:p>
            <w:pPr>
              <w:jc w:val="center"/>
              <w:rPr>
                <w:szCs w:val="21"/>
              </w:rPr>
            </w:pPr>
            <w:r>
              <w:rPr>
                <w:rFonts w:hAnsi="宋体"/>
                <w:szCs w:val="21"/>
              </w:rPr>
              <w:t>达标</w:t>
            </w:r>
          </w:p>
        </w:tc>
        <w:tc>
          <w:tcPr>
            <w:tcW w:w="362" w:type="pct"/>
            <w:vAlign w:val="center"/>
          </w:tcPr>
          <w:p>
            <w:pPr>
              <w:jc w:val="center"/>
              <w:rPr>
                <w:szCs w:val="21"/>
              </w:rPr>
            </w:pPr>
            <w:r>
              <w:rPr>
                <w:rFonts w:hAnsi="宋体"/>
                <w:szCs w:val="21"/>
              </w:rPr>
              <w:t>达标</w:t>
            </w:r>
          </w:p>
        </w:tc>
        <w:tc>
          <w:tcPr>
            <w:tcW w:w="388" w:type="pct"/>
            <w:vAlign w:val="center"/>
          </w:tcPr>
          <w:p>
            <w:pPr>
              <w:jc w:val="center"/>
              <w:rPr>
                <w:szCs w:val="21"/>
              </w:rPr>
            </w:pPr>
            <w:r>
              <w:rPr>
                <w:rFonts w:hAnsi="宋体"/>
                <w:szCs w:val="21"/>
              </w:rPr>
              <w:t>达标</w:t>
            </w:r>
          </w:p>
        </w:tc>
        <w:tc>
          <w:tcPr>
            <w:tcW w:w="515" w:type="pct"/>
            <w:vAlign w:val="center"/>
          </w:tcPr>
          <w:p>
            <w:pPr>
              <w:jc w:val="center"/>
              <w:rPr>
                <w:szCs w:val="21"/>
              </w:rPr>
            </w:pPr>
            <w:r>
              <w:rPr>
                <w:rFonts w:hAnsi="宋体"/>
                <w:szCs w:val="21"/>
              </w:rPr>
              <w:t>达标</w:t>
            </w:r>
          </w:p>
        </w:tc>
        <w:tc>
          <w:tcPr>
            <w:tcW w:w="530" w:type="pct"/>
            <w:vAlign w:val="center"/>
          </w:tcPr>
          <w:p>
            <w:pPr>
              <w:jc w:val="center"/>
              <w:rPr>
                <w:szCs w:val="21"/>
              </w:rPr>
            </w:pPr>
            <w:r>
              <w:rPr>
                <w:rFonts w:hAnsi="宋体"/>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restart"/>
            <w:vAlign w:val="center"/>
          </w:tcPr>
          <w:p>
            <w:pPr>
              <w:pStyle w:val="57"/>
              <w:spacing w:before="0" w:after="0" w:line="240" w:lineRule="auto"/>
              <w:ind w:firstLine="0" w:firstLineChars="0"/>
              <w:jc w:val="center"/>
              <w:rPr>
                <w:sz w:val="21"/>
                <w:szCs w:val="21"/>
              </w:rPr>
            </w:pPr>
            <w:r>
              <w:rPr>
                <w:sz w:val="21"/>
                <w:szCs w:val="21"/>
              </w:rPr>
              <w:t>2#</w:t>
            </w:r>
          </w:p>
          <w:p>
            <w:pPr>
              <w:pStyle w:val="57"/>
              <w:spacing w:before="0" w:after="0" w:line="240" w:lineRule="auto"/>
              <w:ind w:firstLine="0" w:firstLineChars="0"/>
              <w:jc w:val="center"/>
              <w:rPr>
                <w:sz w:val="21"/>
                <w:szCs w:val="21"/>
              </w:rPr>
            </w:pPr>
            <w:r>
              <w:rPr>
                <w:rFonts w:hint="eastAsia" w:hAnsi="宋体"/>
                <w:sz w:val="21"/>
                <w:szCs w:val="21"/>
              </w:rPr>
              <w:t>厂区</w:t>
            </w:r>
            <w:r>
              <w:rPr>
                <w:rFonts w:hAnsi="宋体"/>
                <w:sz w:val="21"/>
                <w:szCs w:val="21"/>
              </w:rPr>
              <w:t>水井</w:t>
            </w:r>
          </w:p>
        </w:tc>
        <w:tc>
          <w:tcPr>
            <w:tcW w:w="819" w:type="pct"/>
            <w:vAlign w:val="center"/>
          </w:tcPr>
          <w:p>
            <w:pPr>
              <w:jc w:val="center"/>
              <w:rPr>
                <w:szCs w:val="21"/>
              </w:rPr>
            </w:pPr>
            <w:r>
              <w:rPr>
                <w:szCs w:val="21"/>
              </w:rPr>
              <w:t>201</w:t>
            </w:r>
            <w:r>
              <w:rPr>
                <w:rFonts w:hint="eastAsia"/>
                <w:szCs w:val="21"/>
              </w:rPr>
              <w:t>9</w:t>
            </w:r>
            <w:r>
              <w:rPr>
                <w:szCs w:val="21"/>
              </w:rPr>
              <w:t>.</w:t>
            </w:r>
            <w:r>
              <w:rPr>
                <w:rFonts w:hint="eastAsia"/>
                <w:szCs w:val="21"/>
              </w:rPr>
              <w:t>6</w:t>
            </w:r>
            <w:r>
              <w:rPr>
                <w:szCs w:val="21"/>
              </w:rPr>
              <w:t>.2</w:t>
            </w:r>
            <w:r>
              <w:rPr>
                <w:rFonts w:hint="eastAsia"/>
                <w:szCs w:val="21"/>
              </w:rPr>
              <w:t>1</w:t>
            </w:r>
          </w:p>
        </w:tc>
        <w:tc>
          <w:tcPr>
            <w:tcW w:w="359" w:type="pct"/>
            <w:vAlign w:val="center"/>
          </w:tcPr>
          <w:p>
            <w:pPr>
              <w:jc w:val="center"/>
              <w:rPr>
                <w:szCs w:val="21"/>
              </w:rPr>
            </w:pPr>
            <w:r>
              <w:rPr>
                <w:szCs w:val="21"/>
              </w:rPr>
              <w:t>ND</w:t>
            </w:r>
          </w:p>
        </w:tc>
        <w:tc>
          <w:tcPr>
            <w:tcW w:w="359" w:type="pct"/>
            <w:vAlign w:val="center"/>
          </w:tcPr>
          <w:p>
            <w:pPr>
              <w:jc w:val="center"/>
              <w:rPr>
                <w:szCs w:val="21"/>
              </w:rPr>
            </w:pPr>
            <w:r>
              <w:rPr>
                <w:szCs w:val="21"/>
              </w:rPr>
              <w:t>ND</w:t>
            </w:r>
          </w:p>
        </w:tc>
        <w:tc>
          <w:tcPr>
            <w:tcW w:w="361" w:type="pct"/>
            <w:vAlign w:val="center"/>
          </w:tcPr>
          <w:p>
            <w:pPr>
              <w:jc w:val="center"/>
              <w:rPr>
                <w:szCs w:val="21"/>
              </w:rPr>
            </w:pPr>
            <w:r>
              <w:rPr>
                <w:szCs w:val="21"/>
              </w:rPr>
              <w:t>ND</w:t>
            </w:r>
          </w:p>
        </w:tc>
        <w:tc>
          <w:tcPr>
            <w:tcW w:w="358" w:type="pct"/>
            <w:vAlign w:val="center"/>
          </w:tcPr>
          <w:p>
            <w:pPr>
              <w:jc w:val="center"/>
              <w:rPr>
                <w:szCs w:val="21"/>
              </w:rPr>
            </w:pPr>
            <w:r>
              <w:rPr>
                <w:szCs w:val="21"/>
              </w:rPr>
              <w:t>ND</w:t>
            </w:r>
          </w:p>
        </w:tc>
        <w:tc>
          <w:tcPr>
            <w:tcW w:w="361" w:type="pct"/>
            <w:vAlign w:val="center"/>
          </w:tcPr>
          <w:p>
            <w:pPr>
              <w:jc w:val="center"/>
              <w:rPr>
                <w:szCs w:val="21"/>
              </w:rPr>
            </w:pPr>
            <w:r>
              <w:rPr>
                <w:szCs w:val="21"/>
              </w:rPr>
              <w:t>ND</w:t>
            </w:r>
          </w:p>
        </w:tc>
        <w:tc>
          <w:tcPr>
            <w:tcW w:w="362" w:type="pct"/>
            <w:vAlign w:val="center"/>
          </w:tcPr>
          <w:p>
            <w:pPr>
              <w:jc w:val="center"/>
              <w:rPr>
                <w:szCs w:val="21"/>
              </w:rPr>
            </w:pPr>
            <w:r>
              <w:rPr>
                <w:szCs w:val="21"/>
              </w:rPr>
              <w:t>ND</w:t>
            </w:r>
          </w:p>
        </w:tc>
        <w:tc>
          <w:tcPr>
            <w:tcW w:w="388" w:type="pct"/>
            <w:vAlign w:val="center"/>
          </w:tcPr>
          <w:p>
            <w:pPr>
              <w:jc w:val="center"/>
              <w:rPr>
                <w:szCs w:val="21"/>
              </w:rPr>
            </w:pPr>
            <w:r>
              <w:rPr>
                <w:szCs w:val="21"/>
              </w:rPr>
              <w:t>ND</w:t>
            </w:r>
          </w:p>
        </w:tc>
        <w:tc>
          <w:tcPr>
            <w:tcW w:w="515" w:type="pct"/>
            <w:vAlign w:val="center"/>
          </w:tcPr>
          <w:p>
            <w:pPr>
              <w:jc w:val="center"/>
              <w:rPr>
                <w:szCs w:val="21"/>
              </w:rPr>
            </w:pPr>
            <w:r>
              <w:rPr>
                <w:szCs w:val="21"/>
              </w:rPr>
              <w:t>&lt;2</w:t>
            </w:r>
          </w:p>
        </w:tc>
        <w:tc>
          <w:tcPr>
            <w:tcW w:w="530" w:type="pct"/>
            <w:vAlign w:val="center"/>
          </w:tcPr>
          <w:p>
            <w:pPr>
              <w:jc w:val="center"/>
              <w:rPr>
                <w:szCs w:val="21"/>
              </w:rPr>
            </w:pPr>
            <w:r>
              <w:rPr>
                <w:rFonts w:hint="eastAsia"/>
                <w:szCs w:val="21"/>
              </w:rPr>
              <w:t>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szCs w:val="21"/>
              </w:rPr>
            </w:pPr>
          </w:p>
        </w:tc>
        <w:tc>
          <w:tcPr>
            <w:tcW w:w="819" w:type="pct"/>
            <w:vAlign w:val="center"/>
          </w:tcPr>
          <w:p>
            <w:pPr>
              <w:jc w:val="center"/>
              <w:rPr>
                <w:szCs w:val="21"/>
              </w:rPr>
            </w:pPr>
            <w:r>
              <w:rPr>
                <w:rFonts w:hAnsi="宋体"/>
                <w:szCs w:val="21"/>
              </w:rPr>
              <w:t>标准值</w:t>
            </w:r>
          </w:p>
        </w:tc>
        <w:tc>
          <w:tcPr>
            <w:tcW w:w="359" w:type="pct"/>
            <w:vAlign w:val="center"/>
          </w:tcPr>
          <w:p>
            <w:pPr>
              <w:jc w:val="center"/>
              <w:rPr>
                <w:szCs w:val="21"/>
              </w:rPr>
            </w:pPr>
            <w:r>
              <w:rPr>
                <w:szCs w:val="21"/>
              </w:rPr>
              <w:t>0.01</w:t>
            </w:r>
          </w:p>
        </w:tc>
        <w:tc>
          <w:tcPr>
            <w:tcW w:w="359" w:type="pct"/>
            <w:vAlign w:val="center"/>
          </w:tcPr>
          <w:p>
            <w:pPr>
              <w:jc w:val="center"/>
              <w:rPr>
                <w:szCs w:val="21"/>
              </w:rPr>
            </w:pPr>
            <w:r>
              <w:rPr>
                <w:szCs w:val="21"/>
              </w:rPr>
              <w:t>0.005</w:t>
            </w:r>
          </w:p>
        </w:tc>
        <w:tc>
          <w:tcPr>
            <w:tcW w:w="361" w:type="pct"/>
            <w:vAlign w:val="center"/>
          </w:tcPr>
          <w:p>
            <w:pPr>
              <w:jc w:val="center"/>
              <w:rPr>
                <w:szCs w:val="21"/>
              </w:rPr>
            </w:pPr>
            <w:r>
              <w:rPr>
                <w:szCs w:val="21"/>
              </w:rPr>
              <w:t>0.3</w:t>
            </w:r>
          </w:p>
        </w:tc>
        <w:tc>
          <w:tcPr>
            <w:tcW w:w="358" w:type="pct"/>
            <w:vAlign w:val="center"/>
          </w:tcPr>
          <w:p>
            <w:pPr>
              <w:jc w:val="center"/>
              <w:rPr>
                <w:szCs w:val="21"/>
              </w:rPr>
            </w:pPr>
            <w:r>
              <w:rPr>
                <w:szCs w:val="21"/>
              </w:rPr>
              <w:t>0.1</w:t>
            </w:r>
          </w:p>
        </w:tc>
        <w:tc>
          <w:tcPr>
            <w:tcW w:w="361" w:type="pct"/>
            <w:vAlign w:val="center"/>
          </w:tcPr>
          <w:p>
            <w:pPr>
              <w:jc w:val="center"/>
              <w:rPr>
                <w:szCs w:val="21"/>
              </w:rPr>
            </w:pPr>
            <w:r>
              <w:rPr>
                <w:szCs w:val="21"/>
              </w:rPr>
              <w:t>0.001</w:t>
            </w:r>
          </w:p>
        </w:tc>
        <w:tc>
          <w:tcPr>
            <w:tcW w:w="362" w:type="pct"/>
            <w:vAlign w:val="center"/>
          </w:tcPr>
          <w:p>
            <w:pPr>
              <w:jc w:val="center"/>
              <w:rPr>
                <w:szCs w:val="21"/>
              </w:rPr>
            </w:pPr>
            <w:r>
              <w:rPr>
                <w:szCs w:val="21"/>
              </w:rPr>
              <w:t>0.01</w:t>
            </w:r>
          </w:p>
        </w:tc>
        <w:tc>
          <w:tcPr>
            <w:tcW w:w="388" w:type="pct"/>
            <w:vAlign w:val="center"/>
          </w:tcPr>
          <w:p>
            <w:pPr>
              <w:jc w:val="center"/>
              <w:rPr>
                <w:szCs w:val="21"/>
              </w:rPr>
            </w:pPr>
            <w:r>
              <w:rPr>
                <w:szCs w:val="21"/>
              </w:rPr>
              <w:t>0.002</w:t>
            </w:r>
          </w:p>
        </w:tc>
        <w:tc>
          <w:tcPr>
            <w:tcW w:w="515" w:type="pct"/>
            <w:vAlign w:val="center"/>
          </w:tcPr>
          <w:p>
            <w:pPr>
              <w:jc w:val="center"/>
              <w:rPr>
                <w:szCs w:val="21"/>
              </w:rPr>
            </w:pPr>
            <w:r>
              <w:rPr>
                <w:szCs w:val="21"/>
              </w:rPr>
              <w:t>3.0</w:t>
            </w:r>
          </w:p>
        </w:tc>
        <w:tc>
          <w:tcPr>
            <w:tcW w:w="530" w:type="pct"/>
            <w:vAlign w:val="center"/>
          </w:tcPr>
          <w:p>
            <w:pPr>
              <w:jc w:val="center"/>
              <w:rPr>
                <w:szCs w:val="21"/>
              </w:rPr>
            </w:pPr>
            <w:r>
              <w:rPr>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szCs w:val="21"/>
              </w:rPr>
            </w:pPr>
          </w:p>
        </w:tc>
        <w:tc>
          <w:tcPr>
            <w:tcW w:w="819" w:type="pct"/>
            <w:vAlign w:val="center"/>
          </w:tcPr>
          <w:p>
            <w:pPr>
              <w:jc w:val="center"/>
              <w:rPr>
                <w:szCs w:val="21"/>
              </w:rPr>
            </w:pPr>
            <w:r>
              <w:rPr>
                <w:rFonts w:hAnsi="宋体"/>
                <w:szCs w:val="21"/>
              </w:rPr>
              <w:t>标准指数</w:t>
            </w:r>
          </w:p>
        </w:tc>
        <w:tc>
          <w:tcPr>
            <w:tcW w:w="359" w:type="pct"/>
          </w:tcPr>
          <w:p>
            <w:pPr>
              <w:jc w:val="center"/>
            </w:pPr>
            <w:r>
              <w:rPr>
                <w:rFonts w:hint="eastAsia"/>
              </w:rPr>
              <w:t>0</w:t>
            </w:r>
          </w:p>
        </w:tc>
        <w:tc>
          <w:tcPr>
            <w:tcW w:w="359" w:type="pct"/>
          </w:tcPr>
          <w:p>
            <w:pPr>
              <w:jc w:val="center"/>
            </w:pPr>
            <w:r>
              <w:rPr>
                <w:rFonts w:hint="eastAsia"/>
              </w:rPr>
              <w:t>0</w:t>
            </w:r>
          </w:p>
        </w:tc>
        <w:tc>
          <w:tcPr>
            <w:tcW w:w="361" w:type="pct"/>
          </w:tcPr>
          <w:p>
            <w:pPr>
              <w:jc w:val="center"/>
            </w:pPr>
            <w:r>
              <w:rPr>
                <w:rFonts w:hint="eastAsia"/>
              </w:rPr>
              <w:t>0</w:t>
            </w:r>
          </w:p>
        </w:tc>
        <w:tc>
          <w:tcPr>
            <w:tcW w:w="358" w:type="pct"/>
          </w:tcPr>
          <w:p>
            <w:pPr>
              <w:jc w:val="center"/>
            </w:pPr>
            <w:r>
              <w:rPr>
                <w:rFonts w:hint="eastAsia"/>
              </w:rPr>
              <w:t>0</w:t>
            </w:r>
          </w:p>
        </w:tc>
        <w:tc>
          <w:tcPr>
            <w:tcW w:w="361" w:type="pct"/>
          </w:tcPr>
          <w:p>
            <w:pPr>
              <w:jc w:val="center"/>
            </w:pPr>
            <w:r>
              <w:rPr>
                <w:rFonts w:hint="eastAsia"/>
              </w:rPr>
              <w:t>0</w:t>
            </w:r>
          </w:p>
        </w:tc>
        <w:tc>
          <w:tcPr>
            <w:tcW w:w="362" w:type="pct"/>
          </w:tcPr>
          <w:p>
            <w:pPr>
              <w:jc w:val="center"/>
            </w:pPr>
            <w:r>
              <w:rPr>
                <w:rFonts w:hint="eastAsia"/>
              </w:rPr>
              <w:t>0</w:t>
            </w:r>
          </w:p>
        </w:tc>
        <w:tc>
          <w:tcPr>
            <w:tcW w:w="388" w:type="pct"/>
          </w:tcPr>
          <w:p>
            <w:pPr>
              <w:jc w:val="center"/>
            </w:pPr>
            <w:r>
              <w:rPr>
                <w:rFonts w:hint="eastAsia"/>
              </w:rPr>
              <w:t>0</w:t>
            </w:r>
          </w:p>
        </w:tc>
        <w:tc>
          <w:tcPr>
            <w:tcW w:w="515" w:type="pct"/>
          </w:tcPr>
          <w:p>
            <w:pPr>
              <w:jc w:val="center"/>
            </w:pPr>
            <w:r>
              <w:t>0.667</w:t>
            </w:r>
          </w:p>
        </w:tc>
        <w:tc>
          <w:tcPr>
            <w:tcW w:w="530" w:type="pct"/>
          </w:tcPr>
          <w:p>
            <w:pPr>
              <w:jc w:val="center"/>
            </w:pPr>
            <w:r>
              <w:t>0.</w:t>
            </w:r>
            <w:r>
              <w:rPr>
                <w:rFonts w:hint="eastAsia"/>
              </w:rPr>
              <w:t>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szCs w:val="21"/>
              </w:rPr>
            </w:pPr>
          </w:p>
        </w:tc>
        <w:tc>
          <w:tcPr>
            <w:tcW w:w="819" w:type="pct"/>
            <w:vAlign w:val="center"/>
          </w:tcPr>
          <w:p>
            <w:pPr>
              <w:jc w:val="center"/>
              <w:rPr>
                <w:szCs w:val="21"/>
              </w:rPr>
            </w:pPr>
            <w:r>
              <w:rPr>
                <w:rFonts w:hAnsi="宋体"/>
                <w:szCs w:val="21"/>
              </w:rPr>
              <w:t>达标情况</w:t>
            </w:r>
          </w:p>
        </w:tc>
        <w:tc>
          <w:tcPr>
            <w:tcW w:w="359" w:type="pct"/>
            <w:vAlign w:val="center"/>
          </w:tcPr>
          <w:p>
            <w:pPr>
              <w:jc w:val="center"/>
              <w:rPr>
                <w:szCs w:val="21"/>
              </w:rPr>
            </w:pPr>
            <w:r>
              <w:rPr>
                <w:rFonts w:hAnsi="宋体"/>
                <w:szCs w:val="21"/>
              </w:rPr>
              <w:t>达标</w:t>
            </w:r>
          </w:p>
        </w:tc>
        <w:tc>
          <w:tcPr>
            <w:tcW w:w="359" w:type="pct"/>
            <w:vAlign w:val="center"/>
          </w:tcPr>
          <w:p>
            <w:pPr>
              <w:jc w:val="center"/>
              <w:rPr>
                <w:szCs w:val="21"/>
              </w:rPr>
            </w:pPr>
            <w:r>
              <w:rPr>
                <w:rFonts w:hAnsi="宋体"/>
                <w:szCs w:val="21"/>
              </w:rPr>
              <w:t>达标</w:t>
            </w:r>
          </w:p>
        </w:tc>
        <w:tc>
          <w:tcPr>
            <w:tcW w:w="361" w:type="pct"/>
            <w:vAlign w:val="center"/>
          </w:tcPr>
          <w:p>
            <w:pPr>
              <w:jc w:val="center"/>
              <w:rPr>
                <w:szCs w:val="21"/>
              </w:rPr>
            </w:pPr>
            <w:r>
              <w:rPr>
                <w:rFonts w:hAnsi="宋体"/>
                <w:szCs w:val="21"/>
              </w:rPr>
              <w:t>达标</w:t>
            </w:r>
          </w:p>
        </w:tc>
        <w:tc>
          <w:tcPr>
            <w:tcW w:w="358" w:type="pct"/>
            <w:vAlign w:val="center"/>
          </w:tcPr>
          <w:p>
            <w:pPr>
              <w:jc w:val="center"/>
              <w:rPr>
                <w:szCs w:val="21"/>
              </w:rPr>
            </w:pPr>
            <w:r>
              <w:rPr>
                <w:rFonts w:hAnsi="宋体"/>
                <w:szCs w:val="21"/>
              </w:rPr>
              <w:t>达标</w:t>
            </w:r>
          </w:p>
        </w:tc>
        <w:tc>
          <w:tcPr>
            <w:tcW w:w="361" w:type="pct"/>
            <w:vAlign w:val="center"/>
          </w:tcPr>
          <w:p>
            <w:pPr>
              <w:jc w:val="center"/>
              <w:rPr>
                <w:szCs w:val="21"/>
              </w:rPr>
            </w:pPr>
            <w:r>
              <w:rPr>
                <w:rFonts w:hAnsi="宋体"/>
                <w:szCs w:val="21"/>
              </w:rPr>
              <w:t>达标</w:t>
            </w:r>
          </w:p>
        </w:tc>
        <w:tc>
          <w:tcPr>
            <w:tcW w:w="362" w:type="pct"/>
            <w:vAlign w:val="center"/>
          </w:tcPr>
          <w:p>
            <w:pPr>
              <w:jc w:val="center"/>
              <w:rPr>
                <w:szCs w:val="21"/>
              </w:rPr>
            </w:pPr>
            <w:r>
              <w:rPr>
                <w:rFonts w:hAnsi="宋体"/>
                <w:szCs w:val="21"/>
              </w:rPr>
              <w:t>达标</w:t>
            </w:r>
          </w:p>
        </w:tc>
        <w:tc>
          <w:tcPr>
            <w:tcW w:w="388" w:type="pct"/>
            <w:vAlign w:val="center"/>
          </w:tcPr>
          <w:p>
            <w:pPr>
              <w:jc w:val="center"/>
              <w:rPr>
                <w:szCs w:val="21"/>
              </w:rPr>
            </w:pPr>
            <w:r>
              <w:rPr>
                <w:rFonts w:hAnsi="宋体"/>
                <w:szCs w:val="21"/>
              </w:rPr>
              <w:t>达标</w:t>
            </w:r>
          </w:p>
        </w:tc>
        <w:tc>
          <w:tcPr>
            <w:tcW w:w="515" w:type="pct"/>
            <w:vAlign w:val="center"/>
          </w:tcPr>
          <w:p>
            <w:pPr>
              <w:jc w:val="center"/>
              <w:rPr>
                <w:szCs w:val="21"/>
              </w:rPr>
            </w:pPr>
            <w:r>
              <w:rPr>
                <w:rFonts w:hAnsi="宋体"/>
                <w:szCs w:val="21"/>
              </w:rPr>
              <w:t>达标</w:t>
            </w:r>
          </w:p>
        </w:tc>
        <w:tc>
          <w:tcPr>
            <w:tcW w:w="530" w:type="pct"/>
            <w:vAlign w:val="center"/>
          </w:tcPr>
          <w:p>
            <w:pPr>
              <w:jc w:val="center"/>
              <w:rPr>
                <w:szCs w:val="21"/>
              </w:rPr>
            </w:pPr>
            <w:r>
              <w:rPr>
                <w:rFonts w:hAnsi="宋体"/>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restart"/>
            <w:vAlign w:val="center"/>
          </w:tcPr>
          <w:p>
            <w:pPr>
              <w:pStyle w:val="57"/>
              <w:spacing w:before="0" w:after="0" w:line="240" w:lineRule="auto"/>
              <w:ind w:firstLine="0" w:firstLineChars="0"/>
              <w:jc w:val="center"/>
              <w:rPr>
                <w:sz w:val="21"/>
                <w:szCs w:val="21"/>
              </w:rPr>
            </w:pPr>
            <w:r>
              <w:rPr>
                <w:sz w:val="21"/>
                <w:szCs w:val="21"/>
              </w:rPr>
              <w:t>3#</w:t>
            </w:r>
          </w:p>
          <w:p>
            <w:pPr>
              <w:widowControl/>
              <w:jc w:val="center"/>
              <w:rPr>
                <w:kern w:val="0"/>
                <w:szCs w:val="21"/>
              </w:rPr>
            </w:pPr>
            <w:r>
              <w:rPr>
                <w:rFonts w:hint="eastAsia"/>
              </w:rPr>
              <w:t>圪塔村</w:t>
            </w:r>
          </w:p>
        </w:tc>
        <w:tc>
          <w:tcPr>
            <w:tcW w:w="819" w:type="pct"/>
            <w:vAlign w:val="center"/>
          </w:tcPr>
          <w:p>
            <w:pPr>
              <w:jc w:val="center"/>
              <w:rPr>
                <w:szCs w:val="21"/>
              </w:rPr>
            </w:pPr>
            <w:r>
              <w:rPr>
                <w:szCs w:val="21"/>
              </w:rPr>
              <w:t>201</w:t>
            </w:r>
            <w:r>
              <w:rPr>
                <w:rFonts w:hint="eastAsia"/>
                <w:szCs w:val="21"/>
              </w:rPr>
              <w:t>9</w:t>
            </w:r>
            <w:r>
              <w:rPr>
                <w:szCs w:val="21"/>
              </w:rPr>
              <w:t>.</w:t>
            </w:r>
            <w:r>
              <w:rPr>
                <w:rFonts w:hint="eastAsia"/>
                <w:szCs w:val="21"/>
              </w:rPr>
              <w:t>6</w:t>
            </w:r>
            <w:r>
              <w:rPr>
                <w:szCs w:val="21"/>
              </w:rPr>
              <w:t>.2</w:t>
            </w:r>
            <w:r>
              <w:rPr>
                <w:rFonts w:hint="eastAsia"/>
                <w:szCs w:val="21"/>
              </w:rPr>
              <w:t>1</w:t>
            </w:r>
          </w:p>
        </w:tc>
        <w:tc>
          <w:tcPr>
            <w:tcW w:w="359" w:type="pct"/>
            <w:vAlign w:val="center"/>
          </w:tcPr>
          <w:p>
            <w:pPr>
              <w:jc w:val="center"/>
              <w:rPr>
                <w:szCs w:val="21"/>
              </w:rPr>
            </w:pPr>
            <w:r>
              <w:rPr>
                <w:szCs w:val="21"/>
              </w:rPr>
              <w:t>ND</w:t>
            </w:r>
          </w:p>
        </w:tc>
        <w:tc>
          <w:tcPr>
            <w:tcW w:w="359" w:type="pct"/>
            <w:vAlign w:val="center"/>
          </w:tcPr>
          <w:p>
            <w:pPr>
              <w:jc w:val="center"/>
              <w:rPr>
                <w:szCs w:val="21"/>
              </w:rPr>
            </w:pPr>
            <w:r>
              <w:rPr>
                <w:szCs w:val="21"/>
              </w:rPr>
              <w:t>ND</w:t>
            </w:r>
          </w:p>
        </w:tc>
        <w:tc>
          <w:tcPr>
            <w:tcW w:w="361" w:type="pct"/>
            <w:vAlign w:val="center"/>
          </w:tcPr>
          <w:p>
            <w:pPr>
              <w:jc w:val="center"/>
              <w:rPr>
                <w:szCs w:val="21"/>
              </w:rPr>
            </w:pPr>
            <w:r>
              <w:rPr>
                <w:szCs w:val="21"/>
              </w:rPr>
              <w:t>ND</w:t>
            </w:r>
          </w:p>
        </w:tc>
        <w:tc>
          <w:tcPr>
            <w:tcW w:w="358" w:type="pct"/>
            <w:vAlign w:val="center"/>
          </w:tcPr>
          <w:p>
            <w:pPr>
              <w:jc w:val="center"/>
              <w:rPr>
                <w:szCs w:val="21"/>
              </w:rPr>
            </w:pPr>
            <w:r>
              <w:rPr>
                <w:szCs w:val="21"/>
              </w:rPr>
              <w:t>ND</w:t>
            </w:r>
          </w:p>
        </w:tc>
        <w:tc>
          <w:tcPr>
            <w:tcW w:w="361" w:type="pct"/>
            <w:vAlign w:val="center"/>
          </w:tcPr>
          <w:p>
            <w:pPr>
              <w:jc w:val="center"/>
              <w:rPr>
                <w:szCs w:val="21"/>
              </w:rPr>
            </w:pPr>
            <w:r>
              <w:rPr>
                <w:szCs w:val="21"/>
              </w:rPr>
              <w:t>ND</w:t>
            </w:r>
          </w:p>
        </w:tc>
        <w:tc>
          <w:tcPr>
            <w:tcW w:w="362" w:type="pct"/>
            <w:vAlign w:val="center"/>
          </w:tcPr>
          <w:p>
            <w:pPr>
              <w:jc w:val="center"/>
              <w:rPr>
                <w:szCs w:val="21"/>
              </w:rPr>
            </w:pPr>
            <w:r>
              <w:rPr>
                <w:szCs w:val="21"/>
              </w:rPr>
              <w:t>ND</w:t>
            </w:r>
          </w:p>
        </w:tc>
        <w:tc>
          <w:tcPr>
            <w:tcW w:w="388" w:type="pct"/>
            <w:vAlign w:val="center"/>
          </w:tcPr>
          <w:p>
            <w:pPr>
              <w:jc w:val="center"/>
              <w:rPr>
                <w:szCs w:val="21"/>
              </w:rPr>
            </w:pPr>
            <w:r>
              <w:rPr>
                <w:szCs w:val="21"/>
              </w:rPr>
              <w:t>ND</w:t>
            </w:r>
          </w:p>
        </w:tc>
        <w:tc>
          <w:tcPr>
            <w:tcW w:w="515" w:type="pct"/>
            <w:vAlign w:val="center"/>
          </w:tcPr>
          <w:p>
            <w:pPr>
              <w:jc w:val="center"/>
              <w:rPr>
                <w:szCs w:val="21"/>
              </w:rPr>
            </w:pPr>
            <w:r>
              <w:rPr>
                <w:szCs w:val="21"/>
              </w:rPr>
              <w:t>&lt;2</w:t>
            </w:r>
          </w:p>
        </w:tc>
        <w:tc>
          <w:tcPr>
            <w:tcW w:w="530" w:type="pct"/>
            <w:vAlign w:val="center"/>
          </w:tcPr>
          <w:p>
            <w:pPr>
              <w:jc w:val="center"/>
              <w:rPr>
                <w:szCs w:val="21"/>
              </w:rPr>
            </w:pPr>
            <w:r>
              <w:rPr>
                <w:rFonts w:hint="eastAsia"/>
                <w:szCs w:val="21"/>
              </w:rPr>
              <w:t>91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szCs w:val="21"/>
              </w:rPr>
            </w:pPr>
          </w:p>
        </w:tc>
        <w:tc>
          <w:tcPr>
            <w:tcW w:w="819" w:type="pct"/>
            <w:vAlign w:val="center"/>
          </w:tcPr>
          <w:p>
            <w:pPr>
              <w:jc w:val="center"/>
              <w:rPr>
                <w:szCs w:val="21"/>
              </w:rPr>
            </w:pPr>
            <w:r>
              <w:rPr>
                <w:rFonts w:hAnsi="宋体"/>
                <w:szCs w:val="21"/>
              </w:rPr>
              <w:t>标准值</w:t>
            </w:r>
          </w:p>
        </w:tc>
        <w:tc>
          <w:tcPr>
            <w:tcW w:w="359" w:type="pct"/>
            <w:vAlign w:val="center"/>
          </w:tcPr>
          <w:p>
            <w:pPr>
              <w:jc w:val="center"/>
              <w:rPr>
                <w:szCs w:val="21"/>
              </w:rPr>
            </w:pPr>
            <w:r>
              <w:rPr>
                <w:szCs w:val="21"/>
              </w:rPr>
              <w:t>0.01</w:t>
            </w:r>
          </w:p>
        </w:tc>
        <w:tc>
          <w:tcPr>
            <w:tcW w:w="359" w:type="pct"/>
            <w:vAlign w:val="center"/>
          </w:tcPr>
          <w:p>
            <w:pPr>
              <w:jc w:val="center"/>
              <w:rPr>
                <w:szCs w:val="21"/>
              </w:rPr>
            </w:pPr>
            <w:r>
              <w:rPr>
                <w:szCs w:val="21"/>
              </w:rPr>
              <w:t>0.005</w:t>
            </w:r>
          </w:p>
        </w:tc>
        <w:tc>
          <w:tcPr>
            <w:tcW w:w="361" w:type="pct"/>
            <w:vAlign w:val="center"/>
          </w:tcPr>
          <w:p>
            <w:pPr>
              <w:jc w:val="center"/>
              <w:rPr>
                <w:szCs w:val="21"/>
              </w:rPr>
            </w:pPr>
            <w:r>
              <w:rPr>
                <w:szCs w:val="21"/>
              </w:rPr>
              <w:t>0.3</w:t>
            </w:r>
          </w:p>
        </w:tc>
        <w:tc>
          <w:tcPr>
            <w:tcW w:w="358" w:type="pct"/>
            <w:vAlign w:val="center"/>
          </w:tcPr>
          <w:p>
            <w:pPr>
              <w:jc w:val="center"/>
              <w:rPr>
                <w:szCs w:val="21"/>
              </w:rPr>
            </w:pPr>
            <w:r>
              <w:rPr>
                <w:szCs w:val="21"/>
              </w:rPr>
              <w:t>0.1</w:t>
            </w:r>
          </w:p>
        </w:tc>
        <w:tc>
          <w:tcPr>
            <w:tcW w:w="361" w:type="pct"/>
            <w:vAlign w:val="center"/>
          </w:tcPr>
          <w:p>
            <w:pPr>
              <w:jc w:val="center"/>
              <w:rPr>
                <w:szCs w:val="21"/>
              </w:rPr>
            </w:pPr>
            <w:r>
              <w:rPr>
                <w:szCs w:val="21"/>
              </w:rPr>
              <w:t>0.001</w:t>
            </w:r>
          </w:p>
        </w:tc>
        <w:tc>
          <w:tcPr>
            <w:tcW w:w="362" w:type="pct"/>
            <w:vAlign w:val="center"/>
          </w:tcPr>
          <w:p>
            <w:pPr>
              <w:jc w:val="center"/>
              <w:rPr>
                <w:szCs w:val="21"/>
              </w:rPr>
            </w:pPr>
            <w:r>
              <w:rPr>
                <w:szCs w:val="21"/>
              </w:rPr>
              <w:t>0.01</w:t>
            </w:r>
          </w:p>
        </w:tc>
        <w:tc>
          <w:tcPr>
            <w:tcW w:w="388" w:type="pct"/>
            <w:vAlign w:val="center"/>
          </w:tcPr>
          <w:p>
            <w:pPr>
              <w:jc w:val="center"/>
              <w:rPr>
                <w:szCs w:val="21"/>
              </w:rPr>
            </w:pPr>
            <w:r>
              <w:rPr>
                <w:szCs w:val="21"/>
              </w:rPr>
              <w:t>0.002</w:t>
            </w:r>
          </w:p>
        </w:tc>
        <w:tc>
          <w:tcPr>
            <w:tcW w:w="515" w:type="pct"/>
            <w:vAlign w:val="center"/>
          </w:tcPr>
          <w:p>
            <w:pPr>
              <w:jc w:val="center"/>
              <w:rPr>
                <w:szCs w:val="21"/>
              </w:rPr>
            </w:pPr>
            <w:r>
              <w:rPr>
                <w:szCs w:val="21"/>
              </w:rPr>
              <w:t>3.0</w:t>
            </w:r>
          </w:p>
        </w:tc>
        <w:tc>
          <w:tcPr>
            <w:tcW w:w="530" w:type="pct"/>
            <w:vAlign w:val="center"/>
          </w:tcPr>
          <w:p>
            <w:pPr>
              <w:jc w:val="center"/>
              <w:rPr>
                <w:szCs w:val="21"/>
              </w:rPr>
            </w:pPr>
            <w:r>
              <w:rPr>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szCs w:val="21"/>
              </w:rPr>
            </w:pPr>
          </w:p>
        </w:tc>
        <w:tc>
          <w:tcPr>
            <w:tcW w:w="819" w:type="pct"/>
            <w:vAlign w:val="center"/>
          </w:tcPr>
          <w:p>
            <w:pPr>
              <w:jc w:val="center"/>
              <w:rPr>
                <w:szCs w:val="21"/>
              </w:rPr>
            </w:pPr>
            <w:r>
              <w:rPr>
                <w:rFonts w:hAnsi="宋体"/>
                <w:szCs w:val="21"/>
              </w:rPr>
              <w:t>标准指数</w:t>
            </w:r>
          </w:p>
        </w:tc>
        <w:tc>
          <w:tcPr>
            <w:tcW w:w="359" w:type="pct"/>
          </w:tcPr>
          <w:p>
            <w:pPr>
              <w:jc w:val="center"/>
            </w:pPr>
            <w:r>
              <w:rPr>
                <w:rFonts w:hint="eastAsia"/>
              </w:rPr>
              <w:t>0</w:t>
            </w:r>
          </w:p>
        </w:tc>
        <w:tc>
          <w:tcPr>
            <w:tcW w:w="359" w:type="pct"/>
          </w:tcPr>
          <w:p>
            <w:pPr>
              <w:jc w:val="center"/>
            </w:pPr>
            <w:r>
              <w:rPr>
                <w:rFonts w:hint="eastAsia"/>
              </w:rPr>
              <w:t>0</w:t>
            </w:r>
          </w:p>
        </w:tc>
        <w:tc>
          <w:tcPr>
            <w:tcW w:w="361" w:type="pct"/>
          </w:tcPr>
          <w:p>
            <w:pPr>
              <w:jc w:val="center"/>
            </w:pPr>
            <w:r>
              <w:rPr>
                <w:rFonts w:hint="eastAsia"/>
              </w:rPr>
              <w:t>0</w:t>
            </w:r>
          </w:p>
        </w:tc>
        <w:tc>
          <w:tcPr>
            <w:tcW w:w="358" w:type="pct"/>
          </w:tcPr>
          <w:p>
            <w:pPr>
              <w:jc w:val="center"/>
            </w:pPr>
            <w:r>
              <w:rPr>
                <w:rFonts w:hint="eastAsia"/>
              </w:rPr>
              <w:t>0</w:t>
            </w:r>
          </w:p>
        </w:tc>
        <w:tc>
          <w:tcPr>
            <w:tcW w:w="361" w:type="pct"/>
          </w:tcPr>
          <w:p>
            <w:pPr>
              <w:jc w:val="center"/>
            </w:pPr>
            <w:r>
              <w:rPr>
                <w:rFonts w:hint="eastAsia"/>
              </w:rPr>
              <w:t>0</w:t>
            </w:r>
          </w:p>
        </w:tc>
        <w:tc>
          <w:tcPr>
            <w:tcW w:w="362" w:type="pct"/>
          </w:tcPr>
          <w:p>
            <w:pPr>
              <w:jc w:val="center"/>
            </w:pPr>
            <w:r>
              <w:rPr>
                <w:rFonts w:hint="eastAsia"/>
              </w:rPr>
              <w:t>0</w:t>
            </w:r>
          </w:p>
        </w:tc>
        <w:tc>
          <w:tcPr>
            <w:tcW w:w="388" w:type="pct"/>
          </w:tcPr>
          <w:p>
            <w:pPr>
              <w:jc w:val="center"/>
            </w:pPr>
            <w:r>
              <w:rPr>
                <w:rFonts w:hint="eastAsia"/>
              </w:rPr>
              <w:t>0</w:t>
            </w:r>
          </w:p>
        </w:tc>
        <w:tc>
          <w:tcPr>
            <w:tcW w:w="515" w:type="pct"/>
          </w:tcPr>
          <w:p>
            <w:pPr>
              <w:jc w:val="center"/>
            </w:pPr>
            <w:r>
              <w:t>0.667</w:t>
            </w:r>
          </w:p>
        </w:tc>
        <w:tc>
          <w:tcPr>
            <w:tcW w:w="530" w:type="pct"/>
          </w:tcPr>
          <w:p>
            <w:pPr>
              <w:jc w:val="center"/>
            </w:pPr>
            <w:r>
              <w:rPr>
                <w:rFonts w:hint="eastAsia"/>
              </w:rPr>
              <w:t>0.91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8" w:type="pct"/>
            <w:vMerge w:val="continue"/>
            <w:vAlign w:val="center"/>
          </w:tcPr>
          <w:p>
            <w:pPr>
              <w:widowControl/>
              <w:jc w:val="center"/>
              <w:rPr>
                <w:szCs w:val="21"/>
              </w:rPr>
            </w:pPr>
          </w:p>
        </w:tc>
        <w:tc>
          <w:tcPr>
            <w:tcW w:w="819" w:type="pct"/>
            <w:vAlign w:val="center"/>
          </w:tcPr>
          <w:p>
            <w:pPr>
              <w:jc w:val="center"/>
              <w:rPr>
                <w:szCs w:val="21"/>
              </w:rPr>
            </w:pPr>
            <w:r>
              <w:rPr>
                <w:rFonts w:hAnsi="宋体"/>
                <w:szCs w:val="21"/>
              </w:rPr>
              <w:t>达标情况</w:t>
            </w:r>
          </w:p>
        </w:tc>
        <w:tc>
          <w:tcPr>
            <w:tcW w:w="359" w:type="pct"/>
            <w:vAlign w:val="center"/>
          </w:tcPr>
          <w:p>
            <w:pPr>
              <w:jc w:val="center"/>
              <w:rPr>
                <w:szCs w:val="21"/>
              </w:rPr>
            </w:pPr>
            <w:r>
              <w:rPr>
                <w:rFonts w:hAnsi="宋体"/>
                <w:szCs w:val="21"/>
              </w:rPr>
              <w:t>达标</w:t>
            </w:r>
          </w:p>
        </w:tc>
        <w:tc>
          <w:tcPr>
            <w:tcW w:w="359" w:type="pct"/>
            <w:vAlign w:val="center"/>
          </w:tcPr>
          <w:p>
            <w:pPr>
              <w:jc w:val="center"/>
              <w:rPr>
                <w:szCs w:val="21"/>
              </w:rPr>
            </w:pPr>
            <w:r>
              <w:rPr>
                <w:rFonts w:hAnsi="宋体"/>
                <w:szCs w:val="21"/>
              </w:rPr>
              <w:t>达标</w:t>
            </w:r>
          </w:p>
        </w:tc>
        <w:tc>
          <w:tcPr>
            <w:tcW w:w="361" w:type="pct"/>
            <w:vAlign w:val="center"/>
          </w:tcPr>
          <w:p>
            <w:pPr>
              <w:jc w:val="center"/>
              <w:rPr>
                <w:szCs w:val="21"/>
              </w:rPr>
            </w:pPr>
            <w:r>
              <w:rPr>
                <w:rFonts w:hAnsi="宋体"/>
                <w:szCs w:val="21"/>
              </w:rPr>
              <w:t>达标</w:t>
            </w:r>
          </w:p>
        </w:tc>
        <w:tc>
          <w:tcPr>
            <w:tcW w:w="358" w:type="pct"/>
            <w:vAlign w:val="center"/>
          </w:tcPr>
          <w:p>
            <w:pPr>
              <w:jc w:val="center"/>
              <w:rPr>
                <w:szCs w:val="21"/>
              </w:rPr>
            </w:pPr>
            <w:r>
              <w:rPr>
                <w:rFonts w:hAnsi="宋体"/>
                <w:szCs w:val="21"/>
              </w:rPr>
              <w:t>达标</w:t>
            </w:r>
          </w:p>
        </w:tc>
        <w:tc>
          <w:tcPr>
            <w:tcW w:w="361" w:type="pct"/>
            <w:vAlign w:val="center"/>
          </w:tcPr>
          <w:p>
            <w:pPr>
              <w:jc w:val="center"/>
              <w:rPr>
                <w:szCs w:val="21"/>
              </w:rPr>
            </w:pPr>
            <w:r>
              <w:rPr>
                <w:rFonts w:hAnsi="宋体"/>
                <w:szCs w:val="21"/>
              </w:rPr>
              <w:t>达标</w:t>
            </w:r>
          </w:p>
        </w:tc>
        <w:tc>
          <w:tcPr>
            <w:tcW w:w="362" w:type="pct"/>
            <w:vAlign w:val="center"/>
          </w:tcPr>
          <w:p>
            <w:pPr>
              <w:jc w:val="center"/>
              <w:rPr>
                <w:szCs w:val="21"/>
              </w:rPr>
            </w:pPr>
            <w:r>
              <w:rPr>
                <w:rFonts w:hAnsi="宋体"/>
                <w:szCs w:val="21"/>
              </w:rPr>
              <w:t>达标</w:t>
            </w:r>
          </w:p>
        </w:tc>
        <w:tc>
          <w:tcPr>
            <w:tcW w:w="388" w:type="pct"/>
            <w:vAlign w:val="center"/>
          </w:tcPr>
          <w:p>
            <w:pPr>
              <w:jc w:val="center"/>
              <w:rPr>
                <w:szCs w:val="21"/>
              </w:rPr>
            </w:pPr>
            <w:r>
              <w:rPr>
                <w:rFonts w:hAnsi="宋体"/>
                <w:szCs w:val="21"/>
              </w:rPr>
              <w:t>达标</w:t>
            </w:r>
          </w:p>
        </w:tc>
        <w:tc>
          <w:tcPr>
            <w:tcW w:w="515" w:type="pct"/>
            <w:vAlign w:val="center"/>
          </w:tcPr>
          <w:p>
            <w:pPr>
              <w:jc w:val="center"/>
              <w:rPr>
                <w:szCs w:val="21"/>
              </w:rPr>
            </w:pPr>
            <w:r>
              <w:rPr>
                <w:rFonts w:hAnsi="宋体"/>
                <w:szCs w:val="21"/>
              </w:rPr>
              <w:t>达标</w:t>
            </w:r>
          </w:p>
        </w:tc>
        <w:tc>
          <w:tcPr>
            <w:tcW w:w="530" w:type="pct"/>
            <w:vAlign w:val="center"/>
          </w:tcPr>
          <w:p>
            <w:pPr>
              <w:jc w:val="center"/>
              <w:rPr>
                <w:szCs w:val="21"/>
              </w:rPr>
            </w:pPr>
            <w:r>
              <w:rPr>
                <w:rFonts w:hAnsi="宋体"/>
                <w:szCs w:val="21"/>
              </w:rPr>
              <w:t>达标</w:t>
            </w:r>
          </w:p>
        </w:tc>
      </w:tr>
    </w:tbl>
    <w:p>
      <w:pPr>
        <w:spacing w:line="480" w:lineRule="exact"/>
        <w:ind w:firstLine="488" w:firstLineChars="200"/>
        <w:jc w:val="center"/>
        <w:rPr>
          <w:rFonts w:ascii="黑体" w:hAnsi="黑体" w:eastAsia="黑体"/>
          <w:sz w:val="24"/>
        </w:rPr>
      </w:pPr>
      <w:r>
        <w:rPr>
          <w:rFonts w:ascii="黑体" w:hAnsi="黑体" w:eastAsia="黑体"/>
          <w:spacing w:val="2"/>
          <w:sz w:val="24"/>
        </w:rPr>
        <w:t>表</w:t>
      </w:r>
      <w:r>
        <w:rPr>
          <w:rFonts w:hint="eastAsia" w:ascii="黑体" w:hAnsi="黑体" w:eastAsia="黑体"/>
          <w:sz w:val="24"/>
        </w:rPr>
        <w:t>4.3-11</w:t>
      </w:r>
      <w:r>
        <w:rPr>
          <w:rFonts w:ascii="黑体" w:hAnsi="黑体" w:eastAsia="黑体"/>
          <w:spacing w:val="2"/>
          <w:sz w:val="24"/>
        </w:rPr>
        <w:t xml:space="preserve">  地下水质量现状监测数据统计分析表 单位：</w:t>
      </w:r>
      <w:r>
        <w:rPr>
          <w:rFonts w:ascii="黑体" w:hAnsi="黑体" w:eastAsia="黑体"/>
          <w:sz w:val="24"/>
        </w:rPr>
        <w:t>mg/L</w:t>
      </w:r>
    </w:p>
    <w:tbl>
      <w:tblPr>
        <w:tblStyle w:val="31"/>
        <w:tblW w:w="5004"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62"/>
        <w:gridCol w:w="1269"/>
        <w:gridCol w:w="1358"/>
        <w:gridCol w:w="1358"/>
        <w:gridCol w:w="1358"/>
        <w:gridCol w:w="1358"/>
        <w:gridCol w:w="1358"/>
        <w:gridCol w:w="1358"/>
        <w:gridCol w:w="1358"/>
        <w:gridCol w:w="1359"/>
        <w:gridCol w:w="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Merge w:val="restart"/>
            <w:vAlign w:val="center"/>
          </w:tcPr>
          <w:p>
            <w:pPr>
              <w:pStyle w:val="57"/>
              <w:spacing w:before="0" w:after="0" w:line="240" w:lineRule="auto"/>
              <w:ind w:firstLine="0" w:firstLineChars="0"/>
              <w:jc w:val="center"/>
              <w:rPr>
                <w:sz w:val="21"/>
                <w:szCs w:val="21"/>
              </w:rPr>
            </w:pPr>
            <w:bookmarkStart w:id="81" w:name="_Hlk9001268"/>
            <w:r>
              <w:rPr>
                <w:sz w:val="21"/>
                <w:szCs w:val="21"/>
              </w:rPr>
              <w:t>采样点位</w:t>
            </w:r>
          </w:p>
        </w:tc>
        <w:tc>
          <w:tcPr>
            <w:tcW w:w="453" w:type="pct"/>
            <w:vMerge w:val="restart"/>
            <w:vAlign w:val="center"/>
          </w:tcPr>
          <w:p>
            <w:pPr>
              <w:pStyle w:val="57"/>
              <w:spacing w:before="0" w:after="0" w:line="240" w:lineRule="auto"/>
              <w:ind w:firstLine="0" w:firstLineChars="0"/>
              <w:jc w:val="center"/>
              <w:rPr>
                <w:sz w:val="21"/>
                <w:szCs w:val="21"/>
              </w:rPr>
            </w:pPr>
            <w:r>
              <w:rPr>
                <w:sz w:val="21"/>
                <w:szCs w:val="21"/>
              </w:rPr>
              <w:t>采样日期</w:t>
            </w:r>
          </w:p>
        </w:tc>
        <w:tc>
          <w:tcPr>
            <w:tcW w:w="3883" w:type="pct"/>
            <w:gridSpan w:val="9"/>
            <w:vAlign w:val="center"/>
          </w:tcPr>
          <w:p>
            <w:pPr>
              <w:pStyle w:val="57"/>
              <w:spacing w:before="0" w:after="0" w:line="240" w:lineRule="auto"/>
              <w:ind w:firstLine="0" w:firstLineChars="0"/>
              <w:jc w:val="center"/>
              <w:rPr>
                <w:sz w:val="21"/>
                <w:szCs w:val="21"/>
              </w:rPr>
            </w:pPr>
            <w:r>
              <w:rPr>
                <w:sz w:val="21"/>
                <w:szCs w:val="21"/>
              </w:rPr>
              <w:t>监测项目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2" w:type="pct"/>
          <w:trHeight w:val="340" w:hRule="atLeast"/>
        </w:trPr>
        <w:tc>
          <w:tcPr>
            <w:tcW w:w="665" w:type="pct"/>
            <w:vMerge w:val="continue"/>
            <w:vAlign w:val="center"/>
          </w:tcPr>
          <w:p>
            <w:pPr>
              <w:pStyle w:val="57"/>
              <w:spacing w:before="0" w:after="0" w:line="240" w:lineRule="auto"/>
              <w:ind w:firstLine="0" w:firstLineChars="0"/>
              <w:jc w:val="center"/>
              <w:rPr>
                <w:sz w:val="21"/>
                <w:szCs w:val="21"/>
              </w:rPr>
            </w:pPr>
          </w:p>
        </w:tc>
        <w:tc>
          <w:tcPr>
            <w:tcW w:w="453" w:type="pct"/>
            <w:vMerge w:val="continue"/>
            <w:vAlign w:val="center"/>
          </w:tcPr>
          <w:p>
            <w:pPr>
              <w:pStyle w:val="57"/>
              <w:spacing w:before="0" w:after="0" w:line="240" w:lineRule="auto"/>
              <w:ind w:firstLine="0" w:firstLineChars="0"/>
              <w:jc w:val="center"/>
              <w:rPr>
                <w:sz w:val="21"/>
                <w:szCs w:val="21"/>
              </w:rPr>
            </w:pPr>
          </w:p>
        </w:tc>
        <w:tc>
          <w:tcPr>
            <w:tcW w:w="485" w:type="pct"/>
            <w:tcBorders>
              <w:right w:val="single" w:color="auto" w:sz="4" w:space="0"/>
            </w:tcBorders>
            <w:vAlign w:val="center"/>
          </w:tcPr>
          <w:p>
            <w:pPr>
              <w:pStyle w:val="57"/>
              <w:spacing w:before="0" w:after="0" w:line="240" w:lineRule="auto"/>
              <w:ind w:firstLine="0" w:firstLineChars="0"/>
              <w:jc w:val="center"/>
              <w:rPr>
                <w:sz w:val="21"/>
                <w:szCs w:val="21"/>
              </w:rPr>
            </w:pPr>
            <w:r>
              <w:rPr>
                <w:sz w:val="21"/>
                <w:szCs w:val="21"/>
              </w:rPr>
              <w:t>K</w:t>
            </w:r>
            <w:r>
              <w:rPr>
                <w:sz w:val="21"/>
                <w:szCs w:val="21"/>
                <w:vertAlign w:val="superscript"/>
              </w:rPr>
              <w:t>+</w:t>
            </w:r>
          </w:p>
        </w:tc>
        <w:tc>
          <w:tcPr>
            <w:tcW w:w="485" w:type="pct"/>
            <w:tcBorders>
              <w:left w:val="single" w:color="auto" w:sz="4" w:space="0"/>
              <w:right w:val="single" w:color="auto" w:sz="4" w:space="0"/>
            </w:tcBorders>
            <w:vAlign w:val="center"/>
          </w:tcPr>
          <w:p>
            <w:pPr>
              <w:pStyle w:val="57"/>
              <w:spacing w:before="0" w:after="0" w:line="240" w:lineRule="auto"/>
              <w:ind w:firstLine="0" w:firstLineChars="0"/>
              <w:jc w:val="center"/>
              <w:rPr>
                <w:sz w:val="21"/>
                <w:szCs w:val="21"/>
              </w:rPr>
            </w:pPr>
            <w:r>
              <w:rPr>
                <w:sz w:val="21"/>
                <w:szCs w:val="21"/>
              </w:rPr>
              <w:t>Ca</w:t>
            </w:r>
            <w:r>
              <w:rPr>
                <w:sz w:val="21"/>
                <w:szCs w:val="21"/>
                <w:vertAlign w:val="superscript"/>
              </w:rPr>
              <w:t>2+</w:t>
            </w:r>
          </w:p>
        </w:tc>
        <w:tc>
          <w:tcPr>
            <w:tcW w:w="485" w:type="pct"/>
            <w:tcBorders>
              <w:left w:val="single" w:color="auto" w:sz="4" w:space="0"/>
              <w:right w:val="single" w:color="auto" w:sz="4" w:space="0"/>
            </w:tcBorders>
            <w:vAlign w:val="center"/>
          </w:tcPr>
          <w:p>
            <w:pPr>
              <w:pStyle w:val="57"/>
              <w:spacing w:before="0" w:after="0" w:line="240" w:lineRule="auto"/>
              <w:ind w:firstLine="0" w:firstLineChars="0"/>
              <w:jc w:val="center"/>
              <w:rPr>
                <w:sz w:val="21"/>
                <w:szCs w:val="21"/>
              </w:rPr>
            </w:pPr>
            <w:r>
              <w:rPr>
                <w:sz w:val="21"/>
                <w:szCs w:val="21"/>
              </w:rPr>
              <w:t>Na</w:t>
            </w:r>
            <w:r>
              <w:rPr>
                <w:sz w:val="21"/>
                <w:szCs w:val="21"/>
                <w:vertAlign w:val="superscript"/>
              </w:rPr>
              <w:t>+</w:t>
            </w:r>
          </w:p>
        </w:tc>
        <w:tc>
          <w:tcPr>
            <w:tcW w:w="485" w:type="pct"/>
            <w:tcBorders>
              <w:left w:val="single" w:color="auto" w:sz="4" w:space="0"/>
              <w:right w:val="single" w:color="auto" w:sz="4" w:space="0"/>
            </w:tcBorders>
            <w:vAlign w:val="center"/>
          </w:tcPr>
          <w:p>
            <w:pPr>
              <w:pStyle w:val="57"/>
              <w:spacing w:before="0" w:after="0" w:line="240" w:lineRule="auto"/>
              <w:ind w:firstLine="0" w:firstLineChars="0"/>
              <w:jc w:val="center"/>
              <w:rPr>
                <w:sz w:val="21"/>
                <w:szCs w:val="21"/>
              </w:rPr>
            </w:pPr>
            <w:r>
              <w:rPr>
                <w:sz w:val="21"/>
                <w:szCs w:val="21"/>
              </w:rPr>
              <w:t>Mg</w:t>
            </w:r>
            <w:r>
              <w:rPr>
                <w:sz w:val="21"/>
                <w:szCs w:val="21"/>
                <w:vertAlign w:val="superscript"/>
              </w:rPr>
              <w:t>2+</w:t>
            </w:r>
          </w:p>
        </w:tc>
        <w:tc>
          <w:tcPr>
            <w:tcW w:w="485" w:type="pct"/>
            <w:tcBorders>
              <w:left w:val="single" w:color="auto" w:sz="4" w:space="0"/>
            </w:tcBorders>
            <w:vAlign w:val="center"/>
          </w:tcPr>
          <w:p>
            <w:pPr>
              <w:pStyle w:val="57"/>
              <w:spacing w:before="0" w:after="0" w:line="240" w:lineRule="auto"/>
              <w:ind w:firstLine="0" w:firstLineChars="0"/>
              <w:jc w:val="center"/>
              <w:rPr>
                <w:sz w:val="21"/>
                <w:szCs w:val="21"/>
              </w:rPr>
            </w:pPr>
            <w:r>
              <w:rPr>
                <w:sz w:val="21"/>
                <w:szCs w:val="21"/>
              </w:rPr>
              <w:t>CO</w:t>
            </w:r>
            <w:r>
              <w:rPr>
                <w:sz w:val="21"/>
                <w:szCs w:val="21"/>
                <w:vertAlign w:val="subscript"/>
              </w:rPr>
              <w:t>3</w:t>
            </w:r>
            <w:r>
              <w:rPr>
                <w:sz w:val="21"/>
                <w:szCs w:val="21"/>
                <w:vertAlign w:val="superscript"/>
              </w:rPr>
              <w:t>2-</w:t>
            </w:r>
          </w:p>
        </w:tc>
        <w:tc>
          <w:tcPr>
            <w:tcW w:w="485" w:type="pct"/>
            <w:tcBorders>
              <w:right w:val="single" w:color="auto" w:sz="4" w:space="0"/>
            </w:tcBorders>
            <w:vAlign w:val="center"/>
          </w:tcPr>
          <w:p>
            <w:pPr>
              <w:pStyle w:val="57"/>
              <w:spacing w:before="0" w:after="0" w:line="240" w:lineRule="auto"/>
              <w:ind w:firstLine="0" w:firstLineChars="0"/>
              <w:jc w:val="center"/>
              <w:rPr>
                <w:sz w:val="21"/>
                <w:szCs w:val="21"/>
                <w:vertAlign w:val="superscript"/>
              </w:rPr>
            </w:pPr>
            <w:r>
              <w:rPr>
                <w:sz w:val="21"/>
                <w:szCs w:val="21"/>
              </w:rPr>
              <w:t>HCO</w:t>
            </w:r>
            <w:r>
              <w:rPr>
                <w:sz w:val="21"/>
                <w:szCs w:val="21"/>
                <w:vertAlign w:val="subscript"/>
              </w:rPr>
              <w:t>3</w:t>
            </w:r>
            <w:r>
              <w:rPr>
                <w:sz w:val="21"/>
                <w:szCs w:val="21"/>
                <w:vertAlign w:val="superscript"/>
              </w:rPr>
              <w:t>-</w:t>
            </w:r>
          </w:p>
        </w:tc>
        <w:tc>
          <w:tcPr>
            <w:tcW w:w="485" w:type="pct"/>
            <w:tcBorders>
              <w:left w:val="single" w:color="auto" w:sz="4" w:space="0"/>
              <w:right w:val="single" w:color="auto" w:sz="4" w:space="0"/>
            </w:tcBorders>
            <w:vAlign w:val="center"/>
          </w:tcPr>
          <w:p>
            <w:pPr>
              <w:pStyle w:val="57"/>
              <w:spacing w:before="0" w:after="0" w:line="240" w:lineRule="auto"/>
              <w:ind w:firstLine="0" w:firstLineChars="0"/>
              <w:jc w:val="center"/>
              <w:rPr>
                <w:sz w:val="21"/>
                <w:szCs w:val="21"/>
                <w:vertAlign w:val="superscript"/>
              </w:rPr>
            </w:pPr>
            <w:r>
              <w:rPr>
                <w:sz w:val="21"/>
                <w:szCs w:val="21"/>
              </w:rPr>
              <w:t>Cl</w:t>
            </w:r>
            <w:r>
              <w:rPr>
                <w:sz w:val="21"/>
                <w:szCs w:val="21"/>
                <w:vertAlign w:val="superscript"/>
              </w:rPr>
              <w:t>-</w:t>
            </w:r>
          </w:p>
        </w:tc>
        <w:tc>
          <w:tcPr>
            <w:tcW w:w="485" w:type="pct"/>
            <w:tcBorders>
              <w:left w:val="single" w:color="auto" w:sz="4" w:space="0"/>
            </w:tcBorders>
            <w:vAlign w:val="center"/>
          </w:tcPr>
          <w:p>
            <w:pPr>
              <w:pStyle w:val="57"/>
              <w:spacing w:before="0" w:after="0" w:line="240" w:lineRule="auto"/>
              <w:ind w:firstLine="0" w:firstLineChars="0"/>
              <w:jc w:val="center"/>
              <w:rPr>
                <w:sz w:val="21"/>
                <w:szCs w:val="21"/>
                <w:vertAlign w:val="superscript"/>
              </w:rPr>
            </w:pPr>
            <w:r>
              <w:rPr>
                <w:sz w:val="21"/>
                <w:szCs w:val="21"/>
              </w:rPr>
              <w:t>SO</w:t>
            </w:r>
            <w:r>
              <w:rPr>
                <w:sz w:val="21"/>
                <w:szCs w:val="21"/>
                <w:vertAlign w:val="subscript"/>
              </w:rPr>
              <w:t>4</w:t>
            </w:r>
            <w:r>
              <w:rPr>
                <w:sz w:val="21"/>
                <w:szCs w:val="21"/>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2" w:type="pct"/>
          <w:trHeight w:val="340" w:hRule="atLeast"/>
        </w:trPr>
        <w:tc>
          <w:tcPr>
            <w:tcW w:w="665" w:type="pct"/>
            <w:vAlign w:val="center"/>
          </w:tcPr>
          <w:p>
            <w:pPr>
              <w:widowControl/>
              <w:jc w:val="center"/>
              <w:rPr>
                <w:szCs w:val="21"/>
              </w:rPr>
            </w:pPr>
            <w:r>
              <w:rPr>
                <w:szCs w:val="21"/>
              </w:rPr>
              <w:t>1#</w:t>
            </w:r>
            <w:r>
              <w:rPr>
                <w:rFonts w:hint="eastAsia" w:hAnsi="宋体"/>
                <w:szCs w:val="21"/>
              </w:rPr>
              <w:t>柏草坡</w:t>
            </w:r>
            <w:r>
              <w:rPr>
                <w:rFonts w:hAnsi="宋体"/>
                <w:szCs w:val="21"/>
              </w:rPr>
              <w:t>村</w:t>
            </w:r>
          </w:p>
        </w:tc>
        <w:tc>
          <w:tcPr>
            <w:tcW w:w="453" w:type="pct"/>
            <w:vAlign w:val="center"/>
          </w:tcPr>
          <w:p>
            <w:pPr>
              <w:jc w:val="center"/>
              <w:rPr>
                <w:spacing w:val="-20"/>
                <w:szCs w:val="21"/>
              </w:rPr>
            </w:pPr>
            <w:r>
              <w:rPr>
                <w:szCs w:val="21"/>
              </w:rPr>
              <w:t>201</w:t>
            </w:r>
            <w:r>
              <w:rPr>
                <w:rFonts w:hint="eastAsia"/>
                <w:szCs w:val="21"/>
              </w:rPr>
              <w:t>9</w:t>
            </w:r>
            <w:r>
              <w:rPr>
                <w:szCs w:val="21"/>
              </w:rPr>
              <w:t>.</w:t>
            </w:r>
            <w:r>
              <w:rPr>
                <w:rFonts w:hint="eastAsia"/>
                <w:szCs w:val="21"/>
              </w:rPr>
              <w:t>6</w:t>
            </w:r>
            <w:r>
              <w:rPr>
                <w:szCs w:val="21"/>
              </w:rPr>
              <w:t>.2</w:t>
            </w:r>
            <w:r>
              <w:rPr>
                <w:rFonts w:hint="eastAsia"/>
                <w:szCs w:val="21"/>
              </w:rPr>
              <w:t>1</w:t>
            </w:r>
          </w:p>
        </w:tc>
        <w:tc>
          <w:tcPr>
            <w:tcW w:w="485" w:type="pct"/>
            <w:vAlign w:val="center"/>
          </w:tcPr>
          <w:p>
            <w:pPr>
              <w:jc w:val="center"/>
              <w:rPr>
                <w:szCs w:val="21"/>
              </w:rPr>
            </w:pPr>
            <w:r>
              <w:rPr>
                <w:rFonts w:hint="eastAsia"/>
                <w:szCs w:val="21"/>
              </w:rPr>
              <w:t>1.3</w:t>
            </w:r>
          </w:p>
        </w:tc>
        <w:tc>
          <w:tcPr>
            <w:tcW w:w="485" w:type="pct"/>
            <w:vAlign w:val="center"/>
          </w:tcPr>
          <w:p>
            <w:pPr>
              <w:jc w:val="center"/>
              <w:rPr>
                <w:szCs w:val="21"/>
              </w:rPr>
            </w:pPr>
            <w:r>
              <w:rPr>
                <w:szCs w:val="21"/>
              </w:rPr>
              <w:t>70.2</w:t>
            </w:r>
          </w:p>
        </w:tc>
        <w:tc>
          <w:tcPr>
            <w:tcW w:w="485" w:type="pct"/>
            <w:vAlign w:val="center"/>
          </w:tcPr>
          <w:p>
            <w:pPr>
              <w:jc w:val="center"/>
              <w:rPr>
                <w:szCs w:val="21"/>
              </w:rPr>
            </w:pPr>
            <w:r>
              <w:rPr>
                <w:rFonts w:hint="eastAsia"/>
                <w:szCs w:val="21"/>
              </w:rPr>
              <w:t>8.31</w:t>
            </w:r>
          </w:p>
        </w:tc>
        <w:tc>
          <w:tcPr>
            <w:tcW w:w="485" w:type="pct"/>
            <w:tcBorders>
              <w:right w:val="single" w:color="auto" w:sz="4" w:space="0"/>
            </w:tcBorders>
            <w:vAlign w:val="center"/>
          </w:tcPr>
          <w:p>
            <w:pPr>
              <w:jc w:val="center"/>
              <w:rPr>
                <w:szCs w:val="21"/>
              </w:rPr>
            </w:pPr>
            <w:r>
              <w:rPr>
                <w:rFonts w:hint="eastAsia"/>
                <w:szCs w:val="21"/>
              </w:rPr>
              <w:t>18.0</w:t>
            </w:r>
          </w:p>
        </w:tc>
        <w:tc>
          <w:tcPr>
            <w:tcW w:w="485" w:type="pct"/>
            <w:tcBorders>
              <w:left w:val="single" w:color="auto" w:sz="4" w:space="0"/>
            </w:tcBorders>
            <w:vAlign w:val="center"/>
          </w:tcPr>
          <w:p>
            <w:pPr>
              <w:jc w:val="center"/>
              <w:rPr>
                <w:szCs w:val="21"/>
              </w:rPr>
            </w:pPr>
            <w:r>
              <w:rPr>
                <w:szCs w:val="21"/>
              </w:rPr>
              <w:t>ND</w:t>
            </w:r>
          </w:p>
        </w:tc>
        <w:tc>
          <w:tcPr>
            <w:tcW w:w="485" w:type="pct"/>
            <w:tcBorders>
              <w:right w:val="single" w:color="auto" w:sz="4" w:space="0"/>
            </w:tcBorders>
            <w:vAlign w:val="center"/>
          </w:tcPr>
          <w:p>
            <w:pPr>
              <w:jc w:val="center"/>
              <w:rPr>
                <w:szCs w:val="21"/>
              </w:rPr>
            </w:pPr>
            <w:r>
              <w:rPr>
                <w:rFonts w:hint="eastAsia"/>
                <w:szCs w:val="21"/>
              </w:rPr>
              <w:t>248.8</w:t>
            </w:r>
          </w:p>
        </w:tc>
        <w:tc>
          <w:tcPr>
            <w:tcW w:w="485" w:type="pct"/>
            <w:tcBorders>
              <w:left w:val="single" w:color="auto" w:sz="4" w:space="0"/>
              <w:right w:val="single" w:color="auto" w:sz="4" w:space="0"/>
            </w:tcBorders>
            <w:vAlign w:val="center"/>
          </w:tcPr>
          <w:p>
            <w:pPr>
              <w:jc w:val="center"/>
              <w:rPr>
                <w:szCs w:val="21"/>
              </w:rPr>
            </w:pPr>
            <w:r>
              <w:rPr>
                <w:rFonts w:hint="eastAsia"/>
                <w:szCs w:val="21"/>
              </w:rPr>
              <w:t>1</w:t>
            </w:r>
            <w:r>
              <w:rPr>
                <w:szCs w:val="21"/>
              </w:rPr>
              <w:t>1</w:t>
            </w:r>
          </w:p>
        </w:tc>
        <w:tc>
          <w:tcPr>
            <w:tcW w:w="485" w:type="pct"/>
            <w:tcBorders>
              <w:left w:val="single" w:color="auto" w:sz="4" w:space="0"/>
            </w:tcBorders>
            <w:vAlign w:val="center"/>
          </w:tcPr>
          <w:p>
            <w:pPr>
              <w:jc w:val="center"/>
              <w:rPr>
                <w:szCs w:val="21"/>
              </w:rPr>
            </w:pPr>
            <w:r>
              <w:rPr>
                <w:rFonts w:hint="eastAsia"/>
                <w:szCs w:val="21"/>
              </w:rPr>
              <w:t>4</w:t>
            </w:r>
            <w:r>
              <w:rPr>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2" w:type="pct"/>
          <w:trHeight w:val="340" w:hRule="atLeast"/>
        </w:trPr>
        <w:tc>
          <w:tcPr>
            <w:tcW w:w="665" w:type="pct"/>
            <w:vAlign w:val="center"/>
          </w:tcPr>
          <w:p>
            <w:pPr>
              <w:pStyle w:val="57"/>
              <w:spacing w:before="0" w:after="0" w:line="240" w:lineRule="auto"/>
              <w:ind w:firstLine="0" w:firstLineChars="0"/>
              <w:jc w:val="center"/>
              <w:rPr>
                <w:sz w:val="21"/>
                <w:szCs w:val="21"/>
              </w:rPr>
            </w:pPr>
            <w:r>
              <w:rPr>
                <w:sz w:val="21"/>
                <w:szCs w:val="21"/>
              </w:rPr>
              <w:t>2#</w:t>
            </w:r>
            <w:r>
              <w:rPr>
                <w:rFonts w:hint="eastAsia" w:hAnsi="宋体"/>
                <w:sz w:val="21"/>
                <w:szCs w:val="21"/>
              </w:rPr>
              <w:t>厂区</w:t>
            </w:r>
            <w:r>
              <w:rPr>
                <w:rFonts w:hAnsi="宋体"/>
                <w:sz w:val="21"/>
                <w:szCs w:val="21"/>
              </w:rPr>
              <w:t>水井</w:t>
            </w:r>
          </w:p>
        </w:tc>
        <w:tc>
          <w:tcPr>
            <w:tcW w:w="453" w:type="pct"/>
            <w:vAlign w:val="center"/>
          </w:tcPr>
          <w:p>
            <w:pPr>
              <w:jc w:val="center"/>
              <w:rPr>
                <w:spacing w:val="-20"/>
                <w:szCs w:val="21"/>
              </w:rPr>
            </w:pPr>
            <w:r>
              <w:rPr>
                <w:szCs w:val="21"/>
              </w:rPr>
              <w:t>201</w:t>
            </w:r>
            <w:r>
              <w:rPr>
                <w:rFonts w:hint="eastAsia"/>
                <w:szCs w:val="21"/>
              </w:rPr>
              <w:t>9</w:t>
            </w:r>
            <w:r>
              <w:rPr>
                <w:szCs w:val="21"/>
              </w:rPr>
              <w:t>.</w:t>
            </w:r>
            <w:r>
              <w:rPr>
                <w:rFonts w:hint="eastAsia"/>
                <w:szCs w:val="21"/>
              </w:rPr>
              <w:t>6</w:t>
            </w:r>
            <w:r>
              <w:rPr>
                <w:szCs w:val="21"/>
              </w:rPr>
              <w:t>.2</w:t>
            </w:r>
            <w:r>
              <w:rPr>
                <w:rFonts w:hint="eastAsia"/>
                <w:szCs w:val="21"/>
              </w:rPr>
              <w:t>1</w:t>
            </w:r>
          </w:p>
        </w:tc>
        <w:tc>
          <w:tcPr>
            <w:tcW w:w="485" w:type="pct"/>
            <w:vAlign w:val="center"/>
          </w:tcPr>
          <w:p>
            <w:pPr>
              <w:jc w:val="center"/>
              <w:rPr>
                <w:szCs w:val="21"/>
              </w:rPr>
            </w:pPr>
            <w:r>
              <w:rPr>
                <w:rFonts w:hint="eastAsia"/>
                <w:szCs w:val="21"/>
              </w:rPr>
              <w:t>1.38</w:t>
            </w:r>
          </w:p>
        </w:tc>
        <w:tc>
          <w:tcPr>
            <w:tcW w:w="485" w:type="pct"/>
            <w:vAlign w:val="center"/>
          </w:tcPr>
          <w:p>
            <w:pPr>
              <w:jc w:val="center"/>
              <w:rPr>
                <w:szCs w:val="21"/>
              </w:rPr>
            </w:pPr>
            <w:r>
              <w:rPr>
                <w:rFonts w:hint="eastAsia"/>
                <w:szCs w:val="21"/>
              </w:rPr>
              <w:t>41.8</w:t>
            </w:r>
          </w:p>
        </w:tc>
        <w:tc>
          <w:tcPr>
            <w:tcW w:w="485" w:type="pct"/>
            <w:vAlign w:val="center"/>
          </w:tcPr>
          <w:p>
            <w:pPr>
              <w:jc w:val="center"/>
              <w:rPr>
                <w:szCs w:val="21"/>
              </w:rPr>
            </w:pPr>
            <w:r>
              <w:rPr>
                <w:rFonts w:hint="eastAsia"/>
                <w:szCs w:val="21"/>
              </w:rPr>
              <w:t>15.7</w:t>
            </w:r>
          </w:p>
        </w:tc>
        <w:tc>
          <w:tcPr>
            <w:tcW w:w="485" w:type="pct"/>
            <w:vAlign w:val="center"/>
          </w:tcPr>
          <w:p>
            <w:pPr>
              <w:jc w:val="center"/>
              <w:rPr>
                <w:szCs w:val="21"/>
              </w:rPr>
            </w:pPr>
            <w:r>
              <w:rPr>
                <w:rFonts w:hint="eastAsia"/>
                <w:szCs w:val="21"/>
              </w:rPr>
              <w:t>19.5</w:t>
            </w:r>
          </w:p>
        </w:tc>
        <w:tc>
          <w:tcPr>
            <w:tcW w:w="485" w:type="pct"/>
            <w:vAlign w:val="center"/>
          </w:tcPr>
          <w:p>
            <w:pPr>
              <w:jc w:val="center"/>
              <w:rPr>
                <w:szCs w:val="21"/>
              </w:rPr>
            </w:pPr>
            <w:r>
              <w:rPr>
                <w:szCs w:val="21"/>
              </w:rPr>
              <w:t>ND</w:t>
            </w:r>
          </w:p>
        </w:tc>
        <w:tc>
          <w:tcPr>
            <w:tcW w:w="485" w:type="pct"/>
            <w:tcBorders>
              <w:right w:val="single" w:color="auto" w:sz="4" w:space="0"/>
            </w:tcBorders>
            <w:vAlign w:val="center"/>
          </w:tcPr>
          <w:p>
            <w:pPr>
              <w:jc w:val="center"/>
              <w:rPr>
                <w:szCs w:val="21"/>
              </w:rPr>
            </w:pPr>
            <w:r>
              <w:rPr>
                <w:rFonts w:hint="eastAsia"/>
                <w:szCs w:val="21"/>
              </w:rPr>
              <w:t>239.2</w:t>
            </w:r>
          </w:p>
        </w:tc>
        <w:tc>
          <w:tcPr>
            <w:tcW w:w="485" w:type="pct"/>
            <w:tcBorders>
              <w:left w:val="single" w:color="auto" w:sz="4" w:space="0"/>
              <w:right w:val="single" w:color="auto" w:sz="4" w:space="0"/>
            </w:tcBorders>
            <w:vAlign w:val="center"/>
          </w:tcPr>
          <w:p>
            <w:pPr>
              <w:jc w:val="center"/>
              <w:rPr>
                <w:szCs w:val="21"/>
              </w:rPr>
            </w:pPr>
            <w:r>
              <w:rPr>
                <w:rFonts w:hint="eastAsia"/>
                <w:szCs w:val="21"/>
              </w:rPr>
              <w:t>2</w:t>
            </w:r>
            <w:r>
              <w:rPr>
                <w:szCs w:val="21"/>
              </w:rPr>
              <w:t>1</w:t>
            </w:r>
          </w:p>
        </w:tc>
        <w:tc>
          <w:tcPr>
            <w:tcW w:w="485" w:type="pct"/>
            <w:tcBorders>
              <w:left w:val="single" w:color="auto" w:sz="4" w:space="0"/>
            </w:tcBorders>
            <w:vAlign w:val="center"/>
          </w:tcPr>
          <w:p>
            <w:pPr>
              <w:jc w:val="center"/>
              <w:rPr>
                <w:szCs w:val="21"/>
              </w:rPr>
            </w:pPr>
            <w:r>
              <w:rPr>
                <w:rFonts w:hint="eastAsia"/>
                <w:szCs w:val="21"/>
              </w:rPr>
              <w:t>4</w:t>
            </w:r>
            <w:r>
              <w:rPr>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2" w:type="pct"/>
          <w:trHeight w:val="340" w:hRule="atLeast"/>
        </w:trPr>
        <w:tc>
          <w:tcPr>
            <w:tcW w:w="665" w:type="pct"/>
            <w:vAlign w:val="center"/>
          </w:tcPr>
          <w:p>
            <w:pPr>
              <w:pStyle w:val="57"/>
              <w:snapToGrid/>
              <w:spacing w:before="0" w:after="0" w:line="240" w:lineRule="auto"/>
              <w:ind w:firstLine="0" w:firstLineChars="0"/>
              <w:jc w:val="center"/>
              <w:rPr>
                <w:szCs w:val="21"/>
              </w:rPr>
            </w:pPr>
            <w:r>
              <w:rPr>
                <w:sz w:val="21"/>
                <w:szCs w:val="21"/>
              </w:rPr>
              <w:t>3#</w:t>
            </w:r>
            <w:r>
              <w:rPr>
                <w:rFonts w:hint="eastAsia"/>
                <w:sz w:val="21"/>
                <w:szCs w:val="21"/>
              </w:rPr>
              <w:t>圪塔村</w:t>
            </w:r>
          </w:p>
        </w:tc>
        <w:tc>
          <w:tcPr>
            <w:tcW w:w="453" w:type="pct"/>
            <w:vAlign w:val="center"/>
          </w:tcPr>
          <w:p>
            <w:pPr>
              <w:jc w:val="center"/>
              <w:rPr>
                <w:spacing w:val="-20"/>
                <w:szCs w:val="21"/>
              </w:rPr>
            </w:pPr>
            <w:r>
              <w:rPr>
                <w:szCs w:val="21"/>
              </w:rPr>
              <w:t>201</w:t>
            </w:r>
            <w:r>
              <w:rPr>
                <w:rFonts w:hint="eastAsia"/>
                <w:szCs w:val="21"/>
              </w:rPr>
              <w:t>9</w:t>
            </w:r>
            <w:r>
              <w:rPr>
                <w:szCs w:val="21"/>
              </w:rPr>
              <w:t>.</w:t>
            </w:r>
            <w:r>
              <w:rPr>
                <w:rFonts w:hint="eastAsia"/>
                <w:szCs w:val="21"/>
              </w:rPr>
              <w:t>6</w:t>
            </w:r>
            <w:r>
              <w:rPr>
                <w:szCs w:val="21"/>
              </w:rPr>
              <w:t>.2</w:t>
            </w:r>
            <w:r>
              <w:rPr>
                <w:rFonts w:hint="eastAsia"/>
                <w:szCs w:val="21"/>
              </w:rPr>
              <w:t>1</w:t>
            </w:r>
          </w:p>
        </w:tc>
        <w:tc>
          <w:tcPr>
            <w:tcW w:w="485" w:type="pct"/>
            <w:vAlign w:val="center"/>
          </w:tcPr>
          <w:p>
            <w:pPr>
              <w:jc w:val="center"/>
              <w:rPr>
                <w:szCs w:val="21"/>
              </w:rPr>
            </w:pPr>
            <w:r>
              <w:rPr>
                <w:rFonts w:hint="eastAsia"/>
                <w:szCs w:val="21"/>
              </w:rPr>
              <w:t>1.27</w:t>
            </w:r>
          </w:p>
        </w:tc>
        <w:tc>
          <w:tcPr>
            <w:tcW w:w="485" w:type="pct"/>
            <w:vAlign w:val="center"/>
          </w:tcPr>
          <w:p>
            <w:pPr>
              <w:jc w:val="center"/>
              <w:rPr>
                <w:szCs w:val="21"/>
              </w:rPr>
            </w:pPr>
            <w:r>
              <w:rPr>
                <w:rFonts w:hint="eastAsia"/>
                <w:szCs w:val="21"/>
              </w:rPr>
              <w:t>45.7</w:t>
            </w:r>
          </w:p>
        </w:tc>
        <w:tc>
          <w:tcPr>
            <w:tcW w:w="485" w:type="pct"/>
            <w:vAlign w:val="center"/>
          </w:tcPr>
          <w:p>
            <w:pPr>
              <w:jc w:val="center"/>
              <w:rPr>
                <w:szCs w:val="21"/>
              </w:rPr>
            </w:pPr>
            <w:r>
              <w:rPr>
                <w:rFonts w:hint="eastAsia"/>
                <w:szCs w:val="21"/>
              </w:rPr>
              <w:t>5.36</w:t>
            </w:r>
          </w:p>
        </w:tc>
        <w:tc>
          <w:tcPr>
            <w:tcW w:w="485" w:type="pct"/>
            <w:vAlign w:val="center"/>
          </w:tcPr>
          <w:p>
            <w:pPr>
              <w:jc w:val="center"/>
              <w:rPr>
                <w:szCs w:val="21"/>
              </w:rPr>
            </w:pPr>
            <w:r>
              <w:rPr>
                <w:rFonts w:hint="eastAsia"/>
                <w:szCs w:val="21"/>
              </w:rPr>
              <w:t>17.5</w:t>
            </w:r>
          </w:p>
        </w:tc>
        <w:tc>
          <w:tcPr>
            <w:tcW w:w="485" w:type="pct"/>
            <w:vAlign w:val="center"/>
          </w:tcPr>
          <w:p>
            <w:pPr>
              <w:jc w:val="center"/>
              <w:rPr>
                <w:szCs w:val="21"/>
              </w:rPr>
            </w:pPr>
            <w:r>
              <w:rPr>
                <w:rFonts w:hint="eastAsia"/>
                <w:szCs w:val="21"/>
              </w:rPr>
              <w:t>ND</w:t>
            </w:r>
          </w:p>
        </w:tc>
        <w:tc>
          <w:tcPr>
            <w:tcW w:w="485" w:type="pct"/>
            <w:tcBorders>
              <w:right w:val="single" w:color="auto" w:sz="4" w:space="0"/>
            </w:tcBorders>
            <w:vAlign w:val="center"/>
          </w:tcPr>
          <w:p>
            <w:pPr>
              <w:jc w:val="center"/>
              <w:rPr>
                <w:szCs w:val="21"/>
              </w:rPr>
            </w:pPr>
            <w:r>
              <w:rPr>
                <w:rFonts w:hint="eastAsia"/>
                <w:szCs w:val="21"/>
              </w:rPr>
              <w:t>251.6</w:t>
            </w:r>
          </w:p>
        </w:tc>
        <w:tc>
          <w:tcPr>
            <w:tcW w:w="485" w:type="pct"/>
            <w:tcBorders>
              <w:left w:val="single" w:color="auto" w:sz="4" w:space="0"/>
              <w:right w:val="single" w:color="auto" w:sz="4" w:space="0"/>
            </w:tcBorders>
            <w:vAlign w:val="center"/>
          </w:tcPr>
          <w:p>
            <w:pPr>
              <w:jc w:val="center"/>
              <w:rPr>
                <w:szCs w:val="21"/>
              </w:rPr>
            </w:pPr>
            <w:r>
              <w:rPr>
                <w:rFonts w:hint="eastAsia"/>
                <w:szCs w:val="21"/>
              </w:rPr>
              <w:t>2</w:t>
            </w:r>
            <w:r>
              <w:rPr>
                <w:szCs w:val="21"/>
              </w:rPr>
              <w:t>6</w:t>
            </w:r>
          </w:p>
        </w:tc>
        <w:tc>
          <w:tcPr>
            <w:tcW w:w="485" w:type="pct"/>
            <w:tcBorders>
              <w:left w:val="single" w:color="auto" w:sz="4" w:space="0"/>
            </w:tcBorders>
            <w:vAlign w:val="center"/>
          </w:tcPr>
          <w:p>
            <w:pPr>
              <w:jc w:val="center"/>
              <w:rPr>
                <w:szCs w:val="21"/>
              </w:rPr>
            </w:pPr>
            <w:r>
              <w:rPr>
                <w:rFonts w:hint="eastAsia"/>
                <w:szCs w:val="21"/>
              </w:rPr>
              <w:t>2</w:t>
            </w:r>
            <w:r>
              <w:rPr>
                <w:szCs w:val="21"/>
              </w:rPr>
              <w:t>1</w:t>
            </w:r>
          </w:p>
        </w:tc>
      </w:tr>
      <w:bookmarkEnd w:id="81"/>
    </w:tbl>
    <w:p>
      <w:pPr>
        <w:spacing w:line="480" w:lineRule="exact"/>
        <w:ind w:firstLine="488" w:firstLineChars="200"/>
        <w:jc w:val="center"/>
        <w:rPr>
          <w:rFonts w:ascii="黑体" w:hAnsi="黑体" w:eastAsia="黑体"/>
          <w:sz w:val="24"/>
        </w:rPr>
      </w:pPr>
      <w:r>
        <w:rPr>
          <w:rFonts w:ascii="黑体" w:hAnsi="黑体" w:eastAsia="黑体"/>
          <w:spacing w:val="2"/>
          <w:sz w:val="24"/>
        </w:rPr>
        <w:t>表</w:t>
      </w:r>
      <w:r>
        <w:rPr>
          <w:rFonts w:hint="eastAsia" w:ascii="黑体" w:hAnsi="黑体" w:eastAsia="黑体"/>
          <w:sz w:val="24"/>
        </w:rPr>
        <w:t>4.3-12</w:t>
      </w:r>
      <w:r>
        <w:rPr>
          <w:rFonts w:ascii="黑体" w:hAnsi="黑体" w:eastAsia="黑体"/>
          <w:spacing w:val="2"/>
          <w:sz w:val="24"/>
        </w:rPr>
        <w:t xml:space="preserve">  地下水</w:t>
      </w:r>
      <w:r>
        <w:rPr>
          <w:rFonts w:hint="eastAsia" w:ascii="黑体" w:hAnsi="黑体" w:eastAsia="黑体"/>
          <w:spacing w:val="2"/>
          <w:sz w:val="24"/>
        </w:rPr>
        <w:t>监测点位信息一览</w:t>
      </w:r>
      <w:r>
        <w:rPr>
          <w:rFonts w:ascii="黑体" w:hAnsi="黑体" w:eastAsia="黑体"/>
          <w:spacing w:val="2"/>
          <w:sz w:val="24"/>
        </w:rPr>
        <w:t>表 单位：</w:t>
      </w:r>
      <w:r>
        <w:rPr>
          <w:rFonts w:ascii="黑体" w:hAnsi="黑体" w:eastAsia="黑体"/>
          <w:sz w:val="24"/>
        </w:rPr>
        <w:t>mg/L</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498"/>
        <w:gridCol w:w="3498"/>
        <w:gridCol w:w="3498"/>
        <w:gridCol w:w="34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jc w:val="center"/>
              <w:rPr>
                <w:bCs/>
                <w:szCs w:val="21"/>
              </w:rPr>
            </w:pPr>
            <w:r>
              <w:rPr>
                <w:rFonts w:hAnsi="宋体"/>
                <w:bCs/>
                <w:szCs w:val="21"/>
              </w:rPr>
              <w:t>点位名称</w:t>
            </w:r>
          </w:p>
        </w:tc>
        <w:tc>
          <w:tcPr>
            <w:tcW w:w="1250" w:type="pct"/>
            <w:vAlign w:val="center"/>
          </w:tcPr>
          <w:p>
            <w:pPr>
              <w:jc w:val="center"/>
              <w:rPr>
                <w:bCs/>
                <w:szCs w:val="21"/>
              </w:rPr>
            </w:pPr>
            <w:r>
              <w:rPr>
                <w:rFonts w:hint="eastAsia"/>
                <w:bCs/>
                <w:szCs w:val="21"/>
              </w:rPr>
              <w:t>井深（m）</w:t>
            </w:r>
          </w:p>
        </w:tc>
        <w:tc>
          <w:tcPr>
            <w:tcW w:w="1250" w:type="pct"/>
            <w:vAlign w:val="center"/>
          </w:tcPr>
          <w:p>
            <w:pPr>
              <w:jc w:val="center"/>
              <w:rPr>
                <w:bCs/>
                <w:szCs w:val="21"/>
              </w:rPr>
            </w:pPr>
            <w:r>
              <w:rPr>
                <w:rFonts w:hint="eastAsia"/>
                <w:bCs/>
                <w:szCs w:val="21"/>
              </w:rPr>
              <w:t>水位（m）</w:t>
            </w:r>
          </w:p>
        </w:tc>
        <w:tc>
          <w:tcPr>
            <w:tcW w:w="1250" w:type="pct"/>
            <w:vAlign w:val="center"/>
          </w:tcPr>
          <w:p>
            <w:pPr>
              <w:jc w:val="center"/>
              <w:rPr>
                <w:bCs/>
                <w:szCs w:val="21"/>
              </w:rPr>
            </w:pPr>
            <w:r>
              <w:rPr>
                <w:rFonts w:hint="eastAsia"/>
                <w:bCs/>
                <w:szCs w:val="21"/>
              </w:rPr>
              <w:t>水温（℃）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widowControl/>
              <w:jc w:val="center"/>
              <w:rPr>
                <w:szCs w:val="21"/>
              </w:rPr>
            </w:pPr>
            <w:r>
              <w:rPr>
                <w:szCs w:val="21"/>
              </w:rPr>
              <w:t>1#</w:t>
            </w:r>
            <w:r>
              <w:rPr>
                <w:rFonts w:hint="eastAsia" w:hAnsi="宋体"/>
                <w:szCs w:val="21"/>
              </w:rPr>
              <w:t>柏草坡</w:t>
            </w:r>
            <w:r>
              <w:rPr>
                <w:rFonts w:hAnsi="宋体"/>
                <w:szCs w:val="21"/>
              </w:rPr>
              <w:t>村</w:t>
            </w:r>
            <w:r>
              <w:rPr>
                <w:rFonts w:hint="eastAsia" w:hAnsi="宋体"/>
                <w:szCs w:val="21"/>
              </w:rPr>
              <w:t>水井</w:t>
            </w:r>
          </w:p>
        </w:tc>
        <w:tc>
          <w:tcPr>
            <w:tcW w:w="1250" w:type="pct"/>
            <w:vAlign w:val="center"/>
          </w:tcPr>
          <w:p>
            <w:pPr>
              <w:jc w:val="center"/>
              <w:rPr>
                <w:bCs/>
                <w:szCs w:val="21"/>
              </w:rPr>
            </w:pPr>
            <w:r>
              <w:rPr>
                <w:rFonts w:hint="eastAsia"/>
                <w:bCs/>
                <w:szCs w:val="21"/>
              </w:rPr>
              <w:t>120</w:t>
            </w:r>
          </w:p>
        </w:tc>
        <w:tc>
          <w:tcPr>
            <w:tcW w:w="1250" w:type="pct"/>
            <w:vAlign w:val="center"/>
          </w:tcPr>
          <w:p>
            <w:pPr>
              <w:jc w:val="center"/>
              <w:rPr>
                <w:bCs/>
                <w:szCs w:val="21"/>
              </w:rPr>
            </w:pPr>
            <w:r>
              <w:rPr>
                <w:rFonts w:hint="eastAsia"/>
                <w:bCs/>
                <w:szCs w:val="21"/>
              </w:rPr>
              <w:t>84</w:t>
            </w:r>
          </w:p>
        </w:tc>
        <w:tc>
          <w:tcPr>
            <w:tcW w:w="1250" w:type="pct"/>
            <w:vAlign w:val="center"/>
          </w:tcPr>
          <w:p>
            <w:pPr>
              <w:jc w:val="center"/>
              <w:rPr>
                <w:bCs/>
                <w:szCs w:val="21"/>
              </w:rPr>
            </w:pPr>
            <w:r>
              <w:rPr>
                <w:rFonts w:hint="eastAsia"/>
                <w:bCs/>
                <w:szCs w:val="21"/>
              </w:rPr>
              <w:t>7</w:t>
            </w:r>
            <w:r>
              <w:rPr>
                <w:bCs/>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pStyle w:val="57"/>
              <w:spacing w:before="0" w:after="0" w:line="240" w:lineRule="auto"/>
              <w:ind w:firstLine="0" w:firstLineChars="0"/>
              <w:jc w:val="center"/>
              <w:rPr>
                <w:sz w:val="21"/>
                <w:szCs w:val="21"/>
              </w:rPr>
            </w:pPr>
            <w:r>
              <w:rPr>
                <w:sz w:val="21"/>
                <w:szCs w:val="21"/>
              </w:rPr>
              <w:t>2#</w:t>
            </w:r>
            <w:r>
              <w:rPr>
                <w:rFonts w:hint="eastAsia" w:hAnsi="宋体"/>
                <w:sz w:val="21"/>
                <w:szCs w:val="21"/>
              </w:rPr>
              <w:t>厂区</w:t>
            </w:r>
            <w:r>
              <w:rPr>
                <w:rFonts w:hAnsi="宋体"/>
                <w:sz w:val="21"/>
                <w:szCs w:val="21"/>
              </w:rPr>
              <w:t>水井</w:t>
            </w:r>
          </w:p>
        </w:tc>
        <w:tc>
          <w:tcPr>
            <w:tcW w:w="1250" w:type="pct"/>
            <w:vAlign w:val="center"/>
          </w:tcPr>
          <w:p>
            <w:pPr>
              <w:jc w:val="center"/>
              <w:rPr>
                <w:bCs/>
                <w:szCs w:val="21"/>
              </w:rPr>
            </w:pPr>
            <w:r>
              <w:rPr>
                <w:rFonts w:hint="eastAsia"/>
                <w:bCs/>
                <w:szCs w:val="21"/>
              </w:rPr>
              <w:t>150</w:t>
            </w:r>
          </w:p>
        </w:tc>
        <w:tc>
          <w:tcPr>
            <w:tcW w:w="1250" w:type="pct"/>
            <w:vAlign w:val="center"/>
          </w:tcPr>
          <w:p>
            <w:pPr>
              <w:jc w:val="center"/>
              <w:rPr>
                <w:bCs/>
                <w:szCs w:val="21"/>
              </w:rPr>
            </w:pPr>
            <w:r>
              <w:rPr>
                <w:rFonts w:hint="eastAsia"/>
                <w:bCs/>
                <w:szCs w:val="21"/>
              </w:rPr>
              <w:t>110</w:t>
            </w:r>
          </w:p>
        </w:tc>
        <w:tc>
          <w:tcPr>
            <w:tcW w:w="1250" w:type="pct"/>
            <w:vAlign w:val="center"/>
          </w:tcPr>
          <w:p>
            <w:pPr>
              <w:jc w:val="center"/>
              <w:rPr>
                <w:bCs/>
                <w:szCs w:val="21"/>
              </w:rPr>
            </w:pPr>
            <w:r>
              <w:rPr>
                <w:rFonts w:hint="eastAsia"/>
                <w:bCs/>
                <w:szCs w:val="21"/>
              </w:rPr>
              <w:t>7</w:t>
            </w:r>
            <w:r>
              <w:rPr>
                <w:bCs/>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pStyle w:val="57"/>
              <w:snapToGrid/>
              <w:spacing w:before="0" w:after="0" w:line="240" w:lineRule="auto"/>
              <w:ind w:firstLine="0" w:firstLineChars="0"/>
              <w:jc w:val="center"/>
              <w:rPr>
                <w:szCs w:val="21"/>
              </w:rPr>
            </w:pPr>
            <w:r>
              <w:rPr>
                <w:sz w:val="21"/>
                <w:szCs w:val="21"/>
              </w:rPr>
              <w:t>3#</w:t>
            </w:r>
            <w:r>
              <w:rPr>
                <w:rFonts w:hint="eastAsia"/>
                <w:sz w:val="21"/>
                <w:szCs w:val="21"/>
              </w:rPr>
              <w:t>圪塔村水井</w:t>
            </w:r>
          </w:p>
        </w:tc>
        <w:tc>
          <w:tcPr>
            <w:tcW w:w="1250" w:type="pct"/>
            <w:vAlign w:val="center"/>
          </w:tcPr>
          <w:p>
            <w:pPr>
              <w:jc w:val="center"/>
              <w:rPr>
                <w:bCs/>
                <w:szCs w:val="21"/>
              </w:rPr>
            </w:pPr>
            <w:r>
              <w:rPr>
                <w:rFonts w:hint="eastAsia"/>
                <w:bCs/>
                <w:szCs w:val="21"/>
              </w:rPr>
              <w:t>140</w:t>
            </w:r>
          </w:p>
        </w:tc>
        <w:tc>
          <w:tcPr>
            <w:tcW w:w="1250" w:type="pct"/>
            <w:vAlign w:val="center"/>
          </w:tcPr>
          <w:p>
            <w:pPr>
              <w:jc w:val="center"/>
              <w:rPr>
                <w:bCs/>
                <w:szCs w:val="21"/>
              </w:rPr>
            </w:pPr>
            <w:r>
              <w:rPr>
                <w:rFonts w:hint="eastAsia"/>
                <w:bCs/>
                <w:szCs w:val="21"/>
              </w:rPr>
              <w:t>100</w:t>
            </w:r>
          </w:p>
        </w:tc>
        <w:tc>
          <w:tcPr>
            <w:tcW w:w="1250" w:type="pct"/>
            <w:vAlign w:val="center"/>
          </w:tcPr>
          <w:p>
            <w:pPr>
              <w:jc w:val="center"/>
              <w:rPr>
                <w:bCs/>
                <w:szCs w:val="21"/>
              </w:rPr>
            </w:pPr>
            <w:r>
              <w:rPr>
                <w:rFonts w:hint="eastAsia"/>
                <w:bCs/>
                <w:szCs w:val="21"/>
              </w:rPr>
              <w:t>8</w:t>
            </w:r>
            <w:r>
              <w:rPr>
                <w:bCs/>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pStyle w:val="54"/>
              <w:spacing w:line="240" w:lineRule="auto"/>
            </w:pPr>
            <w:r>
              <w:t>4</w:t>
            </w:r>
            <w:r>
              <w:rPr>
                <w:rFonts w:hint="eastAsia"/>
              </w:rPr>
              <w:t>#云家庄村水井</w:t>
            </w:r>
          </w:p>
        </w:tc>
        <w:tc>
          <w:tcPr>
            <w:tcW w:w="1250" w:type="pct"/>
            <w:vAlign w:val="center"/>
          </w:tcPr>
          <w:p>
            <w:pPr>
              <w:jc w:val="center"/>
              <w:rPr>
                <w:bCs/>
                <w:szCs w:val="21"/>
              </w:rPr>
            </w:pPr>
            <w:r>
              <w:rPr>
                <w:rFonts w:hint="eastAsia"/>
                <w:bCs/>
                <w:szCs w:val="21"/>
              </w:rPr>
              <w:t>120</w:t>
            </w:r>
          </w:p>
        </w:tc>
        <w:tc>
          <w:tcPr>
            <w:tcW w:w="1250" w:type="pct"/>
            <w:vAlign w:val="center"/>
          </w:tcPr>
          <w:p>
            <w:pPr>
              <w:jc w:val="center"/>
              <w:rPr>
                <w:bCs/>
                <w:szCs w:val="21"/>
              </w:rPr>
            </w:pPr>
            <w:r>
              <w:rPr>
                <w:rFonts w:hint="eastAsia"/>
                <w:bCs/>
                <w:szCs w:val="21"/>
              </w:rPr>
              <w:t>76</w:t>
            </w:r>
          </w:p>
        </w:tc>
        <w:tc>
          <w:tcPr>
            <w:tcW w:w="1250" w:type="pct"/>
            <w:vAlign w:val="center"/>
          </w:tcPr>
          <w:p>
            <w:pPr>
              <w:jc w:val="center"/>
              <w:rPr>
                <w:bCs/>
                <w:szCs w:val="21"/>
              </w:rPr>
            </w:pPr>
            <w:r>
              <w:rPr>
                <w:rFonts w:hint="eastAsia"/>
                <w:bCs/>
                <w:szCs w:val="21"/>
              </w:rPr>
              <w:t>7</w:t>
            </w:r>
            <w:r>
              <w:rPr>
                <w:bCs/>
                <w:szCs w:val="21"/>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pStyle w:val="54"/>
              <w:spacing w:line="240" w:lineRule="auto"/>
            </w:pPr>
            <w:r>
              <w:t>5</w:t>
            </w:r>
            <w:r>
              <w:rPr>
                <w:rFonts w:hint="eastAsia"/>
              </w:rPr>
              <w:t>#西保障村水井</w:t>
            </w:r>
          </w:p>
        </w:tc>
        <w:tc>
          <w:tcPr>
            <w:tcW w:w="1250" w:type="pct"/>
            <w:vAlign w:val="center"/>
          </w:tcPr>
          <w:p>
            <w:pPr>
              <w:jc w:val="center"/>
              <w:rPr>
                <w:bCs/>
                <w:szCs w:val="21"/>
              </w:rPr>
            </w:pPr>
            <w:r>
              <w:rPr>
                <w:rFonts w:hint="eastAsia"/>
                <w:bCs/>
                <w:szCs w:val="21"/>
              </w:rPr>
              <w:t>120</w:t>
            </w:r>
          </w:p>
        </w:tc>
        <w:tc>
          <w:tcPr>
            <w:tcW w:w="1250" w:type="pct"/>
            <w:vAlign w:val="center"/>
          </w:tcPr>
          <w:p>
            <w:pPr>
              <w:jc w:val="center"/>
              <w:rPr>
                <w:bCs/>
                <w:szCs w:val="21"/>
              </w:rPr>
            </w:pPr>
            <w:r>
              <w:rPr>
                <w:rFonts w:hint="eastAsia"/>
                <w:bCs/>
                <w:szCs w:val="21"/>
              </w:rPr>
              <w:t>95</w:t>
            </w:r>
          </w:p>
        </w:tc>
        <w:tc>
          <w:tcPr>
            <w:tcW w:w="1250" w:type="pct"/>
            <w:vAlign w:val="center"/>
          </w:tcPr>
          <w:p>
            <w:pPr>
              <w:jc w:val="center"/>
              <w:rPr>
                <w:bCs/>
                <w:szCs w:val="21"/>
              </w:rPr>
            </w:pPr>
            <w:r>
              <w:rPr>
                <w:rFonts w:hint="eastAsia"/>
                <w:bCs/>
                <w:szCs w:val="21"/>
              </w:rPr>
              <w:t>8</w:t>
            </w:r>
            <w:r>
              <w:rPr>
                <w:bCs/>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pStyle w:val="54"/>
              <w:spacing w:line="240" w:lineRule="auto"/>
            </w:pPr>
            <w:r>
              <w:t>6</w:t>
            </w:r>
            <w:r>
              <w:rPr>
                <w:rFonts w:hint="eastAsia"/>
              </w:rPr>
              <w:t>#韩家桥村水井</w:t>
            </w:r>
          </w:p>
        </w:tc>
        <w:tc>
          <w:tcPr>
            <w:tcW w:w="1250" w:type="pct"/>
            <w:vAlign w:val="center"/>
          </w:tcPr>
          <w:p>
            <w:pPr>
              <w:jc w:val="center"/>
              <w:rPr>
                <w:bCs/>
                <w:szCs w:val="21"/>
              </w:rPr>
            </w:pPr>
            <w:r>
              <w:rPr>
                <w:rFonts w:hint="eastAsia"/>
                <w:bCs/>
                <w:szCs w:val="21"/>
              </w:rPr>
              <w:t>110</w:t>
            </w:r>
          </w:p>
        </w:tc>
        <w:tc>
          <w:tcPr>
            <w:tcW w:w="1250" w:type="pct"/>
            <w:vAlign w:val="center"/>
          </w:tcPr>
          <w:p>
            <w:pPr>
              <w:jc w:val="center"/>
              <w:rPr>
                <w:bCs/>
                <w:szCs w:val="21"/>
              </w:rPr>
            </w:pPr>
            <w:r>
              <w:rPr>
                <w:rFonts w:hint="eastAsia"/>
                <w:bCs/>
                <w:szCs w:val="21"/>
              </w:rPr>
              <w:t>75</w:t>
            </w:r>
          </w:p>
        </w:tc>
        <w:tc>
          <w:tcPr>
            <w:tcW w:w="1250" w:type="pct"/>
            <w:vAlign w:val="center"/>
          </w:tcPr>
          <w:p>
            <w:pPr>
              <w:jc w:val="center"/>
              <w:rPr>
                <w:bCs/>
                <w:szCs w:val="21"/>
              </w:rPr>
            </w:pPr>
            <w:r>
              <w:rPr>
                <w:rFonts w:hint="eastAsia"/>
                <w:bCs/>
                <w:szCs w:val="21"/>
              </w:rPr>
              <w:t>7</w:t>
            </w:r>
            <w:r>
              <w:rPr>
                <w:bCs/>
                <w:szCs w:val="21"/>
              </w:rPr>
              <w:t>.9</w:t>
            </w:r>
          </w:p>
        </w:tc>
      </w:tr>
    </w:tbl>
    <w:p>
      <w:pPr>
        <w:spacing w:line="480" w:lineRule="exact"/>
        <w:ind w:firstLine="480" w:firstLineChars="200"/>
        <w:rPr>
          <w:bCs/>
          <w:sz w:val="24"/>
          <w:szCs w:val="24"/>
        </w:rPr>
      </w:pPr>
    </w:p>
    <w:p>
      <w:pPr>
        <w:spacing w:line="480" w:lineRule="exact"/>
        <w:ind w:firstLine="480" w:firstLineChars="200"/>
        <w:rPr>
          <w:rFonts w:ascii="黑体" w:hAnsi="黑体" w:eastAsia="黑体"/>
          <w:sz w:val="24"/>
          <w:szCs w:val="21"/>
        </w:rPr>
        <w:sectPr>
          <w:pgSz w:w="16838" w:h="11906" w:orient="landscape"/>
          <w:pgMar w:top="1418" w:right="1531" w:bottom="1418" w:left="1531" w:header="851" w:footer="992" w:gutter="0"/>
          <w:cols w:space="425" w:num="1"/>
          <w:docGrid w:type="linesAndChars" w:linePitch="312" w:charSpace="0"/>
        </w:sectPr>
      </w:pPr>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4.3.5</w:t>
      </w:r>
      <w:r>
        <w:rPr>
          <w:rFonts w:hint="eastAsia" w:ascii="宋体" w:hAnsi="宋体" w:eastAsia="宋体"/>
          <w:b/>
          <w:bCs/>
        </w:rPr>
        <w:t>声环境现状调查与评价</w:t>
      </w:r>
    </w:p>
    <w:p>
      <w:pPr>
        <w:spacing w:line="480" w:lineRule="exact"/>
        <w:ind w:firstLine="480" w:firstLineChars="200"/>
        <w:rPr>
          <w:rFonts w:ascii="黑体" w:hAnsi="黑体" w:eastAsia="黑体"/>
          <w:sz w:val="24"/>
          <w:szCs w:val="21"/>
        </w:rPr>
      </w:pPr>
      <w:r>
        <w:rPr>
          <w:rFonts w:hint="eastAsia"/>
          <w:bCs/>
          <w:kern w:val="0"/>
          <w:sz w:val="24"/>
          <w:szCs w:val="24"/>
        </w:rPr>
        <w:t>山西宏境检测科技有限公司</w:t>
      </w:r>
      <w:r>
        <w:rPr>
          <w:rFonts w:hint="eastAsia"/>
          <w:bCs/>
          <w:sz w:val="24"/>
          <w:szCs w:val="24"/>
        </w:rPr>
        <w:t>在</w:t>
      </w:r>
      <w:r>
        <w:rPr>
          <w:bCs/>
          <w:sz w:val="24"/>
          <w:szCs w:val="24"/>
        </w:rPr>
        <w:t>20</w:t>
      </w:r>
      <w:r>
        <w:rPr>
          <w:rFonts w:hint="eastAsia"/>
          <w:bCs/>
          <w:sz w:val="24"/>
          <w:szCs w:val="24"/>
        </w:rPr>
        <w:t>19</w:t>
      </w:r>
      <w:r>
        <w:rPr>
          <w:bCs/>
          <w:sz w:val="24"/>
          <w:szCs w:val="24"/>
        </w:rPr>
        <w:t>年</w:t>
      </w:r>
      <w:r>
        <w:rPr>
          <w:rFonts w:hint="eastAsia"/>
          <w:bCs/>
          <w:sz w:val="24"/>
          <w:szCs w:val="24"/>
        </w:rPr>
        <w:t>6</w:t>
      </w:r>
      <w:r>
        <w:rPr>
          <w:bCs/>
          <w:sz w:val="24"/>
          <w:szCs w:val="24"/>
        </w:rPr>
        <w:t>月22</w:t>
      </w:r>
      <w:r>
        <w:rPr>
          <w:rFonts w:hint="eastAsia"/>
          <w:bCs/>
          <w:sz w:val="24"/>
          <w:szCs w:val="24"/>
        </w:rPr>
        <w:t>-23</w:t>
      </w:r>
      <w:r>
        <w:rPr>
          <w:bCs/>
          <w:sz w:val="24"/>
          <w:szCs w:val="24"/>
        </w:rPr>
        <w:t>日</w:t>
      </w:r>
      <w:r>
        <w:rPr>
          <w:rFonts w:hint="eastAsia"/>
          <w:bCs/>
          <w:sz w:val="24"/>
          <w:szCs w:val="24"/>
        </w:rPr>
        <w:t>本项目厂界进行了为期2天的声环境质量现状监测。</w:t>
      </w:r>
      <w:r>
        <w:rPr>
          <w:bCs/>
          <w:sz w:val="24"/>
          <w:szCs w:val="24"/>
        </w:rPr>
        <w:t>本次声环境现状监测共布设置</w:t>
      </w:r>
      <w:r>
        <w:rPr>
          <w:rFonts w:hint="eastAsia"/>
          <w:bCs/>
          <w:sz w:val="24"/>
          <w:szCs w:val="24"/>
        </w:rPr>
        <w:t>5</w:t>
      </w:r>
      <w:r>
        <w:rPr>
          <w:bCs/>
          <w:sz w:val="24"/>
          <w:szCs w:val="24"/>
        </w:rPr>
        <w:t>个监测点位</w:t>
      </w:r>
      <w:r>
        <w:rPr>
          <w:rFonts w:hint="eastAsia"/>
          <w:bCs/>
          <w:sz w:val="24"/>
          <w:szCs w:val="24"/>
        </w:rPr>
        <w:t>。</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w:t>
      </w:r>
      <w:r>
        <w:rPr>
          <w:rFonts w:hint="eastAsia"/>
          <w:b/>
        </w:rPr>
        <w:t>5</w:t>
      </w:r>
      <w:r>
        <w:rPr>
          <w:b/>
        </w:rPr>
        <w:t>.</w:t>
      </w:r>
      <w:r>
        <w:rPr>
          <w:rFonts w:hint="eastAsia"/>
          <w:b/>
        </w:rPr>
        <w:t>1</w:t>
      </w:r>
      <w:r>
        <w:rPr>
          <w:rFonts w:hint="eastAsia" w:ascii="宋体" w:hAnsi="宋体"/>
          <w:b/>
        </w:rPr>
        <w:t>监测点位、监测内容、分析方法</w:t>
      </w:r>
    </w:p>
    <w:p>
      <w:pPr>
        <w:spacing w:line="480" w:lineRule="exact"/>
        <w:ind w:firstLine="480" w:firstLineChars="200"/>
        <w:rPr>
          <w:rFonts w:ascii="黑体" w:hAnsi="黑体" w:eastAsia="黑体"/>
          <w:sz w:val="24"/>
          <w:szCs w:val="21"/>
        </w:rPr>
      </w:pPr>
      <w:r>
        <w:rPr>
          <w:rFonts w:hint="eastAsia"/>
          <w:sz w:val="24"/>
          <w:szCs w:val="24"/>
        </w:rPr>
        <w:t>监测点位设置见图4.3-2，监测内容及分析方法见表4.3-13。</w:t>
      </w:r>
    </w:p>
    <w:p>
      <w:pPr>
        <w:widowControl/>
        <w:snapToGrid w:val="0"/>
        <w:spacing w:line="480" w:lineRule="exact"/>
        <w:jc w:val="center"/>
        <w:rPr>
          <w:rFonts w:ascii="黑体" w:hAnsi="黑体" w:eastAsia="黑体"/>
          <w:sz w:val="24"/>
          <w:szCs w:val="24"/>
        </w:rPr>
      </w:pPr>
      <w:r>
        <w:rPr>
          <w:rFonts w:hint="eastAsia" w:ascii="黑体" w:hAnsi="黑体" w:eastAsia="黑体"/>
          <w:sz w:val="24"/>
          <w:szCs w:val="24"/>
        </w:rPr>
        <w:t>表4.3-13  声环境质量现状监测内容</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2010"/>
        <w:gridCol w:w="2153"/>
        <w:gridCol w:w="2298"/>
        <w:gridCol w:w="19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8" w:type="pct"/>
            <w:vAlign w:val="center"/>
          </w:tcPr>
          <w:p>
            <w:pPr>
              <w:snapToGrid w:val="0"/>
              <w:spacing w:line="240" w:lineRule="atLeast"/>
              <w:jc w:val="center"/>
              <w:rPr>
                <w:szCs w:val="21"/>
              </w:rPr>
            </w:pPr>
            <w:r>
              <w:rPr>
                <w:szCs w:val="21"/>
              </w:rPr>
              <w:t>编号</w:t>
            </w:r>
          </w:p>
        </w:tc>
        <w:tc>
          <w:tcPr>
            <w:tcW w:w="1109" w:type="pct"/>
            <w:tcBorders>
              <w:bottom w:val="single" w:color="auto" w:sz="4" w:space="0"/>
            </w:tcBorders>
            <w:vAlign w:val="center"/>
          </w:tcPr>
          <w:p>
            <w:pPr>
              <w:snapToGrid w:val="0"/>
              <w:spacing w:line="240" w:lineRule="atLeast"/>
              <w:jc w:val="center"/>
              <w:rPr>
                <w:szCs w:val="21"/>
              </w:rPr>
            </w:pPr>
            <w:r>
              <w:rPr>
                <w:szCs w:val="21"/>
              </w:rPr>
              <w:t>监测点名称</w:t>
            </w:r>
          </w:p>
        </w:tc>
        <w:tc>
          <w:tcPr>
            <w:tcW w:w="1188" w:type="pct"/>
            <w:tcBorders>
              <w:bottom w:val="single" w:color="auto" w:sz="4" w:space="0"/>
              <w:right w:val="single" w:color="auto" w:sz="4" w:space="0"/>
            </w:tcBorders>
            <w:vAlign w:val="center"/>
          </w:tcPr>
          <w:p>
            <w:pPr>
              <w:snapToGrid w:val="0"/>
              <w:spacing w:line="240" w:lineRule="atLeast"/>
              <w:jc w:val="center"/>
              <w:rPr>
                <w:szCs w:val="21"/>
              </w:rPr>
            </w:pPr>
            <w:r>
              <w:rPr>
                <w:szCs w:val="21"/>
              </w:rPr>
              <w:t>监测项目</w:t>
            </w:r>
          </w:p>
        </w:tc>
        <w:tc>
          <w:tcPr>
            <w:tcW w:w="1268" w:type="pct"/>
            <w:tcBorders>
              <w:left w:val="single" w:color="auto" w:sz="4" w:space="0"/>
              <w:bottom w:val="single" w:color="auto" w:sz="4" w:space="0"/>
            </w:tcBorders>
            <w:vAlign w:val="center"/>
          </w:tcPr>
          <w:p>
            <w:pPr>
              <w:snapToGrid w:val="0"/>
              <w:spacing w:line="240" w:lineRule="atLeast"/>
              <w:jc w:val="center"/>
              <w:rPr>
                <w:szCs w:val="21"/>
              </w:rPr>
            </w:pPr>
            <w:r>
              <w:rPr>
                <w:rFonts w:hint="eastAsia"/>
                <w:szCs w:val="21"/>
              </w:rPr>
              <w:t>监测时间及频次</w:t>
            </w:r>
          </w:p>
        </w:tc>
        <w:tc>
          <w:tcPr>
            <w:tcW w:w="1057" w:type="pct"/>
            <w:tcBorders>
              <w:left w:val="single" w:color="auto" w:sz="4" w:space="0"/>
              <w:bottom w:val="single" w:color="auto" w:sz="4" w:space="0"/>
            </w:tcBorders>
            <w:vAlign w:val="center"/>
          </w:tcPr>
          <w:p>
            <w:pPr>
              <w:snapToGrid w:val="0"/>
              <w:spacing w:line="240" w:lineRule="atLeast"/>
              <w:jc w:val="center"/>
              <w:rPr>
                <w:szCs w:val="21"/>
              </w:rPr>
            </w:pPr>
            <w:r>
              <w:rPr>
                <w:rFonts w:hint="eastAsia"/>
                <w:szCs w:val="21"/>
              </w:rPr>
              <w:t>分析方法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8" w:type="pct"/>
            <w:vAlign w:val="center"/>
          </w:tcPr>
          <w:p>
            <w:pPr>
              <w:snapToGrid w:val="0"/>
              <w:spacing w:line="240" w:lineRule="atLeast"/>
              <w:jc w:val="center"/>
              <w:rPr>
                <w:szCs w:val="21"/>
                <w:vertAlign w:val="superscript"/>
              </w:rPr>
            </w:pPr>
            <w:r>
              <w:rPr>
                <w:rFonts w:hint="eastAsia"/>
                <w:szCs w:val="21"/>
              </w:rPr>
              <w:t>1</w:t>
            </w:r>
          </w:p>
        </w:tc>
        <w:tc>
          <w:tcPr>
            <w:tcW w:w="1109" w:type="pct"/>
            <w:vAlign w:val="center"/>
          </w:tcPr>
          <w:p>
            <w:pPr>
              <w:snapToGrid w:val="0"/>
              <w:spacing w:line="240" w:lineRule="atLeast"/>
              <w:jc w:val="center"/>
              <w:rPr>
                <w:szCs w:val="21"/>
              </w:rPr>
            </w:pPr>
            <w:r>
              <w:rPr>
                <w:rFonts w:hint="eastAsia"/>
                <w:bCs/>
                <w:spacing w:val="4"/>
                <w:szCs w:val="21"/>
              </w:rPr>
              <w:t>1#厂界西北侧</w:t>
            </w:r>
          </w:p>
        </w:tc>
        <w:tc>
          <w:tcPr>
            <w:tcW w:w="1188" w:type="pct"/>
            <w:vMerge w:val="restart"/>
            <w:tcBorders>
              <w:right w:val="single" w:color="auto" w:sz="4" w:space="0"/>
            </w:tcBorders>
            <w:vAlign w:val="center"/>
          </w:tcPr>
          <w:p>
            <w:pPr>
              <w:snapToGrid w:val="0"/>
              <w:spacing w:line="240" w:lineRule="atLeast"/>
              <w:jc w:val="center"/>
              <w:rPr>
                <w:szCs w:val="21"/>
              </w:rPr>
            </w:pPr>
            <w:r>
              <w:rPr>
                <w:szCs w:val="21"/>
              </w:rPr>
              <w:t>等效A声级，同时统计L</w:t>
            </w:r>
            <w:r>
              <w:rPr>
                <w:szCs w:val="21"/>
                <w:vertAlign w:val="subscript"/>
              </w:rPr>
              <w:t>10</w:t>
            </w:r>
            <w:r>
              <w:rPr>
                <w:szCs w:val="21"/>
              </w:rPr>
              <w:t>、L</w:t>
            </w:r>
            <w:r>
              <w:rPr>
                <w:szCs w:val="21"/>
                <w:vertAlign w:val="subscript"/>
              </w:rPr>
              <w:t>50</w:t>
            </w:r>
            <w:r>
              <w:rPr>
                <w:szCs w:val="21"/>
              </w:rPr>
              <w:t>、L</w:t>
            </w:r>
            <w:r>
              <w:rPr>
                <w:szCs w:val="21"/>
                <w:vertAlign w:val="subscript"/>
              </w:rPr>
              <w:t>90</w:t>
            </w:r>
          </w:p>
        </w:tc>
        <w:tc>
          <w:tcPr>
            <w:tcW w:w="1268" w:type="pct"/>
            <w:vMerge w:val="restart"/>
            <w:tcBorders>
              <w:left w:val="single" w:color="auto" w:sz="4" w:space="0"/>
            </w:tcBorders>
            <w:vAlign w:val="center"/>
          </w:tcPr>
          <w:p>
            <w:pPr>
              <w:snapToGrid w:val="0"/>
              <w:spacing w:line="240" w:lineRule="atLeast"/>
              <w:jc w:val="center"/>
              <w:rPr>
                <w:szCs w:val="21"/>
                <w:highlight w:val="yellow"/>
              </w:rPr>
            </w:pPr>
            <w:r>
              <w:rPr>
                <w:rFonts w:hint="eastAsia"/>
                <w:szCs w:val="21"/>
              </w:rPr>
              <w:t>2019年6月2</w:t>
            </w:r>
            <w:r>
              <w:rPr>
                <w:szCs w:val="21"/>
              </w:rPr>
              <w:t>2</w:t>
            </w:r>
            <w:r>
              <w:rPr>
                <w:rFonts w:hint="eastAsia"/>
                <w:szCs w:val="21"/>
              </w:rPr>
              <w:t>-23日；监测两天，昼夜各一次</w:t>
            </w:r>
          </w:p>
        </w:tc>
        <w:tc>
          <w:tcPr>
            <w:tcW w:w="1057" w:type="pct"/>
            <w:vMerge w:val="restart"/>
            <w:tcBorders>
              <w:left w:val="single" w:color="auto" w:sz="4" w:space="0"/>
            </w:tcBorders>
            <w:vAlign w:val="center"/>
          </w:tcPr>
          <w:p>
            <w:pPr>
              <w:snapToGrid w:val="0"/>
              <w:spacing w:line="240" w:lineRule="atLeast"/>
              <w:jc w:val="center"/>
              <w:rPr>
                <w:szCs w:val="21"/>
              </w:rPr>
            </w:pPr>
            <w:r>
              <w:rPr>
                <w:szCs w:val="21"/>
              </w:rPr>
              <w:t>按GB</w:t>
            </w:r>
            <w:r>
              <w:rPr>
                <w:rFonts w:hint="eastAsia"/>
                <w:szCs w:val="21"/>
              </w:rPr>
              <w:t>3096</w:t>
            </w:r>
            <w:r>
              <w:rPr>
                <w:szCs w:val="21"/>
              </w:rPr>
              <w:t>-</w:t>
            </w:r>
          </w:p>
          <w:p>
            <w:pPr>
              <w:snapToGrid w:val="0"/>
              <w:spacing w:line="240" w:lineRule="atLeast"/>
              <w:jc w:val="center"/>
              <w:rPr>
                <w:szCs w:val="21"/>
              </w:rPr>
            </w:pPr>
            <w:r>
              <w:rPr>
                <w:szCs w:val="21"/>
              </w:rPr>
              <w:t>2008执行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8" w:type="pct"/>
            <w:vAlign w:val="center"/>
          </w:tcPr>
          <w:p>
            <w:pPr>
              <w:snapToGrid w:val="0"/>
              <w:spacing w:line="240" w:lineRule="atLeast"/>
              <w:jc w:val="center"/>
              <w:rPr>
                <w:szCs w:val="21"/>
              </w:rPr>
            </w:pPr>
            <w:r>
              <w:rPr>
                <w:rFonts w:hint="eastAsia"/>
                <w:szCs w:val="21"/>
              </w:rPr>
              <w:t>2</w:t>
            </w:r>
          </w:p>
        </w:tc>
        <w:tc>
          <w:tcPr>
            <w:tcW w:w="1109" w:type="pct"/>
            <w:vAlign w:val="center"/>
          </w:tcPr>
          <w:p>
            <w:pPr>
              <w:snapToGrid w:val="0"/>
              <w:spacing w:line="240" w:lineRule="atLeast"/>
              <w:jc w:val="center"/>
              <w:rPr>
                <w:szCs w:val="21"/>
              </w:rPr>
            </w:pPr>
            <w:r>
              <w:rPr>
                <w:rFonts w:hint="eastAsia"/>
                <w:bCs/>
                <w:spacing w:val="4"/>
                <w:szCs w:val="21"/>
              </w:rPr>
              <w:t>2#厂界东北侧</w:t>
            </w:r>
          </w:p>
        </w:tc>
        <w:tc>
          <w:tcPr>
            <w:tcW w:w="1188" w:type="pct"/>
            <w:vMerge w:val="continue"/>
            <w:tcBorders>
              <w:right w:val="single" w:color="auto" w:sz="4" w:space="0"/>
            </w:tcBorders>
            <w:vAlign w:val="center"/>
          </w:tcPr>
          <w:p>
            <w:pPr>
              <w:snapToGrid w:val="0"/>
              <w:spacing w:line="240" w:lineRule="atLeast"/>
              <w:jc w:val="center"/>
              <w:rPr>
                <w:szCs w:val="21"/>
              </w:rPr>
            </w:pPr>
          </w:p>
        </w:tc>
        <w:tc>
          <w:tcPr>
            <w:tcW w:w="1268" w:type="pct"/>
            <w:vMerge w:val="continue"/>
            <w:tcBorders>
              <w:left w:val="single" w:color="auto" w:sz="4" w:space="0"/>
            </w:tcBorders>
            <w:vAlign w:val="center"/>
          </w:tcPr>
          <w:p>
            <w:pPr>
              <w:snapToGrid w:val="0"/>
              <w:spacing w:line="240" w:lineRule="atLeast"/>
              <w:jc w:val="center"/>
              <w:rPr>
                <w:szCs w:val="21"/>
              </w:rPr>
            </w:pPr>
          </w:p>
        </w:tc>
        <w:tc>
          <w:tcPr>
            <w:tcW w:w="1057" w:type="pct"/>
            <w:vMerge w:val="continue"/>
            <w:tcBorders>
              <w:left w:val="single" w:color="auto" w:sz="4" w:space="0"/>
            </w:tcBorders>
            <w:vAlign w:val="center"/>
          </w:tcPr>
          <w:p>
            <w:pPr>
              <w:snapToGrid w:val="0"/>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8" w:type="pct"/>
            <w:vAlign w:val="center"/>
          </w:tcPr>
          <w:p>
            <w:pPr>
              <w:snapToGrid w:val="0"/>
              <w:spacing w:line="240" w:lineRule="atLeast"/>
              <w:jc w:val="center"/>
              <w:rPr>
                <w:szCs w:val="21"/>
              </w:rPr>
            </w:pPr>
            <w:r>
              <w:rPr>
                <w:rFonts w:hint="eastAsia"/>
                <w:szCs w:val="21"/>
              </w:rPr>
              <w:t>3</w:t>
            </w:r>
          </w:p>
        </w:tc>
        <w:tc>
          <w:tcPr>
            <w:tcW w:w="1109" w:type="pct"/>
            <w:vAlign w:val="center"/>
          </w:tcPr>
          <w:p>
            <w:pPr>
              <w:snapToGrid w:val="0"/>
              <w:spacing w:line="240" w:lineRule="atLeast"/>
              <w:jc w:val="center"/>
              <w:rPr>
                <w:bCs/>
                <w:spacing w:val="4"/>
                <w:szCs w:val="21"/>
              </w:rPr>
            </w:pPr>
            <w:r>
              <w:rPr>
                <w:rFonts w:hint="eastAsia"/>
                <w:bCs/>
                <w:spacing w:val="4"/>
                <w:szCs w:val="21"/>
              </w:rPr>
              <w:t>3#厂界东侧</w:t>
            </w:r>
          </w:p>
        </w:tc>
        <w:tc>
          <w:tcPr>
            <w:tcW w:w="1188" w:type="pct"/>
            <w:vMerge w:val="continue"/>
            <w:tcBorders>
              <w:right w:val="single" w:color="auto" w:sz="4" w:space="0"/>
            </w:tcBorders>
            <w:vAlign w:val="center"/>
          </w:tcPr>
          <w:p>
            <w:pPr>
              <w:snapToGrid w:val="0"/>
              <w:spacing w:line="240" w:lineRule="atLeast"/>
              <w:jc w:val="center"/>
              <w:rPr>
                <w:szCs w:val="21"/>
              </w:rPr>
            </w:pPr>
          </w:p>
        </w:tc>
        <w:tc>
          <w:tcPr>
            <w:tcW w:w="1268" w:type="pct"/>
            <w:vMerge w:val="continue"/>
            <w:tcBorders>
              <w:left w:val="single" w:color="auto" w:sz="4" w:space="0"/>
            </w:tcBorders>
            <w:vAlign w:val="center"/>
          </w:tcPr>
          <w:p>
            <w:pPr>
              <w:snapToGrid w:val="0"/>
              <w:spacing w:line="240" w:lineRule="atLeast"/>
              <w:jc w:val="center"/>
              <w:rPr>
                <w:szCs w:val="21"/>
              </w:rPr>
            </w:pPr>
          </w:p>
        </w:tc>
        <w:tc>
          <w:tcPr>
            <w:tcW w:w="1057" w:type="pct"/>
            <w:vMerge w:val="continue"/>
            <w:tcBorders>
              <w:left w:val="single" w:color="auto" w:sz="4" w:space="0"/>
            </w:tcBorders>
            <w:vAlign w:val="center"/>
          </w:tcPr>
          <w:p>
            <w:pPr>
              <w:snapToGrid w:val="0"/>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8" w:type="pct"/>
            <w:vAlign w:val="center"/>
          </w:tcPr>
          <w:p>
            <w:pPr>
              <w:snapToGrid w:val="0"/>
              <w:spacing w:line="240" w:lineRule="atLeast"/>
              <w:jc w:val="center"/>
              <w:rPr>
                <w:szCs w:val="21"/>
              </w:rPr>
            </w:pPr>
            <w:r>
              <w:rPr>
                <w:rFonts w:hint="eastAsia"/>
                <w:szCs w:val="21"/>
              </w:rPr>
              <w:t>4</w:t>
            </w:r>
          </w:p>
        </w:tc>
        <w:tc>
          <w:tcPr>
            <w:tcW w:w="1109" w:type="pct"/>
            <w:vAlign w:val="center"/>
          </w:tcPr>
          <w:p>
            <w:pPr>
              <w:snapToGrid w:val="0"/>
              <w:spacing w:line="240" w:lineRule="atLeast"/>
              <w:jc w:val="center"/>
              <w:rPr>
                <w:bCs/>
                <w:spacing w:val="4"/>
                <w:szCs w:val="21"/>
              </w:rPr>
            </w:pPr>
            <w:r>
              <w:rPr>
                <w:rFonts w:hint="eastAsia"/>
                <w:bCs/>
                <w:spacing w:val="4"/>
                <w:szCs w:val="21"/>
              </w:rPr>
              <w:t>4#厂界南侧</w:t>
            </w:r>
          </w:p>
        </w:tc>
        <w:tc>
          <w:tcPr>
            <w:tcW w:w="1188" w:type="pct"/>
            <w:vMerge w:val="continue"/>
            <w:tcBorders>
              <w:right w:val="single" w:color="auto" w:sz="4" w:space="0"/>
            </w:tcBorders>
            <w:vAlign w:val="center"/>
          </w:tcPr>
          <w:p>
            <w:pPr>
              <w:snapToGrid w:val="0"/>
              <w:spacing w:line="240" w:lineRule="atLeast"/>
              <w:jc w:val="center"/>
              <w:rPr>
                <w:szCs w:val="21"/>
              </w:rPr>
            </w:pPr>
          </w:p>
        </w:tc>
        <w:tc>
          <w:tcPr>
            <w:tcW w:w="1268" w:type="pct"/>
            <w:vMerge w:val="continue"/>
            <w:tcBorders>
              <w:left w:val="single" w:color="auto" w:sz="4" w:space="0"/>
            </w:tcBorders>
            <w:vAlign w:val="center"/>
          </w:tcPr>
          <w:p>
            <w:pPr>
              <w:snapToGrid w:val="0"/>
              <w:spacing w:line="240" w:lineRule="atLeast"/>
              <w:jc w:val="center"/>
              <w:rPr>
                <w:szCs w:val="21"/>
              </w:rPr>
            </w:pPr>
          </w:p>
        </w:tc>
        <w:tc>
          <w:tcPr>
            <w:tcW w:w="1057" w:type="pct"/>
            <w:vMerge w:val="continue"/>
            <w:tcBorders>
              <w:left w:val="single" w:color="auto" w:sz="4" w:space="0"/>
            </w:tcBorders>
            <w:vAlign w:val="center"/>
          </w:tcPr>
          <w:p>
            <w:pPr>
              <w:snapToGrid w:val="0"/>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8" w:type="pct"/>
            <w:vAlign w:val="center"/>
          </w:tcPr>
          <w:p>
            <w:pPr>
              <w:snapToGrid w:val="0"/>
              <w:spacing w:line="240" w:lineRule="atLeast"/>
              <w:jc w:val="center"/>
              <w:rPr>
                <w:szCs w:val="21"/>
              </w:rPr>
            </w:pPr>
            <w:bookmarkStart w:id="82" w:name="_Hlk1723277"/>
            <w:bookmarkEnd w:id="82"/>
            <w:r>
              <w:rPr>
                <w:rFonts w:hint="eastAsia"/>
                <w:szCs w:val="21"/>
              </w:rPr>
              <w:t>5</w:t>
            </w:r>
          </w:p>
        </w:tc>
        <w:tc>
          <w:tcPr>
            <w:tcW w:w="1109" w:type="pct"/>
            <w:vAlign w:val="center"/>
          </w:tcPr>
          <w:p>
            <w:pPr>
              <w:snapToGrid w:val="0"/>
              <w:spacing w:line="240" w:lineRule="atLeast"/>
              <w:jc w:val="center"/>
              <w:rPr>
                <w:bCs/>
                <w:spacing w:val="4"/>
                <w:szCs w:val="21"/>
              </w:rPr>
            </w:pPr>
            <w:r>
              <w:rPr>
                <w:rFonts w:hint="eastAsia"/>
                <w:bCs/>
                <w:spacing w:val="4"/>
                <w:szCs w:val="21"/>
              </w:rPr>
              <w:t>5#厂界西侧</w:t>
            </w:r>
          </w:p>
        </w:tc>
        <w:tc>
          <w:tcPr>
            <w:tcW w:w="1188" w:type="pct"/>
            <w:vMerge w:val="continue"/>
            <w:tcBorders>
              <w:right w:val="single" w:color="auto" w:sz="4" w:space="0"/>
            </w:tcBorders>
            <w:vAlign w:val="center"/>
          </w:tcPr>
          <w:p>
            <w:pPr>
              <w:snapToGrid w:val="0"/>
              <w:spacing w:line="240" w:lineRule="atLeast"/>
              <w:jc w:val="center"/>
              <w:rPr>
                <w:szCs w:val="21"/>
              </w:rPr>
            </w:pPr>
          </w:p>
        </w:tc>
        <w:tc>
          <w:tcPr>
            <w:tcW w:w="1268" w:type="pct"/>
            <w:vMerge w:val="continue"/>
            <w:tcBorders>
              <w:left w:val="single" w:color="auto" w:sz="4" w:space="0"/>
            </w:tcBorders>
            <w:vAlign w:val="center"/>
          </w:tcPr>
          <w:p>
            <w:pPr>
              <w:snapToGrid w:val="0"/>
              <w:spacing w:line="240" w:lineRule="atLeast"/>
              <w:jc w:val="center"/>
              <w:rPr>
                <w:szCs w:val="21"/>
              </w:rPr>
            </w:pPr>
          </w:p>
        </w:tc>
        <w:tc>
          <w:tcPr>
            <w:tcW w:w="1057" w:type="pct"/>
            <w:vMerge w:val="continue"/>
            <w:tcBorders>
              <w:left w:val="single" w:color="auto" w:sz="4" w:space="0"/>
            </w:tcBorders>
            <w:vAlign w:val="center"/>
          </w:tcPr>
          <w:p>
            <w:pPr>
              <w:snapToGrid w:val="0"/>
              <w:spacing w:line="240" w:lineRule="atLeast"/>
              <w:jc w:val="center"/>
              <w:rPr>
                <w:szCs w:val="21"/>
              </w:rPr>
            </w:pPr>
          </w:p>
        </w:tc>
      </w:tr>
    </w:tbl>
    <w:p>
      <w:pPr>
        <w:spacing w:line="480" w:lineRule="exact"/>
        <w:rPr>
          <w:rFonts w:ascii="黑体" w:hAnsi="黑体" w:eastAsia="黑体"/>
          <w:sz w:val="24"/>
          <w:szCs w:val="21"/>
        </w:rPr>
      </w:pPr>
      <w:r>
        <w:rPr>
          <w:rFonts w:ascii="宋体" w:hAnsi="宋体" w:cs="宋体"/>
          <w:kern w:val="0"/>
          <w:sz w:val="24"/>
          <w:szCs w:val="24"/>
        </w:rPr>
        <w:pict>
          <v:group id="Group 35" o:spid="_x0000_s1026" o:spt="203" style="position:absolute;left:0pt;margin-left:109.25pt;margin-top:4.8pt;height:190.5pt;width:231.35pt;z-index:251663360;mso-width-relative:page;mso-height-relative:page;" coordorigin="3773,3610" coordsize="4627,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">
            <o:lock v:ext="edit"/>
            <v:rect id="Rectangle 36" o:spid="_x0000_s1027" o:spt="1" style="position:absolute;left:4455;top:5020;height:1845;width:31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path/>
              <v:fill focussize="0,0"/>
              <v:stroke/>
              <v:imagedata o:title=""/>
              <o:lock v:ext="edit"/>
            </v:rect>
            <v:shape id="Text Box 37" o:spid="_x0000_s1028" o:spt="202" type="#_x0000_t202" style="position:absolute;left:5246;top:4510;height:495;width:7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v:path/>
              <v:fill on="f" focussize="0,0"/>
              <v:stroke on="f" joinstyle="miter"/>
              <v:imagedata o:title=""/>
              <o:lock v:ext="edit"/>
              <v:textbox>
                <w:txbxContent>
                  <w:p>
                    <w:pPr>
                      <w:jc w:val="center"/>
                    </w:pPr>
                    <w:r>
                      <w:t>1#</w:t>
                    </w:r>
                  </w:p>
                </w:txbxContent>
              </v:textbox>
            </v:shape>
            <v:shape id="Text Box 38" o:spid="_x0000_s1029" o:spt="202" type="#_x0000_t202" style="position:absolute;left:6795;top:3610;height:495;width:7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v:path/>
              <v:fill on="f" focussize="0,0"/>
              <v:stroke on="f" joinstyle="miter"/>
              <v:imagedata o:title=""/>
              <o:lock v:ext="edit"/>
              <v:textbox>
                <w:txbxContent>
                  <w:p>
                    <w:pPr>
                      <w:jc w:val="center"/>
                    </w:pPr>
                    <w:r>
                      <w:t>2#</w:t>
                    </w:r>
                  </w:p>
                </w:txbxContent>
              </v:textbox>
            </v:shape>
            <v:shape id="Text Box 39" o:spid="_x0000_s1030" o:spt="202" type="#_x0000_t202" style="position:absolute;left:5685;top:6925;height:495;width:7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v:path/>
              <v:fill on="f" focussize="0,0"/>
              <v:stroke on="f" joinstyle="miter"/>
              <v:imagedata o:title=""/>
              <o:lock v:ext="edit"/>
              <v:textbox>
                <w:txbxContent>
                  <w:p>
                    <w:pPr>
                      <w:jc w:val="center"/>
                    </w:pPr>
                    <w:r>
                      <w:t>4#</w:t>
                    </w:r>
                  </w:p>
                </w:txbxContent>
              </v:textbox>
            </v:shape>
            <v:shape id="Text Box 40" o:spid="_x0000_s1031" o:spt="202" type="#_x0000_t202" style="position:absolute;left:3773;top:5688;height:495;width:7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v:path/>
              <v:fill on="f" focussize="0,0"/>
              <v:stroke on="f" joinstyle="miter"/>
              <v:imagedata o:title=""/>
              <o:lock v:ext="edit"/>
              <v:textbox>
                <w:txbxContent>
                  <w:p>
                    <w:pPr>
                      <w:jc w:val="center"/>
                    </w:pPr>
                    <w:r>
                      <w:t>5#</w:t>
                    </w:r>
                  </w:p>
                </w:txbxContent>
              </v:textbox>
            </v:shape>
            <v:rect id="Rectangle 41" o:spid="_x0000_s1032" o:spt="1" style="position:absolute;left:6720;top:4105;height:915;width:88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path/>
              <v:fill focussize="0,0"/>
              <v:stroke/>
              <v:imagedata o:title=""/>
              <o:lock v:ext="edit"/>
            </v:rect>
            <v:rect id="Rectangle 42" o:spid="_x0000_s1033" o:spt="1" style="position:absolute;left:6728;top:4978;height:143;width:867;"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v:path/>
              <v:fill focussize="0,0"/>
              <v:stroke on="f"/>
              <v:imagedata o:title=""/>
              <o:lock v:ext="edit"/>
            </v:rect>
            <v:shape id="Text Box 43" o:spid="_x0000_s1034" o:spt="202" type="#_x0000_t202" style="position:absolute;left:7620;top:5290;height:495;width:7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v:path/>
              <v:fill on="f" focussize="0,0"/>
              <v:stroke on="f" joinstyle="miter"/>
              <v:imagedata o:title=""/>
              <o:lock v:ext="edit"/>
              <v:textbox>
                <w:txbxContent>
                  <w:p>
                    <w:pPr>
                      <w:jc w:val="center"/>
                    </w:pPr>
                    <w:r>
                      <w:t>3#</w:t>
                    </w:r>
                  </w:p>
                </w:txbxContent>
              </v:textbox>
            </v:shape>
          </v:group>
        </w:pict>
      </w:r>
    </w:p>
    <w:p>
      <w:pPr>
        <w:spacing w:line="480" w:lineRule="exact"/>
        <w:rPr>
          <w:rFonts w:ascii="黑体" w:hAnsi="黑体" w:eastAsia="黑体"/>
          <w:sz w:val="24"/>
          <w:szCs w:val="21"/>
        </w:rPr>
      </w:pPr>
    </w:p>
    <w:p>
      <w:pPr>
        <w:spacing w:line="480" w:lineRule="exact"/>
        <w:rPr>
          <w:rFonts w:ascii="黑体" w:hAnsi="黑体" w:eastAsia="黑体"/>
          <w:sz w:val="24"/>
          <w:szCs w:val="21"/>
        </w:rPr>
      </w:pPr>
    </w:p>
    <w:p>
      <w:pPr>
        <w:spacing w:line="480" w:lineRule="exact"/>
        <w:rPr>
          <w:rFonts w:ascii="黑体" w:hAnsi="黑体" w:eastAsia="黑体"/>
          <w:sz w:val="24"/>
          <w:szCs w:val="21"/>
        </w:rPr>
      </w:pPr>
    </w:p>
    <w:p>
      <w:pPr>
        <w:spacing w:line="480" w:lineRule="exact"/>
        <w:rPr>
          <w:rFonts w:ascii="黑体" w:hAnsi="黑体" w:eastAsia="黑体"/>
          <w:sz w:val="24"/>
          <w:szCs w:val="21"/>
        </w:rPr>
      </w:pPr>
    </w:p>
    <w:p>
      <w:pPr>
        <w:spacing w:line="480" w:lineRule="exact"/>
        <w:rPr>
          <w:rFonts w:ascii="黑体" w:hAnsi="黑体" w:eastAsia="黑体"/>
          <w:sz w:val="24"/>
          <w:szCs w:val="21"/>
        </w:rPr>
      </w:pPr>
    </w:p>
    <w:p>
      <w:pPr>
        <w:spacing w:line="480" w:lineRule="exact"/>
        <w:rPr>
          <w:rFonts w:ascii="黑体" w:hAnsi="黑体" w:eastAsia="黑体"/>
          <w:sz w:val="24"/>
          <w:szCs w:val="21"/>
        </w:rPr>
      </w:pPr>
    </w:p>
    <w:p>
      <w:pPr>
        <w:spacing w:line="480" w:lineRule="exact"/>
        <w:rPr>
          <w:rFonts w:ascii="黑体" w:hAnsi="黑体" w:eastAsia="黑体"/>
          <w:sz w:val="24"/>
          <w:szCs w:val="21"/>
        </w:rPr>
      </w:pPr>
    </w:p>
    <w:p>
      <w:pPr>
        <w:spacing w:line="480" w:lineRule="exact"/>
        <w:jc w:val="center"/>
        <w:rPr>
          <w:rFonts w:ascii="黑体" w:hAnsi="黑体" w:eastAsia="黑体"/>
          <w:sz w:val="24"/>
          <w:szCs w:val="21"/>
        </w:rPr>
      </w:pPr>
      <w:r>
        <w:rPr>
          <w:rFonts w:hint="eastAsia" w:ascii="黑体" w:hAnsi="黑体" w:eastAsia="黑体"/>
          <w:sz w:val="24"/>
          <w:szCs w:val="21"/>
        </w:rPr>
        <w:t>图4.3-2  声环境质量现状监测布点图</w:t>
      </w:r>
    </w:p>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w:t>
      </w:r>
      <w:r>
        <w:rPr>
          <w:rFonts w:hint="eastAsia"/>
          <w:b/>
        </w:rPr>
        <w:t>5</w:t>
      </w:r>
      <w:r>
        <w:rPr>
          <w:b/>
        </w:rPr>
        <w:t>.</w:t>
      </w:r>
      <w:r>
        <w:rPr>
          <w:rFonts w:hint="eastAsia"/>
          <w:b/>
        </w:rPr>
        <w:t>2</w:t>
      </w:r>
      <w:r>
        <w:rPr>
          <w:rFonts w:hint="eastAsia" w:ascii="宋体" w:hAnsi="宋体"/>
          <w:b/>
        </w:rPr>
        <w:t>评价标准</w:t>
      </w:r>
    </w:p>
    <w:p>
      <w:pPr>
        <w:spacing w:line="480" w:lineRule="exact"/>
        <w:ind w:firstLine="480" w:firstLineChars="200"/>
        <w:rPr>
          <w:bCs/>
          <w:sz w:val="24"/>
          <w:szCs w:val="24"/>
        </w:rPr>
      </w:pPr>
      <w:r>
        <w:rPr>
          <w:rFonts w:hint="eastAsia"/>
          <w:bCs/>
          <w:sz w:val="24"/>
          <w:szCs w:val="24"/>
        </w:rPr>
        <w:t>声环境质量现状评价标准值见表4.3-</w:t>
      </w:r>
      <w:r>
        <w:rPr>
          <w:bCs/>
          <w:sz w:val="24"/>
          <w:szCs w:val="24"/>
        </w:rPr>
        <w:t>1</w:t>
      </w:r>
      <w:r>
        <w:rPr>
          <w:rFonts w:hint="eastAsia"/>
          <w:bCs/>
          <w:sz w:val="24"/>
          <w:szCs w:val="24"/>
        </w:rPr>
        <w:t>7。</w:t>
      </w:r>
    </w:p>
    <w:p>
      <w:pPr>
        <w:pStyle w:val="6"/>
        <w:spacing w:line="480" w:lineRule="exact"/>
        <w:ind w:firstLine="0"/>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4.3-</w:t>
      </w:r>
      <w:r>
        <w:rPr>
          <w:rFonts w:ascii="黑体" w:hAnsi="黑体" w:eastAsia="黑体"/>
          <w:sz w:val="24"/>
          <w:szCs w:val="21"/>
        </w:rPr>
        <w:t>1</w:t>
      </w:r>
      <w:r>
        <w:rPr>
          <w:rFonts w:hint="eastAsia" w:ascii="黑体" w:hAnsi="黑体" w:eastAsia="黑体"/>
          <w:sz w:val="24"/>
          <w:szCs w:val="21"/>
        </w:rPr>
        <w:t>4</w:t>
      </w:r>
      <w:r>
        <w:rPr>
          <w:rFonts w:ascii="黑体" w:hAnsi="黑体" w:eastAsia="黑体"/>
          <w:sz w:val="24"/>
          <w:szCs w:val="21"/>
        </w:rPr>
        <w:t xml:space="preserve">  声环境质量标准(GB3096-2008)</w:t>
      </w:r>
      <w:r>
        <w:rPr>
          <w:rFonts w:hint="eastAsia" w:ascii="黑体" w:hAnsi="黑体" w:eastAsia="黑体"/>
          <w:sz w:val="24"/>
          <w:szCs w:val="21"/>
        </w:rPr>
        <w:t xml:space="preserve"> 单位：</w:t>
      </w:r>
      <w:r>
        <w:rPr>
          <w:rFonts w:ascii="黑体" w:hAnsi="黑体" w:eastAsia="黑体"/>
          <w:sz w:val="24"/>
          <w:szCs w:val="21"/>
        </w:rPr>
        <w:t>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1"/>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op w:val="single" w:color="auto" w:sz="4" w:space="0"/>
              <w:left w:val="single" w:color="auto" w:sz="4" w:space="0"/>
              <w:bottom w:val="single" w:color="auto" w:sz="4" w:space="0"/>
              <w:right w:val="single" w:color="auto" w:sz="4" w:space="0"/>
            </w:tcBorders>
            <w:vAlign w:val="center"/>
          </w:tcPr>
          <w:p>
            <w:pPr>
              <w:pStyle w:val="47"/>
            </w:pPr>
            <w:r>
              <w:t>类  别</w:t>
            </w:r>
          </w:p>
        </w:tc>
        <w:tc>
          <w:tcPr>
            <w:tcW w:w="1667" w:type="pct"/>
            <w:tcBorders>
              <w:top w:val="single" w:color="auto" w:sz="4" w:space="0"/>
              <w:left w:val="single" w:color="auto" w:sz="4" w:space="0"/>
              <w:bottom w:val="single" w:color="auto" w:sz="4" w:space="0"/>
              <w:right w:val="single" w:color="auto" w:sz="4" w:space="0"/>
            </w:tcBorders>
            <w:vAlign w:val="center"/>
          </w:tcPr>
          <w:p>
            <w:pPr>
              <w:pStyle w:val="47"/>
            </w:pPr>
            <w:r>
              <w:t>昼  间</w:t>
            </w:r>
          </w:p>
        </w:tc>
        <w:tc>
          <w:tcPr>
            <w:tcW w:w="1666" w:type="pct"/>
            <w:tcBorders>
              <w:top w:val="single" w:color="auto" w:sz="4" w:space="0"/>
              <w:left w:val="single" w:color="auto" w:sz="4" w:space="0"/>
              <w:bottom w:val="single" w:color="auto" w:sz="4" w:space="0"/>
              <w:right w:val="single" w:color="auto" w:sz="4" w:space="0"/>
            </w:tcBorders>
            <w:vAlign w:val="center"/>
          </w:tcPr>
          <w:p>
            <w:pPr>
              <w:pStyle w:val="47"/>
            </w:pPr>
            <w: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2</w:t>
            </w:r>
          </w:p>
        </w:tc>
        <w:tc>
          <w:tcPr>
            <w:tcW w:w="1667"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60</w:t>
            </w:r>
          </w:p>
        </w:tc>
        <w:tc>
          <w:tcPr>
            <w:tcW w:w="1666" w:type="pct"/>
            <w:tcBorders>
              <w:top w:val="single" w:color="auto" w:sz="4" w:space="0"/>
              <w:left w:val="single" w:color="auto" w:sz="4" w:space="0"/>
              <w:bottom w:val="single" w:color="auto" w:sz="4" w:space="0"/>
              <w:right w:val="single" w:color="auto" w:sz="4" w:space="0"/>
            </w:tcBorders>
            <w:vAlign w:val="center"/>
          </w:tcPr>
          <w:p>
            <w:pPr>
              <w:pStyle w:val="47"/>
            </w:pPr>
            <w:r>
              <w:rPr>
                <w:rFonts w:hint="eastAsia"/>
              </w:rPr>
              <w:t>50</w:t>
            </w:r>
          </w:p>
        </w:tc>
      </w:tr>
    </w:tbl>
    <w:p>
      <w:pPr>
        <w:pStyle w:val="57"/>
        <w:keepNext/>
        <w:keepLines/>
        <w:spacing w:before="0" w:after="0" w:line="480" w:lineRule="exact"/>
        <w:ind w:firstLine="0" w:firstLineChars="0"/>
        <w:outlineLvl w:val="3"/>
        <w:rPr>
          <w:b/>
        </w:rPr>
      </w:pPr>
      <w:r>
        <w:rPr>
          <w:rFonts w:hint="eastAsia"/>
          <w:b/>
        </w:rPr>
        <w:t>4</w:t>
      </w:r>
      <w:r>
        <w:rPr>
          <w:b/>
        </w:rPr>
        <w:t>.</w:t>
      </w:r>
      <w:r>
        <w:rPr>
          <w:rFonts w:hint="eastAsia"/>
          <w:b/>
        </w:rPr>
        <w:t>3</w:t>
      </w:r>
      <w:r>
        <w:rPr>
          <w:b/>
        </w:rPr>
        <w:t>.</w:t>
      </w:r>
      <w:r>
        <w:rPr>
          <w:rFonts w:hint="eastAsia"/>
          <w:b/>
        </w:rPr>
        <w:t>5</w:t>
      </w:r>
      <w:r>
        <w:rPr>
          <w:b/>
        </w:rPr>
        <w:t>.</w:t>
      </w:r>
      <w:r>
        <w:rPr>
          <w:rFonts w:hint="eastAsia"/>
          <w:b/>
        </w:rPr>
        <w:t>3</w:t>
      </w:r>
      <w:r>
        <w:rPr>
          <w:rFonts w:ascii="宋体" w:hAnsi="宋体"/>
          <w:b/>
        </w:rPr>
        <w:t>监测</w:t>
      </w:r>
      <w:r>
        <w:rPr>
          <w:rFonts w:hint="eastAsia" w:ascii="宋体" w:hAnsi="宋体"/>
          <w:b/>
        </w:rPr>
        <w:t>数据统计结果</w:t>
      </w:r>
    </w:p>
    <w:p>
      <w:pPr>
        <w:spacing w:line="480" w:lineRule="exact"/>
        <w:ind w:firstLine="480" w:firstLineChars="200"/>
        <w:rPr>
          <w:sz w:val="24"/>
          <w:szCs w:val="21"/>
        </w:rPr>
      </w:pPr>
      <w:r>
        <w:rPr>
          <w:rFonts w:hint="eastAsia" w:hAnsi="宋体"/>
          <w:sz w:val="24"/>
          <w:szCs w:val="21"/>
        </w:rPr>
        <w:t>声环境质量现状</w:t>
      </w:r>
      <w:r>
        <w:rPr>
          <w:rFonts w:hAnsi="宋体"/>
          <w:sz w:val="24"/>
          <w:szCs w:val="21"/>
        </w:rPr>
        <w:t>监测结果见表</w:t>
      </w:r>
      <w:r>
        <w:rPr>
          <w:rFonts w:hint="eastAsia"/>
          <w:sz w:val="24"/>
          <w:szCs w:val="21"/>
        </w:rPr>
        <w:t>4.3-</w:t>
      </w:r>
      <w:r>
        <w:rPr>
          <w:sz w:val="24"/>
          <w:szCs w:val="21"/>
        </w:rPr>
        <w:t>1</w:t>
      </w:r>
      <w:r>
        <w:rPr>
          <w:rFonts w:hint="eastAsia"/>
          <w:sz w:val="24"/>
          <w:szCs w:val="21"/>
        </w:rPr>
        <w:t>8</w:t>
      </w:r>
      <w:r>
        <w:rPr>
          <w:rFonts w:hAnsi="宋体"/>
          <w:sz w:val="24"/>
          <w:szCs w:val="21"/>
        </w:rPr>
        <w:t>。</w:t>
      </w:r>
    </w:p>
    <w:p>
      <w:pPr>
        <w:spacing w:line="480" w:lineRule="exact"/>
        <w:jc w:val="center"/>
        <w:rPr>
          <w:rFonts w:ascii="黑体" w:hAnsi="黑体" w:eastAsia="黑体"/>
          <w:sz w:val="24"/>
          <w:szCs w:val="21"/>
        </w:rPr>
      </w:pPr>
    </w:p>
    <w:p>
      <w:pPr>
        <w:spacing w:line="480" w:lineRule="exact"/>
        <w:jc w:val="center"/>
        <w:rPr>
          <w:rFonts w:ascii="黑体" w:hAnsi="黑体" w:eastAsia="黑体"/>
          <w:sz w:val="24"/>
          <w:szCs w:val="21"/>
        </w:rPr>
      </w:pPr>
    </w:p>
    <w:p>
      <w:pPr>
        <w:spacing w:line="480" w:lineRule="exact"/>
        <w:jc w:val="center"/>
        <w:rPr>
          <w:rFonts w:ascii="黑体" w:hAnsi="黑体" w:eastAsia="黑体"/>
          <w:sz w:val="24"/>
          <w:szCs w:val="21"/>
        </w:rPr>
      </w:pPr>
    </w:p>
    <w:p>
      <w:pPr>
        <w:spacing w:line="480" w:lineRule="exact"/>
        <w:jc w:val="center"/>
        <w:rPr>
          <w:rFonts w:ascii="黑体" w:hAnsi="黑体" w:eastAsia="黑体"/>
          <w:sz w:val="24"/>
          <w:szCs w:val="21"/>
        </w:rPr>
      </w:pPr>
      <w:r>
        <w:rPr>
          <w:rFonts w:hint="eastAsia" w:ascii="黑体" w:hAnsi="黑体" w:eastAsia="黑体"/>
          <w:sz w:val="24"/>
          <w:szCs w:val="21"/>
        </w:rPr>
        <w:t>表4.3-</w:t>
      </w:r>
      <w:r>
        <w:rPr>
          <w:rFonts w:ascii="黑体" w:hAnsi="黑体" w:eastAsia="黑体"/>
          <w:sz w:val="24"/>
          <w:szCs w:val="21"/>
        </w:rPr>
        <w:t>1</w:t>
      </w:r>
      <w:r>
        <w:rPr>
          <w:rFonts w:hint="eastAsia" w:ascii="黑体" w:hAnsi="黑体" w:eastAsia="黑体"/>
          <w:sz w:val="24"/>
          <w:szCs w:val="21"/>
        </w:rPr>
        <w:t>5  声环境质量现状</w:t>
      </w:r>
      <w:r>
        <w:rPr>
          <w:rFonts w:ascii="黑体" w:hAnsi="黑体" w:eastAsia="黑体"/>
          <w:sz w:val="24"/>
          <w:szCs w:val="21"/>
        </w:rPr>
        <w:t>监测结果</w:t>
      </w:r>
      <w:r>
        <w:rPr>
          <w:rFonts w:hint="eastAsia" w:ascii="黑体" w:hAnsi="黑体" w:eastAsia="黑体"/>
          <w:sz w:val="24"/>
          <w:szCs w:val="21"/>
        </w:rPr>
        <w:t xml:space="preserve">表  </w:t>
      </w:r>
      <w:r>
        <w:rPr>
          <w:rFonts w:ascii="黑体" w:hAnsi="黑体" w:eastAsia="黑体"/>
          <w:sz w:val="24"/>
          <w:szCs w:val="21"/>
        </w:rPr>
        <w:t>单位：dB（A）</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92"/>
        <w:gridCol w:w="1790"/>
        <w:gridCol w:w="839"/>
        <w:gridCol w:w="837"/>
        <w:gridCol w:w="700"/>
        <w:gridCol w:w="701"/>
        <w:gridCol w:w="702"/>
        <w:gridCol w:w="836"/>
        <w:gridCol w:w="701"/>
        <w:gridCol w:w="7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882" w:type="dxa"/>
            <w:gridSpan w:val="2"/>
            <w:vMerge w:val="restart"/>
            <w:vAlign w:val="center"/>
          </w:tcPr>
          <w:p>
            <w:pPr>
              <w:jc w:val="center"/>
              <w:rPr>
                <w:szCs w:val="21"/>
              </w:rPr>
            </w:pPr>
            <w:r>
              <w:rPr>
                <w:rFonts w:hint="eastAsia"/>
                <w:szCs w:val="21"/>
              </w:rPr>
              <w:t>测点编号</w:t>
            </w:r>
          </w:p>
        </w:tc>
        <w:tc>
          <w:tcPr>
            <w:tcW w:w="6064" w:type="dxa"/>
            <w:gridSpan w:val="8"/>
            <w:vAlign w:val="center"/>
          </w:tcPr>
          <w:p>
            <w:pPr>
              <w:jc w:val="center"/>
              <w:rPr>
                <w:szCs w:val="21"/>
              </w:rPr>
            </w:pPr>
            <w:r>
              <w:rPr>
                <w:rFonts w:hint="eastAsia"/>
                <w:szCs w:val="21"/>
              </w:rPr>
              <w:t>监测结果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882" w:type="dxa"/>
            <w:gridSpan w:val="2"/>
            <w:vMerge w:val="continue"/>
            <w:vAlign w:val="center"/>
          </w:tcPr>
          <w:p>
            <w:pPr>
              <w:jc w:val="center"/>
              <w:rPr>
                <w:szCs w:val="21"/>
              </w:rPr>
            </w:pPr>
          </w:p>
        </w:tc>
        <w:tc>
          <w:tcPr>
            <w:tcW w:w="3077" w:type="dxa"/>
            <w:gridSpan w:val="4"/>
            <w:vAlign w:val="center"/>
          </w:tcPr>
          <w:p>
            <w:pPr>
              <w:jc w:val="center"/>
              <w:rPr>
                <w:szCs w:val="21"/>
              </w:rPr>
            </w:pPr>
            <w:r>
              <w:rPr>
                <w:rFonts w:hint="eastAsia"/>
                <w:szCs w:val="21"/>
              </w:rPr>
              <w:t>昼</w:t>
            </w:r>
            <w:r>
              <w:rPr>
                <w:szCs w:val="21"/>
              </w:rPr>
              <w:t xml:space="preserve">  </w:t>
            </w:r>
            <w:r>
              <w:rPr>
                <w:rFonts w:hint="eastAsia"/>
                <w:szCs w:val="21"/>
              </w:rPr>
              <w:t>间</w:t>
            </w:r>
          </w:p>
        </w:tc>
        <w:tc>
          <w:tcPr>
            <w:tcW w:w="2987" w:type="dxa"/>
            <w:gridSpan w:val="4"/>
            <w:vAlign w:val="center"/>
          </w:tcPr>
          <w:p>
            <w:pPr>
              <w:jc w:val="center"/>
              <w:rPr>
                <w:szCs w:val="21"/>
              </w:rPr>
            </w:pPr>
            <w:r>
              <w:rPr>
                <w:rFonts w:hint="eastAsia"/>
                <w:szCs w:val="21"/>
              </w:rPr>
              <w:t>夜</w:t>
            </w:r>
            <w:r>
              <w:rPr>
                <w:szCs w:val="21"/>
              </w:rPr>
              <w:t xml:space="preserve">  </w:t>
            </w:r>
            <w:r>
              <w:rPr>
                <w:rFonts w:hint="eastAsia"/>
                <w:szCs w:val="21"/>
              </w:rPr>
              <w:t>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882" w:type="dxa"/>
            <w:gridSpan w:val="2"/>
            <w:vMerge w:val="continue"/>
            <w:vAlign w:val="center"/>
          </w:tcPr>
          <w:p>
            <w:pPr>
              <w:jc w:val="center"/>
              <w:rPr>
                <w:szCs w:val="21"/>
              </w:rPr>
            </w:pPr>
          </w:p>
        </w:tc>
        <w:tc>
          <w:tcPr>
            <w:tcW w:w="839" w:type="dxa"/>
            <w:vAlign w:val="center"/>
          </w:tcPr>
          <w:p>
            <w:pPr>
              <w:jc w:val="center"/>
              <w:rPr>
                <w:szCs w:val="21"/>
              </w:rPr>
            </w:pPr>
            <w:r>
              <w:rPr>
                <w:szCs w:val="21"/>
              </w:rPr>
              <w:t>Leq</w:t>
            </w:r>
          </w:p>
        </w:tc>
        <w:tc>
          <w:tcPr>
            <w:tcW w:w="837" w:type="dxa"/>
            <w:vAlign w:val="center"/>
          </w:tcPr>
          <w:p>
            <w:pPr>
              <w:jc w:val="center"/>
              <w:rPr>
                <w:szCs w:val="21"/>
              </w:rPr>
            </w:pPr>
            <w:r>
              <w:rPr>
                <w:szCs w:val="21"/>
              </w:rPr>
              <w:t>L</w:t>
            </w:r>
            <w:r>
              <w:rPr>
                <w:szCs w:val="21"/>
                <w:vertAlign w:val="subscript"/>
              </w:rPr>
              <w:t>10</w:t>
            </w:r>
          </w:p>
        </w:tc>
        <w:tc>
          <w:tcPr>
            <w:tcW w:w="700" w:type="dxa"/>
            <w:vAlign w:val="center"/>
          </w:tcPr>
          <w:p>
            <w:pPr>
              <w:jc w:val="center"/>
              <w:rPr>
                <w:szCs w:val="21"/>
              </w:rPr>
            </w:pPr>
            <w:r>
              <w:rPr>
                <w:szCs w:val="21"/>
              </w:rPr>
              <w:t>L</w:t>
            </w:r>
            <w:r>
              <w:rPr>
                <w:szCs w:val="21"/>
                <w:vertAlign w:val="subscript"/>
              </w:rPr>
              <w:t>50</w:t>
            </w:r>
          </w:p>
        </w:tc>
        <w:tc>
          <w:tcPr>
            <w:tcW w:w="701" w:type="dxa"/>
            <w:vAlign w:val="center"/>
          </w:tcPr>
          <w:p>
            <w:pPr>
              <w:jc w:val="center"/>
              <w:rPr>
                <w:szCs w:val="21"/>
              </w:rPr>
            </w:pPr>
            <w:r>
              <w:rPr>
                <w:szCs w:val="21"/>
              </w:rPr>
              <w:t>L</w:t>
            </w:r>
            <w:r>
              <w:rPr>
                <w:szCs w:val="21"/>
                <w:vertAlign w:val="subscript"/>
              </w:rPr>
              <w:t>90</w:t>
            </w:r>
          </w:p>
        </w:tc>
        <w:tc>
          <w:tcPr>
            <w:tcW w:w="702" w:type="dxa"/>
            <w:vAlign w:val="center"/>
          </w:tcPr>
          <w:p>
            <w:pPr>
              <w:jc w:val="center"/>
              <w:rPr>
                <w:szCs w:val="21"/>
              </w:rPr>
            </w:pPr>
            <w:r>
              <w:rPr>
                <w:szCs w:val="21"/>
              </w:rPr>
              <w:t>Leq</w:t>
            </w:r>
          </w:p>
        </w:tc>
        <w:tc>
          <w:tcPr>
            <w:tcW w:w="836" w:type="dxa"/>
            <w:vAlign w:val="center"/>
          </w:tcPr>
          <w:p>
            <w:pPr>
              <w:jc w:val="center"/>
              <w:rPr>
                <w:szCs w:val="21"/>
              </w:rPr>
            </w:pPr>
            <w:r>
              <w:rPr>
                <w:szCs w:val="21"/>
              </w:rPr>
              <w:t>L</w:t>
            </w:r>
            <w:r>
              <w:rPr>
                <w:szCs w:val="21"/>
                <w:vertAlign w:val="subscript"/>
              </w:rPr>
              <w:t>10</w:t>
            </w:r>
          </w:p>
        </w:tc>
        <w:tc>
          <w:tcPr>
            <w:tcW w:w="701" w:type="dxa"/>
            <w:vAlign w:val="center"/>
          </w:tcPr>
          <w:p>
            <w:pPr>
              <w:jc w:val="center"/>
              <w:rPr>
                <w:szCs w:val="21"/>
              </w:rPr>
            </w:pPr>
            <w:r>
              <w:rPr>
                <w:szCs w:val="21"/>
              </w:rPr>
              <w:t>L</w:t>
            </w:r>
            <w:r>
              <w:rPr>
                <w:szCs w:val="21"/>
                <w:vertAlign w:val="subscript"/>
              </w:rPr>
              <w:t>50</w:t>
            </w:r>
          </w:p>
        </w:tc>
        <w:tc>
          <w:tcPr>
            <w:tcW w:w="748" w:type="dxa"/>
            <w:vAlign w:val="center"/>
          </w:tcPr>
          <w:p>
            <w:pPr>
              <w:jc w:val="center"/>
              <w:rPr>
                <w:szCs w:val="21"/>
              </w:rPr>
            </w:pPr>
            <w:r>
              <w:rPr>
                <w:szCs w:val="21"/>
              </w:rPr>
              <w:t>L</w:t>
            </w:r>
            <w:r>
              <w:rPr>
                <w:szCs w:val="21"/>
                <w:vertAlign w:val="subscript"/>
              </w:rPr>
              <w:t>90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restart"/>
            <w:tcBorders>
              <w:right w:val="single" w:color="auto" w:sz="4" w:space="0"/>
            </w:tcBorders>
            <w:vAlign w:val="center"/>
          </w:tcPr>
          <w:p>
            <w:pPr>
              <w:jc w:val="center"/>
              <w:rPr>
                <w:szCs w:val="21"/>
              </w:rPr>
            </w:pPr>
            <w:r>
              <w:rPr>
                <w:rFonts w:hint="eastAsia"/>
                <w:szCs w:val="21"/>
              </w:rPr>
              <w:t>2019.6.22</w:t>
            </w:r>
          </w:p>
        </w:tc>
        <w:tc>
          <w:tcPr>
            <w:tcW w:w="1790" w:type="dxa"/>
            <w:tcBorders>
              <w:left w:val="single" w:color="auto" w:sz="4" w:space="0"/>
            </w:tcBorders>
            <w:vAlign w:val="center"/>
          </w:tcPr>
          <w:p>
            <w:pPr>
              <w:jc w:val="center"/>
              <w:rPr>
                <w:szCs w:val="21"/>
              </w:rPr>
            </w:pPr>
            <w:r>
              <w:rPr>
                <w:rFonts w:hint="eastAsia"/>
                <w:bCs/>
                <w:spacing w:val="4"/>
                <w:szCs w:val="21"/>
              </w:rPr>
              <w:t>1#厂界西北侧</w:t>
            </w:r>
          </w:p>
        </w:tc>
        <w:tc>
          <w:tcPr>
            <w:tcW w:w="839" w:type="dxa"/>
            <w:vAlign w:val="center"/>
          </w:tcPr>
          <w:p>
            <w:pPr>
              <w:jc w:val="center"/>
              <w:rPr>
                <w:szCs w:val="21"/>
              </w:rPr>
            </w:pPr>
            <w:r>
              <w:rPr>
                <w:rFonts w:hint="eastAsia"/>
                <w:szCs w:val="21"/>
              </w:rPr>
              <w:t>52</w:t>
            </w:r>
          </w:p>
        </w:tc>
        <w:tc>
          <w:tcPr>
            <w:tcW w:w="837" w:type="dxa"/>
            <w:vAlign w:val="center"/>
          </w:tcPr>
          <w:p>
            <w:pPr>
              <w:jc w:val="center"/>
              <w:rPr>
                <w:szCs w:val="21"/>
              </w:rPr>
            </w:pPr>
            <w:r>
              <w:rPr>
                <w:rFonts w:hint="eastAsia"/>
                <w:szCs w:val="21"/>
              </w:rPr>
              <w:t>53.2</w:t>
            </w:r>
          </w:p>
        </w:tc>
        <w:tc>
          <w:tcPr>
            <w:tcW w:w="700" w:type="dxa"/>
            <w:vAlign w:val="center"/>
          </w:tcPr>
          <w:p>
            <w:pPr>
              <w:jc w:val="center"/>
              <w:rPr>
                <w:szCs w:val="21"/>
              </w:rPr>
            </w:pPr>
            <w:r>
              <w:rPr>
                <w:rFonts w:hint="eastAsia"/>
                <w:szCs w:val="21"/>
              </w:rPr>
              <w:t>51.4</w:t>
            </w:r>
          </w:p>
        </w:tc>
        <w:tc>
          <w:tcPr>
            <w:tcW w:w="701" w:type="dxa"/>
            <w:vAlign w:val="center"/>
          </w:tcPr>
          <w:p>
            <w:pPr>
              <w:jc w:val="center"/>
              <w:rPr>
                <w:szCs w:val="21"/>
              </w:rPr>
            </w:pPr>
            <w:r>
              <w:rPr>
                <w:rFonts w:hint="eastAsia"/>
                <w:szCs w:val="21"/>
              </w:rPr>
              <w:t>51.0</w:t>
            </w:r>
          </w:p>
        </w:tc>
        <w:tc>
          <w:tcPr>
            <w:tcW w:w="702" w:type="dxa"/>
            <w:vAlign w:val="center"/>
          </w:tcPr>
          <w:p>
            <w:pPr>
              <w:jc w:val="center"/>
              <w:rPr>
                <w:szCs w:val="21"/>
              </w:rPr>
            </w:pPr>
            <w:r>
              <w:rPr>
                <w:rFonts w:hint="eastAsia"/>
                <w:szCs w:val="21"/>
              </w:rPr>
              <w:t>46</w:t>
            </w:r>
          </w:p>
        </w:tc>
        <w:tc>
          <w:tcPr>
            <w:tcW w:w="836" w:type="dxa"/>
            <w:vAlign w:val="center"/>
          </w:tcPr>
          <w:p>
            <w:pPr>
              <w:jc w:val="center"/>
              <w:rPr>
                <w:szCs w:val="21"/>
              </w:rPr>
            </w:pPr>
            <w:r>
              <w:rPr>
                <w:rFonts w:hint="eastAsia"/>
                <w:szCs w:val="21"/>
              </w:rPr>
              <w:t>47.8</w:t>
            </w:r>
          </w:p>
        </w:tc>
        <w:tc>
          <w:tcPr>
            <w:tcW w:w="701" w:type="dxa"/>
            <w:vAlign w:val="center"/>
          </w:tcPr>
          <w:p>
            <w:pPr>
              <w:jc w:val="center"/>
              <w:rPr>
                <w:szCs w:val="21"/>
              </w:rPr>
            </w:pPr>
            <w:r>
              <w:rPr>
                <w:rFonts w:hint="eastAsia"/>
                <w:szCs w:val="21"/>
              </w:rPr>
              <w:t>44.8</w:t>
            </w:r>
          </w:p>
        </w:tc>
        <w:tc>
          <w:tcPr>
            <w:tcW w:w="748" w:type="dxa"/>
            <w:vAlign w:val="center"/>
          </w:tcPr>
          <w:p>
            <w:pPr>
              <w:jc w:val="center"/>
              <w:rPr>
                <w:szCs w:val="21"/>
              </w:rPr>
            </w:pPr>
            <w:r>
              <w:rPr>
                <w:rFonts w:hint="eastAsia"/>
                <w:szCs w:val="21"/>
              </w:rPr>
              <w:t>43.8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continue"/>
            <w:tcBorders>
              <w:right w:val="single" w:color="auto" w:sz="4" w:space="0"/>
            </w:tcBorders>
            <w:vAlign w:val="center"/>
          </w:tcPr>
          <w:p>
            <w:pPr>
              <w:jc w:val="center"/>
              <w:rPr>
                <w:szCs w:val="21"/>
              </w:rPr>
            </w:pPr>
          </w:p>
        </w:tc>
        <w:tc>
          <w:tcPr>
            <w:tcW w:w="1790" w:type="dxa"/>
            <w:tcBorders>
              <w:left w:val="single" w:color="auto" w:sz="4" w:space="0"/>
            </w:tcBorders>
            <w:vAlign w:val="center"/>
          </w:tcPr>
          <w:p>
            <w:pPr>
              <w:jc w:val="center"/>
              <w:rPr>
                <w:szCs w:val="21"/>
              </w:rPr>
            </w:pPr>
            <w:r>
              <w:rPr>
                <w:rFonts w:hint="eastAsia"/>
                <w:bCs/>
                <w:spacing w:val="4"/>
                <w:szCs w:val="21"/>
              </w:rPr>
              <w:t>2#厂界东北侧</w:t>
            </w:r>
          </w:p>
        </w:tc>
        <w:tc>
          <w:tcPr>
            <w:tcW w:w="839" w:type="dxa"/>
            <w:vAlign w:val="center"/>
          </w:tcPr>
          <w:p>
            <w:pPr>
              <w:jc w:val="center"/>
              <w:rPr>
                <w:szCs w:val="21"/>
              </w:rPr>
            </w:pPr>
            <w:r>
              <w:rPr>
                <w:rFonts w:hint="eastAsia"/>
                <w:szCs w:val="21"/>
              </w:rPr>
              <w:t>52</w:t>
            </w:r>
          </w:p>
        </w:tc>
        <w:tc>
          <w:tcPr>
            <w:tcW w:w="837" w:type="dxa"/>
            <w:vAlign w:val="center"/>
          </w:tcPr>
          <w:p>
            <w:pPr>
              <w:jc w:val="center"/>
              <w:rPr>
                <w:szCs w:val="21"/>
              </w:rPr>
            </w:pPr>
            <w:r>
              <w:rPr>
                <w:rFonts w:hint="eastAsia"/>
                <w:szCs w:val="21"/>
              </w:rPr>
              <w:t>53.4</w:t>
            </w:r>
          </w:p>
        </w:tc>
        <w:tc>
          <w:tcPr>
            <w:tcW w:w="700" w:type="dxa"/>
            <w:vAlign w:val="center"/>
          </w:tcPr>
          <w:p>
            <w:pPr>
              <w:jc w:val="center"/>
              <w:rPr>
                <w:szCs w:val="21"/>
              </w:rPr>
            </w:pPr>
            <w:r>
              <w:rPr>
                <w:rFonts w:hint="eastAsia"/>
                <w:szCs w:val="21"/>
              </w:rPr>
              <w:t>51.6</w:t>
            </w:r>
          </w:p>
        </w:tc>
        <w:tc>
          <w:tcPr>
            <w:tcW w:w="701" w:type="dxa"/>
            <w:vAlign w:val="center"/>
          </w:tcPr>
          <w:p>
            <w:pPr>
              <w:jc w:val="center"/>
              <w:rPr>
                <w:szCs w:val="21"/>
              </w:rPr>
            </w:pPr>
            <w:r>
              <w:rPr>
                <w:rFonts w:hint="eastAsia"/>
                <w:szCs w:val="21"/>
              </w:rPr>
              <w:t>50.6</w:t>
            </w:r>
          </w:p>
        </w:tc>
        <w:tc>
          <w:tcPr>
            <w:tcW w:w="702" w:type="dxa"/>
            <w:vAlign w:val="center"/>
          </w:tcPr>
          <w:p>
            <w:pPr>
              <w:jc w:val="center"/>
              <w:rPr>
                <w:szCs w:val="21"/>
              </w:rPr>
            </w:pPr>
            <w:r>
              <w:rPr>
                <w:rFonts w:hint="eastAsia"/>
                <w:szCs w:val="21"/>
              </w:rPr>
              <w:t>45</w:t>
            </w:r>
          </w:p>
        </w:tc>
        <w:tc>
          <w:tcPr>
            <w:tcW w:w="836" w:type="dxa"/>
            <w:vAlign w:val="center"/>
          </w:tcPr>
          <w:p>
            <w:pPr>
              <w:jc w:val="center"/>
              <w:rPr>
                <w:szCs w:val="21"/>
              </w:rPr>
            </w:pPr>
            <w:r>
              <w:rPr>
                <w:rFonts w:hint="eastAsia"/>
                <w:szCs w:val="21"/>
              </w:rPr>
              <w:t>46.8</w:t>
            </w:r>
          </w:p>
        </w:tc>
        <w:tc>
          <w:tcPr>
            <w:tcW w:w="701" w:type="dxa"/>
            <w:vAlign w:val="center"/>
          </w:tcPr>
          <w:p>
            <w:pPr>
              <w:jc w:val="center"/>
              <w:rPr>
                <w:szCs w:val="21"/>
              </w:rPr>
            </w:pPr>
            <w:r>
              <w:rPr>
                <w:rFonts w:hint="eastAsia"/>
                <w:szCs w:val="21"/>
              </w:rPr>
              <w:t>44.0</w:t>
            </w:r>
          </w:p>
        </w:tc>
        <w:tc>
          <w:tcPr>
            <w:tcW w:w="748" w:type="dxa"/>
            <w:vAlign w:val="center"/>
          </w:tcPr>
          <w:p>
            <w:pPr>
              <w:jc w:val="center"/>
              <w:rPr>
                <w:szCs w:val="21"/>
              </w:rPr>
            </w:pPr>
            <w:r>
              <w:rPr>
                <w:rFonts w:hint="eastAsia"/>
                <w:szCs w:val="21"/>
              </w:rPr>
              <w:t>42.4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continue"/>
            <w:tcBorders>
              <w:right w:val="single" w:color="auto" w:sz="4" w:space="0"/>
            </w:tcBorders>
            <w:vAlign w:val="center"/>
          </w:tcPr>
          <w:p>
            <w:pPr>
              <w:jc w:val="center"/>
              <w:rPr>
                <w:bCs/>
                <w:spacing w:val="4"/>
                <w:szCs w:val="21"/>
              </w:rPr>
            </w:pPr>
          </w:p>
        </w:tc>
        <w:tc>
          <w:tcPr>
            <w:tcW w:w="1790" w:type="dxa"/>
            <w:tcBorders>
              <w:left w:val="single" w:color="auto" w:sz="4" w:space="0"/>
            </w:tcBorders>
            <w:vAlign w:val="center"/>
          </w:tcPr>
          <w:p>
            <w:pPr>
              <w:jc w:val="center"/>
              <w:rPr>
                <w:bCs/>
                <w:spacing w:val="4"/>
                <w:szCs w:val="21"/>
              </w:rPr>
            </w:pPr>
            <w:r>
              <w:rPr>
                <w:rFonts w:hint="eastAsia"/>
                <w:bCs/>
                <w:spacing w:val="4"/>
                <w:szCs w:val="21"/>
              </w:rPr>
              <w:t>3#厂界东侧</w:t>
            </w:r>
          </w:p>
        </w:tc>
        <w:tc>
          <w:tcPr>
            <w:tcW w:w="839" w:type="dxa"/>
            <w:vAlign w:val="center"/>
          </w:tcPr>
          <w:p>
            <w:pPr>
              <w:jc w:val="center"/>
              <w:rPr>
                <w:szCs w:val="21"/>
              </w:rPr>
            </w:pPr>
            <w:r>
              <w:rPr>
                <w:rFonts w:hint="eastAsia"/>
                <w:szCs w:val="21"/>
              </w:rPr>
              <w:t>52</w:t>
            </w:r>
          </w:p>
        </w:tc>
        <w:tc>
          <w:tcPr>
            <w:tcW w:w="837" w:type="dxa"/>
            <w:vAlign w:val="center"/>
          </w:tcPr>
          <w:p>
            <w:pPr>
              <w:jc w:val="center"/>
              <w:rPr>
                <w:szCs w:val="21"/>
              </w:rPr>
            </w:pPr>
            <w:r>
              <w:rPr>
                <w:rFonts w:hint="eastAsia"/>
                <w:szCs w:val="21"/>
              </w:rPr>
              <w:t>53.2</w:t>
            </w:r>
          </w:p>
        </w:tc>
        <w:tc>
          <w:tcPr>
            <w:tcW w:w="700" w:type="dxa"/>
            <w:vAlign w:val="center"/>
          </w:tcPr>
          <w:p>
            <w:pPr>
              <w:jc w:val="center"/>
              <w:rPr>
                <w:szCs w:val="21"/>
              </w:rPr>
            </w:pPr>
            <w:r>
              <w:rPr>
                <w:rFonts w:hint="eastAsia"/>
                <w:szCs w:val="21"/>
              </w:rPr>
              <w:t>51.4</w:t>
            </w:r>
          </w:p>
        </w:tc>
        <w:tc>
          <w:tcPr>
            <w:tcW w:w="701" w:type="dxa"/>
            <w:vAlign w:val="center"/>
          </w:tcPr>
          <w:p>
            <w:pPr>
              <w:jc w:val="center"/>
              <w:rPr>
                <w:szCs w:val="21"/>
              </w:rPr>
            </w:pPr>
            <w:r>
              <w:rPr>
                <w:rFonts w:hint="eastAsia"/>
                <w:szCs w:val="21"/>
              </w:rPr>
              <w:t>49.8</w:t>
            </w:r>
          </w:p>
        </w:tc>
        <w:tc>
          <w:tcPr>
            <w:tcW w:w="702" w:type="dxa"/>
            <w:vAlign w:val="center"/>
          </w:tcPr>
          <w:p>
            <w:pPr>
              <w:jc w:val="center"/>
              <w:rPr>
                <w:szCs w:val="21"/>
              </w:rPr>
            </w:pPr>
            <w:r>
              <w:rPr>
                <w:rFonts w:hint="eastAsia"/>
                <w:szCs w:val="21"/>
              </w:rPr>
              <w:t>46</w:t>
            </w:r>
          </w:p>
        </w:tc>
        <w:tc>
          <w:tcPr>
            <w:tcW w:w="836" w:type="dxa"/>
            <w:vAlign w:val="center"/>
          </w:tcPr>
          <w:p>
            <w:pPr>
              <w:jc w:val="center"/>
              <w:rPr>
                <w:szCs w:val="21"/>
              </w:rPr>
            </w:pPr>
            <w:r>
              <w:rPr>
                <w:rFonts w:hint="eastAsia"/>
                <w:szCs w:val="21"/>
              </w:rPr>
              <w:t>47.2</w:t>
            </w:r>
          </w:p>
        </w:tc>
        <w:tc>
          <w:tcPr>
            <w:tcW w:w="701" w:type="dxa"/>
            <w:vAlign w:val="center"/>
          </w:tcPr>
          <w:p>
            <w:pPr>
              <w:jc w:val="center"/>
              <w:rPr>
                <w:szCs w:val="21"/>
              </w:rPr>
            </w:pPr>
            <w:r>
              <w:rPr>
                <w:rFonts w:hint="eastAsia"/>
                <w:szCs w:val="21"/>
              </w:rPr>
              <w:t>45.2</w:t>
            </w:r>
          </w:p>
        </w:tc>
        <w:tc>
          <w:tcPr>
            <w:tcW w:w="748" w:type="dxa"/>
            <w:vAlign w:val="center"/>
          </w:tcPr>
          <w:p>
            <w:pPr>
              <w:jc w:val="center"/>
              <w:rPr>
                <w:szCs w:val="21"/>
              </w:rPr>
            </w:pPr>
            <w:r>
              <w:rPr>
                <w:rFonts w:hint="eastAsia"/>
                <w:szCs w:val="21"/>
              </w:rPr>
              <w:t>42.2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continue"/>
            <w:tcBorders>
              <w:right w:val="single" w:color="auto" w:sz="4" w:space="0"/>
            </w:tcBorders>
            <w:vAlign w:val="center"/>
          </w:tcPr>
          <w:p>
            <w:pPr>
              <w:jc w:val="center"/>
              <w:rPr>
                <w:bCs/>
                <w:spacing w:val="4"/>
                <w:szCs w:val="21"/>
              </w:rPr>
            </w:pPr>
          </w:p>
        </w:tc>
        <w:tc>
          <w:tcPr>
            <w:tcW w:w="1790" w:type="dxa"/>
            <w:tcBorders>
              <w:left w:val="single" w:color="auto" w:sz="4" w:space="0"/>
            </w:tcBorders>
            <w:vAlign w:val="center"/>
          </w:tcPr>
          <w:p>
            <w:pPr>
              <w:jc w:val="center"/>
              <w:rPr>
                <w:bCs/>
                <w:spacing w:val="4"/>
                <w:szCs w:val="21"/>
              </w:rPr>
            </w:pPr>
            <w:r>
              <w:rPr>
                <w:rFonts w:hint="eastAsia"/>
                <w:bCs/>
                <w:spacing w:val="4"/>
                <w:szCs w:val="21"/>
              </w:rPr>
              <w:t>4#厂界南侧</w:t>
            </w:r>
          </w:p>
        </w:tc>
        <w:tc>
          <w:tcPr>
            <w:tcW w:w="839" w:type="dxa"/>
            <w:vAlign w:val="center"/>
          </w:tcPr>
          <w:p>
            <w:pPr>
              <w:jc w:val="center"/>
              <w:rPr>
                <w:szCs w:val="21"/>
              </w:rPr>
            </w:pPr>
            <w:r>
              <w:rPr>
                <w:rFonts w:hint="eastAsia"/>
                <w:szCs w:val="21"/>
              </w:rPr>
              <w:t>52</w:t>
            </w:r>
          </w:p>
        </w:tc>
        <w:tc>
          <w:tcPr>
            <w:tcW w:w="837" w:type="dxa"/>
            <w:vAlign w:val="center"/>
          </w:tcPr>
          <w:p>
            <w:pPr>
              <w:jc w:val="center"/>
              <w:rPr>
                <w:szCs w:val="21"/>
              </w:rPr>
            </w:pPr>
            <w:r>
              <w:rPr>
                <w:rFonts w:hint="eastAsia"/>
                <w:szCs w:val="21"/>
              </w:rPr>
              <w:t>55.2</w:t>
            </w:r>
          </w:p>
        </w:tc>
        <w:tc>
          <w:tcPr>
            <w:tcW w:w="700" w:type="dxa"/>
            <w:vAlign w:val="center"/>
          </w:tcPr>
          <w:p>
            <w:pPr>
              <w:jc w:val="center"/>
              <w:rPr>
                <w:szCs w:val="21"/>
              </w:rPr>
            </w:pPr>
            <w:r>
              <w:rPr>
                <w:rFonts w:hint="eastAsia"/>
                <w:szCs w:val="21"/>
              </w:rPr>
              <w:t>51.4</w:t>
            </w:r>
          </w:p>
        </w:tc>
        <w:tc>
          <w:tcPr>
            <w:tcW w:w="701" w:type="dxa"/>
            <w:vAlign w:val="center"/>
          </w:tcPr>
          <w:p>
            <w:pPr>
              <w:jc w:val="center"/>
              <w:rPr>
                <w:szCs w:val="21"/>
              </w:rPr>
            </w:pPr>
            <w:r>
              <w:rPr>
                <w:rFonts w:hint="eastAsia"/>
                <w:szCs w:val="21"/>
              </w:rPr>
              <w:t>49.4</w:t>
            </w:r>
          </w:p>
        </w:tc>
        <w:tc>
          <w:tcPr>
            <w:tcW w:w="702" w:type="dxa"/>
            <w:vAlign w:val="center"/>
          </w:tcPr>
          <w:p>
            <w:pPr>
              <w:jc w:val="center"/>
              <w:rPr>
                <w:szCs w:val="21"/>
              </w:rPr>
            </w:pPr>
            <w:r>
              <w:rPr>
                <w:rFonts w:hint="eastAsia"/>
                <w:szCs w:val="21"/>
              </w:rPr>
              <w:t>45</w:t>
            </w:r>
          </w:p>
        </w:tc>
        <w:tc>
          <w:tcPr>
            <w:tcW w:w="836" w:type="dxa"/>
            <w:vAlign w:val="center"/>
          </w:tcPr>
          <w:p>
            <w:pPr>
              <w:jc w:val="center"/>
              <w:rPr>
                <w:szCs w:val="21"/>
              </w:rPr>
            </w:pPr>
            <w:r>
              <w:rPr>
                <w:rFonts w:hint="eastAsia"/>
                <w:szCs w:val="21"/>
              </w:rPr>
              <w:t>47.0</w:t>
            </w:r>
          </w:p>
        </w:tc>
        <w:tc>
          <w:tcPr>
            <w:tcW w:w="701" w:type="dxa"/>
            <w:vAlign w:val="center"/>
          </w:tcPr>
          <w:p>
            <w:pPr>
              <w:jc w:val="center"/>
              <w:rPr>
                <w:szCs w:val="21"/>
              </w:rPr>
            </w:pPr>
            <w:r>
              <w:rPr>
                <w:rFonts w:hint="eastAsia"/>
                <w:szCs w:val="21"/>
              </w:rPr>
              <w:t>44.4</w:t>
            </w:r>
          </w:p>
        </w:tc>
        <w:tc>
          <w:tcPr>
            <w:tcW w:w="748" w:type="dxa"/>
            <w:vAlign w:val="center"/>
          </w:tcPr>
          <w:p>
            <w:pPr>
              <w:jc w:val="center"/>
              <w:rPr>
                <w:szCs w:val="21"/>
              </w:rPr>
            </w:pPr>
            <w:r>
              <w:rPr>
                <w:rFonts w:hint="eastAsia"/>
                <w:szCs w:val="21"/>
              </w:rPr>
              <w:t>43.4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continue"/>
            <w:tcBorders>
              <w:right w:val="single" w:color="auto" w:sz="4" w:space="0"/>
            </w:tcBorders>
            <w:vAlign w:val="center"/>
          </w:tcPr>
          <w:p>
            <w:pPr>
              <w:jc w:val="center"/>
              <w:rPr>
                <w:bCs/>
                <w:spacing w:val="4"/>
                <w:szCs w:val="21"/>
              </w:rPr>
            </w:pPr>
          </w:p>
        </w:tc>
        <w:tc>
          <w:tcPr>
            <w:tcW w:w="1790" w:type="dxa"/>
            <w:tcBorders>
              <w:left w:val="single" w:color="auto" w:sz="4" w:space="0"/>
            </w:tcBorders>
            <w:vAlign w:val="center"/>
          </w:tcPr>
          <w:p>
            <w:pPr>
              <w:jc w:val="center"/>
              <w:rPr>
                <w:bCs/>
                <w:spacing w:val="4"/>
                <w:szCs w:val="21"/>
              </w:rPr>
            </w:pPr>
            <w:r>
              <w:rPr>
                <w:rFonts w:hint="eastAsia"/>
                <w:bCs/>
                <w:spacing w:val="4"/>
                <w:szCs w:val="21"/>
              </w:rPr>
              <w:t>5#厂界西侧</w:t>
            </w:r>
          </w:p>
        </w:tc>
        <w:tc>
          <w:tcPr>
            <w:tcW w:w="839" w:type="dxa"/>
            <w:vAlign w:val="center"/>
          </w:tcPr>
          <w:p>
            <w:pPr>
              <w:jc w:val="center"/>
              <w:rPr>
                <w:szCs w:val="21"/>
              </w:rPr>
            </w:pPr>
            <w:r>
              <w:rPr>
                <w:rFonts w:hint="eastAsia"/>
                <w:szCs w:val="21"/>
              </w:rPr>
              <w:t>52</w:t>
            </w:r>
          </w:p>
        </w:tc>
        <w:tc>
          <w:tcPr>
            <w:tcW w:w="837" w:type="dxa"/>
            <w:vAlign w:val="center"/>
          </w:tcPr>
          <w:p>
            <w:pPr>
              <w:jc w:val="center"/>
              <w:rPr>
                <w:bCs/>
                <w:szCs w:val="21"/>
              </w:rPr>
            </w:pPr>
            <w:r>
              <w:rPr>
                <w:rFonts w:hint="eastAsia"/>
                <w:bCs/>
                <w:szCs w:val="21"/>
              </w:rPr>
              <w:t>54.0</w:t>
            </w:r>
          </w:p>
        </w:tc>
        <w:tc>
          <w:tcPr>
            <w:tcW w:w="700" w:type="dxa"/>
            <w:vAlign w:val="center"/>
          </w:tcPr>
          <w:p>
            <w:pPr>
              <w:jc w:val="center"/>
              <w:rPr>
                <w:bCs/>
                <w:szCs w:val="21"/>
              </w:rPr>
            </w:pPr>
            <w:r>
              <w:rPr>
                <w:rFonts w:hint="eastAsia"/>
                <w:bCs/>
                <w:szCs w:val="21"/>
              </w:rPr>
              <w:t>51.6</w:t>
            </w:r>
          </w:p>
        </w:tc>
        <w:tc>
          <w:tcPr>
            <w:tcW w:w="701" w:type="dxa"/>
            <w:vAlign w:val="center"/>
          </w:tcPr>
          <w:p>
            <w:pPr>
              <w:jc w:val="center"/>
              <w:rPr>
                <w:bCs/>
                <w:szCs w:val="21"/>
              </w:rPr>
            </w:pPr>
            <w:r>
              <w:rPr>
                <w:rFonts w:hint="eastAsia"/>
                <w:bCs/>
                <w:szCs w:val="21"/>
              </w:rPr>
              <w:t>49.8</w:t>
            </w:r>
          </w:p>
        </w:tc>
        <w:tc>
          <w:tcPr>
            <w:tcW w:w="702" w:type="dxa"/>
            <w:vAlign w:val="center"/>
          </w:tcPr>
          <w:p>
            <w:pPr>
              <w:jc w:val="center"/>
              <w:rPr>
                <w:bCs/>
                <w:szCs w:val="21"/>
              </w:rPr>
            </w:pPr>
            <w:r>
              <w:rPr>
                <w:rFonts w:hint="eastAsia"/>
                <w:bCs/>
                <w:szCs w:val="21"/>
              </w:rPr>
              <w:t>46</w:t>
            </w:r>
          </w:p>
        </w:tc>
        <w:tc>
          <w:tcPr>
            <w:tcW w:w="836" w:type="dxa"/>
            <w:vAlign w:val="center"/>
          </w:tcPr>
          <w:p>
            <w:pPr>
              <w:jc w:val="center"/>
              <w:rPr>
                <w:bCs/>
                <w:szCs w:val="21"/>
              </w:rPr>
            </w:pPr>
            <w:r>
              <w:rPr>
                <w:rFonts w:hint="eastAsia"/>
                <w:bCs/>
                <w:szCs w:val="21"/>
              </w:rPr>
              <w:t>47.4</w:t>
            </w:r>
          </w:p>
        </w:tc>
        <w:tc>
          <w:tcPr>
            <w:tcW w:w="701" w:type="dxa"/>
            <w:vAlign w:val="center"/>
          </w:tcPr>
          <w:p>
            <w:pPr>
              <w:jc w:val="center"/>
              <w:rPr>
                <w:bCs/>
                <w:szCs w:val="21"/>
              </w:rPr>
            </w:pPr>
            <w:r>
              <w:rPr>
                <w:rFonts w:hint="eastAsia"/>
                <w:bCs/>
                <w:szCs w:val="21"/>
              </w:rPr>
              <w:t>44.8</w:t>
            </w:r>
          </w:p>
        </w:tc>
        <w:tc>
          <w:tcPr>
            <w:tcW w:w="748" w:type="dxa"/>
            <w:vAlign w:val="center"/>
          </w:tcPr>
          <w:p>
            <w:pPr>
              <w:jc w:val="center"/>
              <w:rPr>
                <w:bCs/>
                <w:szCs w:val="21"/>
              </w:rPr>
            </w:pPr>
            <w:r>
              <w:rPr>
                <w:rFonts w:hint="eastAsia"/>
                <w:bCs/>
                <w:szCs w:val="21"/>
              </w:rPr>
              <w:t>43.2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restart"/>
            <w:tcBorders>
              <w:right w:val="single" w:color="auto" w:sz="4" w:space="0"/>
            </w:tcBorders>
            <w:vAlign w:val="center"/>
          </w:tcPr>
          <w:p>
            <w:pPr>
              <w:jc w:val="center"/>
              <w:rPr>
                <w:bCs/>
                <w:spacing w:val="4"/>
                <w:szCs w:val="21"/>
              </w:rPr>
            </w:pPr>
            <w:r>
              <w:rPr>
                <w:rFonts w:hint="eastAsia"/>
                <w:bCs/>
                <w:spacing w:val="4"/>
                <w:szCs w:val="21"/>
              </w:rPr>
              <w:t>2019.6.23</w:t>
            </w:r>
          </w:p>
        </w:tc>
        <w:tc>
          <w:tcPr>
            <w:tcW w:w="1790" w:type="dxa"/>
            <w:tcBorders>
              <w:left w:val="single" w:color="auto" w:sz="4" w:space="0"/>
            </w:tcBorders>
            <w:vAlign w:val="center"/>
          </w:tcPr>
          <w:p>
            <w:pPr>
              <w:jc w:val="center"/>
              <w:rPr>
                <w:szCs w:val="21"/>
              </w:rPr>
            </w:pPr>
            <w:r>
              <w:rPr>
                <w:rFonts w:hint="eastAsia"/>
                <w:bCs/>
                <w:spacing w:val="4"/>
                <w:szCs w:val="21"/>
              </w:rPr>
              <w:t>1#厂界西北侧</w:t>
            </w:r>
          </w:p>
        </w:tc>
        <w:tc>
          <w:tcPr>
            <w:tcW w:w="839" w:type="dxa"/>
            <w:vAlign w:val="center"/>
          </w:tcPr>
          <w:p>
            <w:pPr>
              <w:jc w:val="center"/>
              <w:rPr>
                <w:szCs w:val="21"/>
              </w:rPr>
            </w:pPr>
            <w:r>
              <w:rPr>
                <w:rFonts w:hint="eastAsia"/>
                <w:szCs w:val="21"/>
              </w:rPr>
              <w:t>52</w:t>
            </w:r>
          </w:p>
        </w:tc>
        <w:tc>
          <w:tcPr>
            <w:tcW w:w="837" w:type="dxa"/>
            <w:vAlign w:val="center"/>
          </w:tcPr>
          <w:p>
            <w:pPr>
              <w:jc w:val="center"/>
              <w:rPr>
                <w:bCs/>
                <w:szCs w:val="21"/>
              </w:rPr>
            </w:pPr>
            <w:r>
              <w:rPr>
                <w:rFonts w:hint="eastAsia"/>
                <w:bCs/>
                <w:szCs w:val="21"/>
              </w:rPr>
              <w:t>53.4</w:t>
            </w:r>
          </w:p>
        </w:tc>
        <w:tc>
          <w:tcPr>
            <w:tcW w:w="700" w:type="dxa"/>
            <w:vAlign w:val="center"/>
          </w:tcPr>
          <w:p>
            <w:pPr>
              <w:jc w:val="center"/>
              <w:rPr>
                <w:bCs/>
                <w:szCs w:val="21"/>
              </w:rPr>
            </w:pPr>
            <w:r>
              <w:rPr>
                <w:rFonts w:hint="eastAsia"/>
                <w:bCs/>
                <w:szCs w:val="21"/>
              </w:rPr>
              <w:t>51.6</w:t>
            </w:r>
          </w:p>
        </w:tc>
        <w:tc>
          <w:tcPr>
            <w:tcW w:w="701" w:type="dxa"/>
            <w:vAlign w:val="center"/>
          </w:tcPr>
          <w:p>
            <w:pPr>
              <w:jc w:val="center"/>
              <w:rPr>
                <w:bCs/>
                <w:szCs w:val="21"/>
              </w:rPr>
            </w:pPr>
            <w:r>
              <w:rPr>
                <w:rFonts w:hint="eastAsia"/>
                <w:bCs/>
                <w:szCs w:val="21"/>
              </w:rPr>
              <w:t>50.8</w:t>
            </w:r>
          </w:p>
        </w:tc>
        <w:tc>
          <w:tcPr>
            <w:tcW w:w="702" w:type="dxa"/>
            <w:vAlign w:val="center"/>
          </w:tcPr>
          <w:p>
            <w:pPr>
              <w:jc w:val="center"/>
              <w:rPr>
                <w:bCs/>
                <w:szCs w:val="21"/>
              </w:rPr>
            </w:pPr>
            <w:r>
              <w:rPr>
                <w:rFonts w:hint="eastAsia"/>
                <w:bCs/>
                <w:szCs w:val="21"/>
              </w:rPr>
              <w:t>45</w:t>
            </w:r>
          </w:p>
        </w:tc>
        <w:tc>
          <w:tcPr>
            <w:tcW w:w="836" w:type="dxa"/>
            <w:vAlign w:val="center"/>
          </w:tcPr>
          <w:p>
            <w:pPr>
              <w:jc w:val="center"/>
              <w:rPr>
                <w:bCs/>
                <w:szCs w:val="21"/>
              </w:rPr>
            </w:pPr>
            <w:r>
              <w:rPr>
                <w:rFonts w:hint="eastAsia"/>
                <w:bCs/>
                <w:szCs w:val="21"/>
              </w:rPr>
              <w:t>47.0</w:t>
            </w:r>
          </w:p>
        </w:tc>
        <w:tc>
          <w:tcPr>
            <w:tcW w:w="701" w:type="dxa"/>
            <w:vAlign w:val="center"/>
          </w:tcPr>
          <w:p>
            <w:pPr>
              <w:jc w:val="center"/>
              <w:rPr>
                <w:bCs/>
                <w:szCs w:val="21"/>
              </w:rPr>
            </w:pPr>
            <w:r>
              <w:rPr>
                <w:rFonts w:hint="eastAsia"/>
                <w:bCs/>
                <w:szCs w:val="21"/>
              </w:rPr>
              <w:t>45.2</w:t>
            </w:r>
          </w:p>
        </w:tc>
        <w:tc>
          <w:tcPr>
            <w:tcW w:w="748" w:type="dxa"/>
            <w:vAlign w:val="center"/>
          </w:tcPr>
          <w:p>
            <w:pPr>
              <w:jc w:val="center"/>
              <w:rPr>
                <w:bCs/>
                <w:szCs w:val="21"/>
              </w:rPr>
            </w:pPr>
            <w:r>
              <w:rPr>
                <w:rFonts w:hint="eastAsia"/>
                <w:bCs/>
                <w:szCs w:val="21"/>
              </w:rPr>
              <w:t>43.0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continue"/>
            <w:tcBorders>
              <w:right w:val="single" w:color="auto" w:sz="4" w:space="0"/>
            </w:tcBorders>
            <w:vAlign w:val="center"/>
          </w:tcPr>
          <w:p>
            <w:pPr>
              <w:jc w:val="center"/>
              <w:rPr>
                <w:bCs/>
                <w:spacing w:val="4"/>
                <w:szCs w:val="21"/>
              </w:rPr>
            </w:pPr>
          </w:p>
        </w:tc>
        <w:tc>
          <w:tcPr>
            <w:tcW w:w="1790" w:type="dxa"/>
            <w:tcBorders>
              <w:left w:val="single" w:color="auto" w:sz="4" w:space="0"/>
            </w:tcBorders>
            <w:vAlign w:val="center"/>
          </w:tcPr>
          <w:p>
            <w:pPr>
              <w:jc w:val="center"/>
              <w:rPr>
                <w:szCs w:val="21"/>
              </w:rPr>
            </w:pPr>
            <w:r>
              <w:rPr>
                <w:rFonts w:hint="eastAsia"/>
                <w:bCs/>
                <w:spacing w:val="4"/>
                <w:szCs w:val="21"/>
              </w:rPr>
              <w:t>2#厂界东北侧</w:t>
            </w:r>
          </w:p>
        </w:tc>
        <w:tc>
          <w:tcPr>
            <w:tcW w:w="839" w:type="dxa"/>
            <w:vAlign w:val="center"/>
          </w:tcPr>
          <w:p>
            <w:pPr>
              <w:jc w:val="center"/>
              <w:rPr>
                <w:szCs w:val="21"/>
              </w:rPr>
            </w:pPr>
            <w:r>
              <w:rPr>
                <w:rFonts w:hint="eastAsia"/>
                <w:szCs w:val="21"/>
              </w:rPr>
              <w:t>52</w:t>
            </w:r>
          </w:p>
        </w:tc>
        <w:tc>
          <w:tcPr>
            <w:tcW w:w="837" w:type="dxa"/>
            <w:vAlign w:val="center"/>
          </w:tcPr>
          <w:p>
            <w:pPr>
              <w:jc w:val="center"/>
              <w:rPr>
                <w:bCs/>
                <w:szCs w:val="21"/>
              </w:rPr>
            </w:pPr>
            <w:r>
              <w:rPr>
                <w:rFonts w:hint="eastAsia"/>
                <w:bCs/>
                <w:szCs w:val="21"/>
              </w:rPr>
              <w:t>55.0</w:t>
            </w:r>
          </w:p>
        </w:tc>
        <w:tc>
          <w:tcPr>
            <w:tcW w:w="700" w:type="dxa"/>
            <w:vAlign w:val="center"/>
          </w:tcPr>
          <w:p>
            <w:pPr>
              <w:jc w:val="center"/>
              <w:rPr>
                <w:bCs/>
                <w:szCs w:val="21"/>
              </w:rPr>
            </w:pPr>
            <w:r>
              <w:rPr>
                <w:rFonts w:hint="eastAsia"/>
                <w:bCs/>
                <w:szCs w:val="21"/>
              </w:rPr>
              <w:t>52.0</w:t>
            </w:r>
          </w:p>
        </w:tc>
        <w:tc>
          <w:tcPr>
            <w:tcW w:w="701" w:type="dxa"/>
            <w:vAlign w:val="center"/>
          </w:tcPr>
          <w:p>
            <w:pPr>
              <w:jc w:val="center"/>
              <w:rPr>
                <w:bCs/>
                <w:szCs w:val="21"/>
              </w:rPr>
            </w:pPr>
            <w:r>
              <w:rPr>
                <w:rFonts w:hint="eastAsia"/>
                <w:bCs/>
                <w:szCs w:val="21"/>
              </w:rPr>
              <w:t>51.4</w:t>
            </w:r>
          </w:p>
        </w:tc>
        <w:tc>
          <w:tcPr>
            <w:tcW w:w="702" w:type="dxa"/>
            <w:vAlign w:val="center"/>
          </w:tcPr>
          <w:p>
            <w:pPr>
              <w:jc w:val="center"/>
              <w:rPr>
                <w:bCs/>
                <w:szCs w:val="21"/>
              </w:rPr>
            </w:pPr>
            <w:r>
              <w:rPr>
                <w:rFonts w:hint="eastAsia"/>
                <w:bCs/>
                <w:szCs w:val="21"/>
              </w:rPr>
              <w:t>46</w:t>
            </w:r>
          </w:p>
        </w:tc>
        <w:tc>
          <w:tcPr>
            <w:tcW w:w="836" w:type="dxa"/>
            <w:vAlign w:val="center"/>
          </w:tcPr>
          <w:p>
            <w:pPr>
              <w:jc w:val="center"/>
              <w:rPr>
                <w:bCs/>
                <w:szCs w:val="21"/>
              </w:rPr>
            </w:pPr>
            <w:r>
              <w:rPr>
                <w:rFonts w:hint="eastAsia"/>
                <w:bCs/>
                <w:szCs w:val="21"/>
              </w:rPr>
              <w:t>47.4</w:t>
            </w:r>
          </w:p>
        </w:tc>
        <w:tc>
          <w:tcPr>
            <w:tcW w:w="701" w:type="dxa"/>
            <w:vAlign w:val="center"/>
          </w:tcPr>
          <w:p>
            <w:pPr>
              <w:jc w:val="center"/>
              <w:rPr>
                <w:bCs/>
                <w:szCs w:val="21"/>
              </w:rPr>
            </w:pPr>
            <w:r>
              <w:rPr>
                <w:rFonts w:hint="eastAsia"/>
                <w:bCs/>
                <w:szCs w:val="21"/>
              </w:rPr>
              <w:t>44.6</w:t>
            </w:r>
          </w:p>
        </w:tc>
        <w:tc>
          <w:tcPr>
            <w:tcW w:w="748" w:type="dxa"/>
            <w:vAlign w:val="center"/>
          </w:tcPr>
          <w:p>
            <w:pPr>
              <w:jc w:val="center"/>
              <w:rPr>
                <w:bCs/>
                <w:szCs w:val="21"/>
              </w:rPr>
            </w:pPr>
            <w:r>
              <w:rPr>
                <w:rFonts w:hint="eastAsia"/>
                <w:bCs/>
                <w:szCs w:val="21"/>
              </w:rPr>
              <w:t>44.2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continue"/>
            <w:tcBorders>
              <w:right w:val="single" w:color="auto" w:sz="4" w:space="0"/>
            </w:tcBorders>
            <w:vAlign w:val="center"/>
          </w:tcPr>
          <w:p>
            <w:pPr>
              <w:jc w:val="center"/>
              <w:rPr>
                <w:bCs/>
                <w:spacing w:val="4"/>
                <w:szCs w:val="21"/>
              </w:rPr>
            </w:pPr>
          </w:p>
        </w:tc>
        <w:tc>
          <w:tcPr>
            <w:tcW w:w="1790" w:type="dxa"/>
            <w:tcBorders>
              <w:left w:val="single" w:color="auto" w:sz="4" w:space="0"/>
            </w:tcBorders>
            <w:vAlign w:val="center"/>
          </w:tcPr>
          <w:p>
            <w:pPr>
              <w:jc w:val="center"/>
              <w:rPr>
                <w:bCs/>
                <w:spacing w:val="4"/>
                <w:szCs w:val="21"/>
              </w:rPr>
            </w:pPr>
            <w:r>
              <w:rPr>
                <w:rFonts w:hint="eastAsia"/>
                <w:bCs/>
                <w:spacing w:val="4"/>
                <w:szCs w:val="21"/>
              </w:rPr>
              <w:t>3#厂界东侧</w:t>
            </w:r>
          </w:p>
        </w:tc>
        <w:tc>
          <w:tcPr>
            <w:tcW w:w="839" w:type="dxa"/>
            <w:vAlign w:val="center"/>
          </w:tcPr>
          <w:p>
            <w:pPr>
              <w:jc w:val="center"/>
              <w:rPr>
                <w:szCs w:val="21"/>
              </w:rPr>
            </w:pPr>
            <w:r>
              <w:rPr>
                <w:rFonts w:hint="eastAsia"/>
                <w:szCs w:val="21"/>
              </w:rPr>
              <w:t>52</w:t>
            </w:r>
          </w:p>
        </w:tc>
        <w:tc>
          <w:tcPr>
            <w:tcW w:w="837" w:type="dxa"/>
            <w:vAlign w:val="center"/>
          </w:tcPr>
          <w:p>
            <w:pPr>
              <w:jc w:val="center"/>
              <w:rPr>
                <w:bCs/>
                <w:szCs w:val="21"/>
              </w:rPr>
            </w:pPr>
            <w:r>
              <w:rPr>
                <w:rFonts w:hint="eastAsia"/>
                <w:bCs/>
                <w:szCs w:val="21"/>
              </w:rPr>
              <w:t>54.4</w:t>
            </w:r>
          </w:p>
        </w:tc>
        <w:tc>
          <w:tcPr>
            <w:tcW w:w="700" w:type="dxa"/>
            <w:vAlign w:val="center"/>
          </w:tcPr>
          <w:p>
            <w:pPr>
              <w:jc w:val="center"/>
              <w:rPr>
                <w:bCs/>
                <w:szCs w:val="21"/>
              </w:rPr>
            </w:pPr>
            <w:r>
              <w:rPr>
                <w:rFonts w:hint="eastAsia"/>
                <w:bCs/>
                <w:szCs w:val="21"/>
              </w:rPr>
              <w:t>51.6</w:t>
            </w:r>
          </w:p>
        </w:tc>
        <w:tc>
          <w:tcPr>
            <w:tcW w:w="701" w:type="dxa"/>
            <w:vAlign w:val="center"/>
          </w:tcPr>
          <w:p>
            <w:pPr>
              <w:jc w:val="center"/>
              <w:rPr>
                <w:bCs/>
                <w:szCs w:val="21"/>
              </w:rPr>
            </w:pPr>
            <w:r>
              <w:rPr>
                <w:rFonts w:hint="eastAsia"/>
                <w:bCs/>
                <w:szCs w:val="21"/>
              </w:rPr>
              <w:t>50.6</w:t>
            </w:r>
          </w:p>
        </w:tc>
        <w:tc>
          <w:tcPr>
            <w:tcW w:w="702" w:type="dxa"/>
            <w:vAlign w:val="center"/>
          </w:tcPr>
          <w:p>
            <w:pPr>
              <w:jc w:val="center"/>
              <w:rPr>
                <w:bCs/>
                <w:szCs w:val="21"/>
              </w:rPr>
            </w:pPr>
            <w:r>
              <w:rPr>
                <w:rFonts w:hint="eastAsia"/>
                <w:bCs/>
                <w:szCs w:val="21"/>
              </w:rPr>
              <w:t>45</w:t>
            </w:r>
          </w:p>
        </w:tc>
        <w:tc>
          <w:tcPr>
            <w:tcW w:w="836" w:type="dxa"/>
            <w:vAlign w:val="center"/>
          </w:tcPr>
          <w:p>
            <w:pPr>
              <w:jc w:val="center"/>
              <w:rPr>
                <w:bCs/>
                <w:szCs w:val="21"/>
              </w:rPr>
            </w:pPr>
            <w:r>
              <w:rPr>
                <w:rFonts w:hint="eastAsia"/>
                <w:bCs/>
                <w:szCs w:val="21"/>
              </w:rPr>
              <w:t>47.4</w:t>
            </w:r>
          </w:p>
        </w:tc>
        <w:tc>
          <w:tcPr>
            <w:tcW w:w="701" w:type="dxa"/>
            <w:vAlign w:val="center"/>
          </w:tcPr>
          <w:p>
            <w:pPr>
              <w:jc w:val="center"/>
              <w:rPr>
                <w:bCs/>
                <w:szCs w:val="21"/>
              </w:rPr>
            </w:pPr>
            <w:r>
              <w:rPr>
                <w:rFonts w:hint="eastAsia"/>
                <w:bCs/>
                <w:szCs w:val="21"/>
              </w:rPr>
              <w:t>44.6</w:t>
            </w:r>
          </w:p>
        </w:tc>
        <w:tc>
          <w:tcPr>
            <w:tcW w:w="748" w:type="dxa"/>
            <w:vAlign w:val="center"/>
          </w:tcPr>
          <w:p>
            <w:pPr>
              <w:jc w:val="center"/>
              <w:rPr>
                <w:bCs/>
                <w:szCs w:val="21"/>
              </w:rPr>
            </w:pPr>
            <w:r>
              <w:rPr>
                <w:rFonts w:hint="eastAsia"/>
                <w:bCs/>
                <w:szCs w:val="21"/>
              </w:rPr>
              <w:t>42.6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continue"/>
            <w:tcBorders>
              <w:right w:val="single" w:color="auto" w:sz="4" w:space="0"/>
            </w:tcBorders>
            <w:vAlign w:val="center"/>
          </w:tcPr>
          <w:p>
            <w:pPr>
              <w:jc w:val="center"/>
              <w:rPr>
                <w:bCs/>
                <w:spacing w:val="4"/>
                <w:szCs w:val="21"/>
              </w:rPr>
            </w:pPr>
          </w:p>
        </w:tc>
        <w:tc>
          <w:tcPr>
            <w:tcW w:w="1790" w:type="dxa"/>
            <w:tcBorders>
              <w:left w:val="single" w:color="auto" w:sz="4" w:space="0"/>
            </w:tcBorders>
            <w:vAlign w:val="center"/>
          </w:tcPr>
          <w:p>
            <w:pPr>
              <w:jc w:val="center"/>
              <w:rPr>
                <w:bCs/>
                <w:spacing w:val="4"/>
                <w:szCs w:val="21"/>
              </w:rPr>
            </w:pPr>
            <w:r>
              <w:rPr>
                <w:rFonts w:hint="eastAsia"/>
                <w:bCs/>
                <w:spacing w:val="4"/>
                <w:szCs w:val="21"/>
              </w:rPr>
              <w:t>4#厂界南侧</w:t>
            </w:r>
          </w:p>
        </w:tc>
        <w:tc>
          <w:tcPr>
            <w:tcW w:w="839" w:type="dxa"/>
            <w:vAlign w:val="center"/>
          </w:tcPr>
          <w:p>
            <w:pPr>
              <w:jc w:val="center"/>
              <w:rPr>
                <w:szCs w:val="21"/>
              </w:rPr>
            </w:pPr>
            <w:r>
              <w:rPr>
                <w:rFonts w:hint="eastAsia"/>
                <w:szCs w:val="21"/>
              </w:rPr>
              <w:t>52</w:t>
            </w:r>
          </w:p>
        </w:tc>
        <w:tc>
          <w:tcPr>
            <w:tcW w:w="837" w:type="dxa"/>
            <w:vAlign w:val="center"/>
          </w:tcPr>
          <w:p>
            <w:pPr>
              <w:jc w:val="center"/>
              <w:rPr>
                <w:bCs/>
                <w:szCs w:val="21"/>
              </w:rPr>
            </w:pPr>
            <w:r>
              <w:rPr>
                <w:rFonts w:hint="eastAsia"/>
                <w:bCs/>
                <w:szCs w:val="21"/>
              </w:rPr>
              <w:t>53.8</w:t>
            </w:r>
          </w:p>
        </w:tc>
        <w:tc>
          <w:tcPr>
            <w:tcW w:w="700" w:type="dxa"/>
            <w:vAlign w:val="center"/>
          </w:tcPr>
          <w:p>
            <w:pPr>
              <w:jc w:val="center"/>
              <w:rPr>
                <w:bCs/>
                <w:szCs w:val="21"/>
              </w:rPr>
            </w:pPr>
            <w:r>
              <w:rPr>
                <w:rFonts w:hint="eastAsia"/>
                <w:bCs/>
                <w:szCs w:val="21"/>
              </w:rPr>
              <w:t>51.8</w:t>
            </w:r>
          </w:p>
        </w:tc>
        <w:tc>
          <w:tcPr>
            <w:tcW w:w="701" w:type="dxa"/>
            <w:vAlign w:val="center"/>
          </w:tcPr>
          <w:p>
            <w:pPr>
              <w:jc w:val="center"/>
              <w:rPr>
                <w:bCs/>
                <w:szCs w:val="21"/>
              </w:rPr>
            </w:pPr>
            <w:r>
              <w:rPr>
                <w:rFonts w:hint="eastAsia"/>
                <w:bCs/>
                <w:szCs w:val="21"/>
              </w:rPr>
              <w:t>50.6</w:t>
            </w:r>
          </w:p>
        </w:tc>
        <w:tc>
          <w:tcPr>
            <w:tcW w:w="702" w:type="dxa"/>
            <w:vAlign w:val="center"/>
          </w:tcPr>
          <w:p>
            <w:pPr>
              <w:jc w:val="center"/>
              <w:rPr>
                <w:bCs/>
                <w:szCs w:val="21"/>
              </w:rPr>
            </w:pPr>
            <w:r>
              <w:rPr>
                <w:rFonts w:hint="eastAsia"/>
                <w:bCs/>
                <w:szCs w:val="21"/>
              </w:rPr>
              <w:t>45</w:t>
            </w:r>
          </w:p>
        </w:tc>
        <w:tc>
          <w:tcPr>
            <w:tcW w:w="836" w:type="dxa"/>
            <w:vAlign w:val="center"/>
          </w:tcPr>
          <w:p>
            <w:pPr>
              <w:jc w:val="center"/>
              <w:rPr>
                <w:bCs/>
                <w:szCs w:val="21"/>
              </w:rPr>
            </w:pPr>
            <w:r>
              <w:rPr>
                <w:rFonts w:hint="eastAsia"/>
                <w:bCs/>
                <w:szCs w:val="21"/>
              </w:rPr>
              <w:t>47.6</w:t>
            </w:r>
          </w:p>
        </w:tc>
        <w:tc>
          <w:tcPr>
            <w:tcW w:w="701" w:type="dxa"/>
            <w:vAlign w:val="center"/>
          </w:tcPr>
          <w:p>
            <w:pPr>
              <w:jc w:val="center"/>
              <w:rPr>
                <w:bCs/>
                <w:szCs w:val="21"/>
              </w:rPr>
            </w:pPr>
            <w:r>
              <w:rPr>
                <w:rFonts w:hint="eastAsia"/>
                <w:bCs/>
                <w:szCs w:val="21"/>
              </w:rPr>
              <w:t>42.2</w:t>
            </w:r>
          </w:p>
        </w:tc>
        <w:tc>
          <w:tcPr>
            <w:tcW w:w="748" w:type="dxa"/>
            <w:vAlign w:val="center"/>
          </w:tcPr>
          <w:p>
            <w:pPr>
              <w:jc w:val="center"/>
              <w:rPr>
                <w:bCs/>
                <w:szCs w:val="21"/>
              </w:rPr>
            </w:pPr>
            <w:r>
              <w:rPr>
                <w:rFonts w:hint="eastAsia"/>
                <w:bCs/>
                <w:szCs w:val="21"/>
              </w:rPr>
              <w:t>41.8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92" w:type="dxa"/>
            <w:vMerge w:val="continue"/>
            <w:tcBorders>
              <w:right w:val="single" w:color="auto" w:sz="4" w:space="0"/>
            </w:tcBorders>
            <w:vAlign w:val="center"/>
          </w:tcPr>
          <w:p>
            <w:pPr>
              <w:jc w:val="center"/>
              <w:rPr>
                <w:bCs/>
                <w:spacing w:val="4"/>
                <w:szCs w:val="21"/>
              </w:rPr>
            </w:pPr>
          </w:p>
        </w:tc>
        <w:tc>
          <w:tcPr>
            <w:tcW w:w="1790" w:type="dxa"/>
            <w:tcBorders>
              <w:left w:val="single" w:color="auto" w:sz="4" w:space="0"/>
            </w:tcBorders>
            <w:vAlign w:val="center"/>
          </w:tcPr>
          <w:p>
            <w:pPr>
              <w:jc w:val="center"/>
              <w:rPr>
                <w:bCs/>
                <w:spacing w:val="4"/>
                <w:szCs w:val="21"/>
              </w:rPr>
            </w:pPr>
            <w:r>
              <w:rPr>
                <w:rFonts w:hint="eastAsia"/>
                <w:bCs/>
                <w:spacing w:val="4"/>
                <w:szCs w:val="21"/>
              </w:rPr>
              <w:t>5#厂界西侧</w:t>
            </w:r>
          </w:p>
        </w:tc>
        <w:tc>
          <w:tcPr>
            <w:tcW w:w="839" w:type="dxa"/>
            <w:vAlign w:val="center"/>
          </w:tcPr>
          <w:p>
            <w:pPr>
              <w:jc w:val="center"/>
              <w:rPr>
                <w:szCs w:val="21"/>
              </w:rPr>
            </w:pPr>
            <w:r>
              <w:rPr>
                <w:rFonts w:hint="eastAsia"/>
                <w:szCs w:val="21"/>
              </w:rPr>
              <w:t>52</w:t>
            </w:r>
          </w:p>
        </w:tc>
        <w:tc>
          <w:tcPr>
            <w:tcW w:w="837" w:type="dxa"/>
            <w:vAlign w:val="center"/>
          </w:tcPr>
          <w:p>
            <w:pPr>
              <w:jc w:val="center"/>
              <w:rPr>
                <w:bCs/>
                <w:szCs w:val="21"/>
              </w:rPr>
            </w:pPr>
            <w:r>
              <w:rPr>
                <w:rFonts w:hint="eastAsia"/>
                <w:bCs/>
                <w:szCs w:val="21"/>
              </w:rPr>
              <w:t>54.4</w:t>
            </w:r>
          </w:p>
        </w:tc>
        <w:tc>
          <w:tcPr>
            <w:tcW w:w="700" w:type="dxa"/>
            <w:vAlign w:val="center"/>
          </w:tcPr>
          <w:p>
            <w:pPr>
              <w:jc w:val="center"/>
              <w:rPr>
                <w:bCs/>
                <w:szCs w:val="21"/>
              </w:rPr>
            </w:pPr>
            <w:r>
              <w:rPr>
                <w:rFonts w:hint="eastAsia"/>
                <w:bCs/>
                <w:szCs w:val="21"/>
              </w:rPr>
              <w:t>51.8</w:t>
            </w:r>
          </w:p>
        </w:tc>
        <w:tc>
          <w:tcPr>
            <w:tcW w:w="701" w:type="dxa"/>
            <w:vAlign w:val="center"/>
          </w:tcPr>
          <w:p>
            <w:pPr>
              <w:jc w:val="center"/>
              <w:rPr>
                <w:bCs/>
                <w:szCs w:val="21"/>
              </w:rPr>
            </w:pPr>
            <w:r>
              <w:rPr>
                <w:rFonts w:hint="eastAsia"/>
                <w:bCs/>
                <w:szCs w:val="21"/>
              </w:rPr>
              <w:t>51.2</w:t>
            </w:r>
          </w:p>
        </w:tc>
        <w:tc>
          <w:tcPr>
            <w:tcW w:w="702" w:type="dxa"/>
            <w:vAlign w:val="center"/>
          </w:tcPr>
          <w:p>
            <w:pPr>
              <w:jc w:val="center"/>
              <w:rPr>
                <w:bCs/>
                <w:szCs w:val="21"/>
              </w:rPr>
            </w:pPr>
            <w:r>
              <w:rPr>
                <w:rFonts w:hint="eastAsia"/>
                <w:bCs/>
                <w:szCs w:val="21"/>
              </w:rPr>
              <w:t>45</w:t>
            </w:r>
          </w:p>
        </w:tc>
        <w:tc>
          <w:tcPr>
            <w:tcW w:w="836" w:type="dxa"/>
            <w:vAlign w:val="center"/>
          </w:tcPr>
          <w:p>
            <w:pPr>
              <w:jc w:val="center"/>
              <w:rPr>
                <w:bCs/>
                <w:szCs w:val="21"/>
              </w:rPr>
            </w:pPr>
            <w:r>
              <w:rPr>
                <w:rFonts w:hint="eastAsia"/>
                <w:bCs/>
                <w:szCs w:val="21"/>
              </w:rPr>
              <w:t>47.2</w:t>
            </w:r>
          </w:p>
        </w:tc>
        <w:tc>
          <w:tcPr>
            <w:tcW w:w="701" w:type="dxa"/>
            <w:vAlign w:val="center"/>
          </w:tcPr>
          <w:p>
            <w:pPr>
              <w:jc w:val="center"/>
              <w:rPr>
                <w:bCs/>
                <w:szCs w:val="21"/>
              </w:rPr>
            </w:pPr>
            <w:r>
              <w:rPr>
                <w:rFonts w:hint="eastAsia"/>
                <w:bCs/>
                <w:szCs w:val="21"/>
              </w:rPr>
              <w:t>43.8</w:t>
            </w:r>
          </w:p>
        </w:tc>
        <w:tc>
          <w:tcPr>
            <w:tcW w:w="748" w:type="dxa"/>
            <w:vAlign w:val="center"/>
          </w:tcPr>
          <w:p>
            <w:pPr>
              <w:jc w:val="center"/>
              <w:rPr>
                <w:bCs/>
                <w:szCs w:val="21"/>
              </w:rPr>
            </w:pPr>
            <w:r>
              <w:rPr>
                <w:rFonts w:hint="eastAsia"/>
                <w:bCs/>
                <w:szCs w:val="21"/>
              </w:rPr>
              <w:t>42.4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882" w:type="dxa"/>
            <w:gridSpan w:val="2"/>
            <w:vAlign w:val="center"/>
          </w:tcPr>
          <w:p>
            <w:pPr>
              <w:jc w:val="center"/>
              <w:rPr>
                <w:szCs w:val="21"/>
              </w:rPr>
            </w:pPr>
            <w:r>
              <w:rPr>
                <w:rFonts w:hint="eastAsia"/>
                <w:szCs w:val="21"/>
              </w:rPr>
              <w:t>厂界噪声范围</w:t>
            </w:r>
          </w:p>
        </w:tc>
        <w:tc>
          <w:tcPr>
            <w:tcW w:w="3077" w:type="dxa"/>
            <w:gridSpan w:val="4"/>
            <w:vAlign w:val="center"/>
          </w:tcPr>
          <w:p>
            <w:pPr>
              <w:jc w:val="center"/>
              <w:rPr>
                <w:szCs w:val="21"/>
              </w:rPr>
            </w:pPr>
            <w:r>
              <w:rPr>
                <w:rFonts w:hint="eastAsia"/>
                <w:szCs w:val="21"/>
              </w:rPr>
              <w:t>52</w:t>
            </w:r>
          </w:p>
        </w:tc>
        <w:tc>
          <w:tcPr>
            <w:tcW w:w="2987" w:type="dxa"/>
            <w:gridSpan w:val="4"/>
            <w:vAlign w:val="center"/>
          </w:tcPr>
          <w:p>
            <w:pPr>
              <w:jc w:val="center"/>
              <w:rPr>
                <w:szCs w:val="21"/>
              </w:rPr>
            </w:pPr>
            <w:r>
              <w:rPr>
                <w:rFonts w:hint="eastAsia"/>
                <w:szCs w:val="21"/>
              </w:rPr>
              <w:t>45-46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882" w:type="dxa"/>
            <w:gridSpan w:val="2"/>
            <w:vAlign w:val="center"/>
          </w:tcPr>
          <w:p>
            <w:pPr>
              <w:jc w:val="center"/>
              <w:rPr>
                <w:szCs w:val="21"/>
              </w:rPr>
            </w:pPr>
            <w:r>
              <w:rPr>
                <w:szCs w:val="21"/>
              </w:rPr>
              <w:t>2</w:t>
            </w:r>
            <w:r>
              <w:rPr>
                <w:rFonts w:hint="eastAsia"/>
                <w:szCs w:val="21"/>
              </w:rPr>
              <w:t>类标准限值</w:t>
            </w:r>
          </w:p>
        </w:tc>
        <w:tc>
          <w:tcPr>
            <w:tcW w:w="3077" w:type="dxa"/>
            <w:gridSpan w:val="4"/>
            <w:vAlign w:val="center"/>
          </w:tcPr>
          <w:p>
            <w:pPr>
              <w:jc w:val="center"/>
              <w:rPr>
                <w:szCs w:val="21"/>
              </w:rPr>
            </w:pPr>
            <w:r>
              <w:rPr>
                <w:szCs w:val="21"/>
              </w:rPr>
              <w:t>60</w:t>
            </w:r>
          </w:p>
        </w:tc>
        <w:tc>
          <w:tcPr>
            <w:tcW w:w="2987" w:type="dxa"/>
            <w:gridSpan w:val="4"/>
            <w:vAlign w:val="center"/>
          </w:tcPr>
          <w:p>
            <w:pPr>
              <w:jc w:val="center"/>
              <w:rPr>
                <w:szCs w:val="21"/>
              </w:rPr>
            </w:pPr>
            <w:r>
              <w:rPr>
                <w:szCs w:val="21"/>
                <w:u w:color="000000"/>
              </w:rPr>
              <w:t>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882" w:type="dxa"/>
            <w:gridSpan w:val="2"/>
            <w:vAlign w:val="center"/>
          </w:tcPr>
          <w:p>
            <w:pPr>
              <w:jc w:val="center"/>
              <w:rPr>
                <w:szCs w:val="21"/>
              </w:rPr>
            </w:pPr>
            <w:r>
              <w:rPr>
                <w:rFonts w:hint="eastAsia"/>
                <w:szCs w:val="21"/>
              </w:rPr>
              <w:t>是否达标</w:t>
            </w:r>
          </w:p>
        </w:tc>
        <w:tc>
          <w:tcPr>
            <w:tcW w:w="3077" w:type="dxa"/>
            <w:gridSpan w:val="4"/>
            <w:vAlign w:val="center"/>
          </w:tcPr>
          <w:p>
            <w:pPr>
              <w:jc w:val="center"/>
              <w:rPr>
                <w:szCs w:val="21"/>
              </w:rPr>
            </w:pPr>
            <w:r>
              <w:rPr>
                <w:rFonts w:hint="eastAsia"/>
                <w:bCs/>
                <w:szCs w:val="21"/>
              </w:rPr>
              <w:t>达标</w:t>
            </w:r>
          </w:p>
        </w:tc>
        <w:tc>
          <w:tcPr>
            <w:tcW w:w="2987" w:type="dxa"/>
            <w:gridSpan w:val="4"/>
            <w:vAlign w:val="center"/>
          </w:tcPr>
          <w:p>
            <w:pPr>
              <w:jc w:val="center"/>
              <w:rPr>
                <w:szCs w:val="21"/>
              </w:rPr>
            </w:pPr>
            <w:r>
              <w:rPr>
                <w:rFonts w:hint="eastAsia"/>
                <w:bCs/>
                <w:szCs w:val="21"/>
              </w:rPr>
              <w:t>达标</w:t>
            </w:r>
          </w:p>
        </w:tc>
      </w:tr>
    </w:tbl>
    <w:p>
      <w:pPr>
        <w:spacing w:line="480" w:lineRule="exact"/>
        <w:ind w:firstLine="480" w:firstLineChars="200"/>
        <w:rPr>
          <w:rFonts w:ascii="黑体" w:hAnsi="黑体" w:eastAsia="黑体"/>
          <w:sz w:val="24"/>
          <w:szCs w:val="21"/>
        </w:rPr>
      </w:pPr>
      <w:r>
        <w:rPr>
          <w:rFonts w:hint="eastAsia"/>
          <w:sz w:val="24"/>
        </w:rPr>
        <w:t>由表4.3-</w:t>
      </w:r>
      <w:r>
        <w:rPr>
          <w:sz w:val="24"/>
        </w:rPr>
        <w:t>1</w:t>
      </w:r>
      <w:r>
        <w:rPr>
          <w:rFonts w:hint="eastAsia"/>
          <w:sz w:val="24"/>
        </w:rPr>
        <w:t>5可知：厂界声环境质量现状昼间监测值为52dB（A），夜间监测值范围45</w:t>
      </w:r>
      <w:r>
        <w:rPr>
          <w:sz w:val="24"/>
        </w:rPr>
        <w:t>-4</w:t>
      </w:r>
      <w:r>
        <w:rPr>
          <w:rFonts w:hint="eastAsia"/>
          <w:sz w:val="24"/>
        </w:rPr>
        <w:t>6dB（A）；满足《声环境质量标准》（GB3096-2008）中2类标准中昼间60dB(A)、夜间50dB(A)标准限值。</w:t>
      </w:r>
    </w:p>
    <w:p>
      <w:pPr>
        <w:pStyle w:val="40"/>
        <w:keepNext/>
        <w:keepLines/>
        <w:spacing w:before="0" w:after="0" w:line="480" w:lineRule="exact"/>
        <w:ind w:firstLine="0" w:firstLineChars="0"/>
        <w:rPr>
          <w:rFonts w:ascii="Times New Roman" w:hAnsi="Times New Roman" w:eastAsia="宋体"/>
          <w:b/>
        </w:rPr>
      </w:pPr>
      <w:r>
        <w:rPr>
          <w:rFonts w:hint="eastAsia" w:ascii="Times New Roman" w:hAnsi="Times New Roman" w:eastAsia="宋体"/>
          <w:b/>
        </w:rPr>
        <w:t>4.3.6</w:t>
      </w:r>
      <w:r>
        <w:rPr>
          <w:rFonts w:hint="eastAsia" w:ascii="宋体" w:hAnsi="宋体" w:eastAsia="宋体"/>
          <w:b/>
          <w:bCs/>
        </w:rPr>
        <w:t>土壤环境现状调查与评价</w:t>
      </w:r>
    </w:p>
    <w:p>
      <w:pPr>
        <w:spacing w:line="480" w:lineRule="exact"/>
        <w:ind w:firstLine="480" w:firstLineChars="200"/>
        <w:rPr>
          <w:rFonts w:ascii="黑体" w:hAnsi="黑体" w:eastAsia="黑体"/>
          <w:sz w:val="24"/>
          <w:szCs w:val="21"/>
        </w:rPr>
      </w:pPr>
      <w:r>
        <w:rPr>
          <w:rFonts w:hint="eastAsia"/>
          <w:bCs/>
          <w:kern w:val="0"/>
          <w:sz w:val="24"/>
          <w:szCs w:val="24"/>
        </w:rPr>
        <w:t>河北实朴检测技术服务有限公司在</w:t>
      </w:r>
      <w:r>
        <w:rPr>
          <w:bCs/>
          <w:kern w:val="0"/>
          <w:sz w:val="24"/>
          <w:szCs w:val="24"/>
        </w:rPr>
        <w:t>201</w:t>
      </w:r>
      <w:r>
        <w:rPr>
          <w:rFonts w:hint="eastAsia"/>
          <w:bCs/>
          <w:kern w:val="0"/>
          <w:sz w:val="24"/>
          <w:szCs w:val="24"/>
        </w:rPr>
        <w:t>9年6月25日就“汾阳市褚凤肉鸡养殖项目”进行了土壤环境质量现状监测。</w:t>
      </w:r>
    </w:p>
    <w:p>
      <w:pPr>
        <w:pStyle w:val="57"/>
        <w:keepNext/>
        <w:keepLines/>
        <w:spacing w:before="0" w:after="0" w:line="480" w:lineRule="exact"/>
        <w:ind w:firstLine="0" w:firstLineChars="0"/>
        <w:outlineLvl w:val="3"/>
        <w:rPr>
          <w:b/>
        </w:rPr>
      </w:pPr>
      <w:r>
        <w:rPr>
          <w:b/>
        </w:rPr>
        <w:t>4.3.</w:t>
      </w:r>
      <w:r>
        <w:rPr>
          <w:rFonts w:hint="eastAsia"/>
          <w:b/>
        </w:rPr>
        <w:t>6</w:t>
      </w:r>
      <w:r>
        <w:rPr>
          <w:b/>
        </w:rPr>
        <w:t>.1</w:t>
      </w:r>
      <w:r>
        <w:rPr>
          <w:rFonts w:hint="eastAsia" w:ascii="宋体" w:hAnsi="宋体"/>
          <w:b/>
        </w:rPr>
        <w:t>监测点位、监测内容、分析方法</w:t>
      </w:r>
    </w:p>
    <w:p>
      <w:pPr>
        <w:spacing w:line="480" w:lineRule="exact"/>
        <w:ind w:firstLine="480" w:firstLineChars="200"/>
        <w:rPr>
          <w:rFonts w:ascii="黑体" w:hAnsi="黑体" w:eastAsia="黑体"/>
          <w:sz w:val="24"/>
          <w:szCs w:val="21"/>
        </w:rPr>
      </w:pPr>
      <w:r>
        <w:rPr>
          <w:rFonts w:hint="eastAsia"/>
          <w:kern w:val="0"/>
          <w:sz w:val="24"/>
          <w:szCs w:val="24"/>
        </w:rPr>
        <w:t>监测点位设置见图</w:t>
      </w:r>
      <w:r>
        <w:rPr>
          <w:kern w:val="0"/>
          <w:sz w:val="24"/>
          <w:szCs w:val="24"/>
        </w:rPr>
        <w:t>4.3-</w:t>
      </w:r>
      <w:r>
        <w:rPr>
          <w:rFonts w:hint="eastAsia"/>
          <w:kern w:val="0"/>
          <w:sz w:val="24"/>
          <w:szCs w:val="24"/>
        </w:rPr>
        <w:t>3，监测内容及分析方法见表</w:t>
      </w:r>
      <w:r>
        <w:rPr>
          <w:kern w:val="0"/>
          <w:sz w:val="24"/>
          <w:szCs w:val="24"/>
        </w:rPr>
        <w:t>4.3-1</w:t>
      </w:r>
      <w:r>
        <w:rPr>
          <w:rFonts w:hint="eastAsia"/>
          <w:kern w:val="0"/>
          <w:sz w:val="24"/>
          <w:szCs w:val="24"/>
        </w:rPr>
        <w:t>6、</w:t>
      </w:r>
      <w:r>
        <w:rPr>
          <w:kern w:val="0"/>
          <w:sz w:val="24"/>
          <w:szCs w:val="24"/>
        </w:rPr>
        <w:t>1</w:t>
      </w:r>
      <w:r>
        <w:rPr>
          <w:rFonts w:hint="eastAsia"/>
          <w:kern w:val="0"/>
          <w:sz w:val="24"/>
          <w:szCs w:val="24"/>
        </w:rPr>
        <w:t>7。</w:t>
      </w:r>
    </w:p>
    <w:p>
      <w:pPr>
        <w:widowControl/>
        <w:snapToGrid w:val="0"/>
        <w:spacing w:line="480" w:lineRule="exact"/>
        <w:jc w:val="center"/>
        <w:rPr>
          <w:rFonts w:ascii="黑体" w:hAnsi="黑体" w:eastAsia="黑体"/>
          <w:sz w:val="24"/>
          <w:szCs w:val="24"/>
        </w:rPr>
      </w:pPr>
      <w:r>
        <w:rPr>
          <w:rFonts w:hint="eastAsia" w:ascii="黑体" w:hAnsi="黑体" w:eastAsia="黑体"/>
          <w:sz w:val="24"/>
          <w:szCs w:val="24"/>
        </w:rPr>
        <w:t>表4.3-16  土壤环境质量现状监测内容</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3"/>
        <w:gridCol w:w="3015"/>
        <w:gridCol w:w="2727"/>
        <w:gridCol w:w="26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tcBorders>
              <w:top w:val="single" w:color="auto" w:sz="4" w:space="0"/>
              <w:left w:val="single" w:color="auto" w:sz="4" w:space="0"/>
              <w:bottom w:val="single" w:color="auto" w:sz="6" w:space="0"/>
              <w:right w:val="single" w:color="auto" w:sz="6" w:space="0"/>
            </w:tcBorders>
            <w:vAlign w:val="center"/>
          </w:tcPr>
          <w:p>
            <w:pPr>
              <w:snapToGrid w:val="0"/>
              <w:spacing w:line="240" w:lineRule="atLeast"/>
              <w:jc w:val="center"/>
              <w:rPr>
                <w:szCs w:val="21"/>
              </w:rPr>
            </w:pPr>
            <w:r>
              <w:rPr>
                <w:rFonts w:hint="eastAsia"/>
                <w:szCs w:val="21"/>
              </w:rPr>
              <w:t>编号</w:t>
            </w:r>
          </w:p>
        </w:tc>
        <w:tc>
          <w:tcPr>
            <w:tcW w:w="1664" w:type="pct"/>
            <w:tcBorders>
              <w:top w:val="single" w:color="auto" w:sz="4" w:space="0"/>
              <w:left w:val="single" w:color="auto" w:sz="6" w:space="0"/>
              <w:bottom w:val="single" w:color="auto" w:sz="4" w:space="0"/>
              <w:right w:val="single" w:color="auto" w:sz="6" w:space="0"/>
            </w:tcBorders>
            <w:vAlign w:val="center"/>
          </w:tcPr>
          <w:p>
            <w:pPr>
              <w:snapToGrid w:val="0"/>
              <w:spacing w:line="240" w:lineRule="atLeast"/>
              <w:jc w:val="center"/>
              <w:rPr>
                <w:szCs w:val="21"/>
              </w:rPr>
            </w:pPr>
            <w:r>
              <w:rPr>
                <w:rFonts w:hint="eastAsia"/>
                <w:szCs w:val="21"/>
              </w:rPr>
              <w:t>监测点名称</w:t>
            </w:r>
          </w:p>
        </w:tc>
        <w:tc>
          <w:tcPr>
            <w:tcW w:w="1505" w:type="pct"/>
            <w:tcBorders>
              <w:top w:val="single" w:color="auto" w:sz="4" w:space="0"/>
              <w:left w:val="single" w:color="auto" w:sz="6" w:space="0"/>
              <w:bottom w:val="single" w:color="auto" w:sz="4" w:space="0"/>
              <w:right w:val="single" w:color="auto" w:sz="4" w:space="0"/>
            </w:tcBorders>
            <w:vAlign w:val="center"/>
          </w:tcPr>
          <w:p>
            <w:pPr>
              <w:snapToGrid w:val="0"/>
              <w:spacing w:line="240" w:lineRule="atLeast"/>
              <w:jc w:val="center"/>
              <w:rPr>
                <w:szCs w:val="21"/>
              </w:rPr>
            </w:pPr>
            <w:r>
              <w:rPr>
                <w:rFonts w:hint="eastAsia"/>
                <w:szCs w:val="21"/>
              </w:rPr>
              <w:t>监测项目</w:t>
            </w:r>
          </w:p>
        </w:tc>
        <w:tc>
          <w:tcPr>
            <w:tcW w:w="1454" w:type="pct"/>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rPr>
                <w:szCs w:val="21"/>
              </w:rPr>
            </w:pPr>
            <w:r>
              <w:rPr>
                <w:rFonts w:hint="eastAsia"/>
                <w:szCs w:val="21"/>
              </w:rPr>
              <w:t>监测时间及频次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tcBorders>
              <w:top w:val="single" w:color="auto" w:sz="6" w:space="0"/>
              <w:left w:val="single" w:color="auto" w:sz="4" w:space="0"/>
              <w:bottom w:val="single" w:color="auto" w:sz="6" w:space="0"/>
              <w:right w:val="single" w:color="auto" w:sz="6" w:space="0"/>
            </w:tcBorders>
            <w:vAlign w:val="center"/>
          </w:tcPr>
          <w:p>
            <w:pPr>
              <w:snapToGrid w:val="0"/>
              <w:spacing w:line="240" w:lineRule="atLeast"/>
              <w:jc w:val="center"/>
              <w:rPr>
                <w:szCs w:val="21"/>
                <w:vertAlign w:val="superscript"/>
              </w:rPr>
            </w:pPr>
            <w:r>
              <w:rPr>
                <w:szCs w:val="21"/>
              </w:rPr>
              <w:t>1</w:t>
            </w:r>
          </w:p>
        </w:tc>
        <w:tc>
          <w:tcPr>
            <w:tcW w:w="1664" w:type="pct"/>
            <w:tcBorders>
              <w:top w:val="single" w:color="auto" w:sz="6" w:space="0"/>
              <w:left w:val="single" w:color="auto" w:sz="6" w:space="0"/>
              <w:bottom w:val="single" w:color="auto" w:sz="6" w:space="0"/>
              <w:right w:val="single" w:color="auto" w:sz="6" w:space="0"/>
            </w:tcBorders>
            <w:vAlign w:val="center"/>
          </w:tcPr>
          <w:p>
            <w:pPr>
              <w:pStyle w:val="17"/>
              <w:snapToGrid/>
              <w:jc w:val="center"/>
              <w:rPr>
                <w:sz w:val="21"/>
                <w:szCs w:val="28"/>
              </w:rPr>
            </w:pPr>
            <w:r>
              <w:rPr>
                <w:rFonts w:hint="eastAsia"/>
                <w:bCs/>
                <w:sz w:val="21"/>
                <w:szCs w:val="28"/>
              </w:rPr>
              <w:t>建设项目占地范围内监测点</w:t>
            </w:r>
            <w:r>
              <w:rPr>
                <w:bCs/>
                <w:sz w:val="21"/>
                <w:szCs w:val="28"/>
              </w:rPr>
              <w:t>1#</w:t>
            </w:r>
          </w:p>
        </w:tc>
        <w:tc>
          <w:tcPr>
            <w:tcW w:w="1505" w:type="pct"/>
            <w:vMerge w:val="restart"/>
            <w:tcBorders>
              <w:top w:val="single" w:color="auto" w:sz="6" w:space="0"/>
              <w:left w:val="single" w:color="auto" w:sz="6" w:space="0"/>
              <w:bottom w:val="single" w:color="auto" w:sz="4" w:space="0"/>
              <w:right w:val="single" w:color="auto" w:sz="4" w:space="0"/>
            </w:tcBorders>
            <w:vAlign w:val="center"/>
          </w:tcPr>
          <w:p>
            <w:pPr>
              <w:snapToGrid w:val="0"/>
              <w:spacing w:line="240" w:lineRule="atLeast"/>
              <w:jc w:val="center"/>
              <w:rPr>
                <w:szCs w:val="21"/>
              </w:rPr>
            </w:pPr>
            <w:r>
              <w:rPr>
                <w:rFonts w:hint="eastAsia"/>
                <w:bCs/>
                <w:szCs w:val="28"/>
              </w:rPr>
              <w:t>《土壤环境质量</w:t>
            </w:r>
            <w:r>
              <w:rPr>
                <w:bCs/>
                <w:szCs w:val="28"/>
              </w:rPr>
              <w:t xml:space="preserve"> </w:t>
            </w:r>
            <w:r>
              <w:rPr>
                <w:rFonts w:hint="eastAsia"/>
                <w:bCs/>
                <w:szCs w:val="28"/>
              </w:rPr>
              <w:t>建设用地土壤污染风险管控标准》（</w:t>
            </w:r>
            <w:r>
              <w:rPr>
                <w:bCs/>
                <w:szCs w:val="28"/>
              </w:rPr>
              <w:t>GB36600-2018</w:t>
            </w:r>
            <w:r>
              <w:rPr>
                <w:rFonts w:hint="eastAsia"/>
                <w:bCs/>
                <w:szCs w:val="28"/>
              </w:rPr>
              <w:t>）中</w:t>
            </w:r>
            <w:r>
              <w:rPr>
                <w:bCs/>
                <w:szCs w:val="28"/>
              </w:rPr>
              <w:t>45</w:t>
            </w:r>
            <w:r>
              <w:rPr>
                <w:rFonts w:hint="eastAsia"/>
                <w:bCs/>
                <w:szCs w:val="28"/>
              </w:rPr>
              <w:t>项基本因子</w:t>
            </w:r>
          </w:p>
        </w:tc>
        <w:tc>
          <w:tcPr>
            <w:tcW w:w="1454" w:type="pct"/>
            <w:vMerge w:val="restart"/>
            <w:tcBorders>
              <w:top w:val="single" w:color="auto" w:sz="6" w:space="0"/>
              <w:left w:val="single" w:color="auto" w:sz="4" w:space="0"/>
              <w:bottom w:val="single" w:color="auto" w:sz="4" w:space="0"/>
              <w:right w:val="single" w:color="auto" w:sz="4" w:space="0"/>
            </w:tcBorders>
            <w:vAlign w:val="center"/>
          </w:tcPr>
          <w:p>
            <w:pPr>
              <w:snapToGrid w:val="0"/>
              <w:spacing w:line="240" w:lineRule="atLeast"/>
              <w:jc w:val="center"/>
              <w:rPr>
                <w:szCs w:val="21"/>
              </w:rPr>
            </w:pPr>
            <w:r>
              <w:rPr>
                <w:szCs w:val="21"/>
              </w:rPr>
              <w:t>201</w:t>
            </w:r>
            <w:r>
              <w:rPr>
                <w:rFonts w:hint="eastAsia"/>
                <w:szCs w:val="21"/>
              </w:rPr>
              <w:t>9年6月25日；监测一次，每天一次；取</w:t>
            </w:r>
            <w:r>
              <w:rPr>
                <w:rFonts w:hint="eastAsia"/>
                <w:bCs/>
                <w:szCs w:val="21"/>
              </w:rPr>
              <w:t>土壤表层样监测点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tcBorders>
              <w:top w:val="single" w:color="auto" w:sz="6" w:space="0"/>
              <w:left w:val="single" w:color="auto" w:sz="4" w:space="0"/>
              <w:bottom w:val="single" w:color="auto" w:sz="6" w:space="0"/>
              <w:right w:val="single" w:color="auto" w:sz="6" w:space="0"/>
            </w:tcBorders>
            <w:vAlign w:val="center"/>
          </w:tcPr>
          <w:p>
            <w:pPr>
              <w:snapToGrid w:val="0"/>
              <w:spacing w:line="240" w:lineRule="atLeast"/>
              <w:jc w:val="center"/>
              <w:rPr>
                <w:szCs w:val="21"/>
              </w:rPr>
            </w:pPr>
            <w:r>
              <w:rPr>
                <w:szCs w:val="21"/>
              </w:rPr>
              <w:t>2</w:t>
            </w:r>
          </w:p>
        </w:tc>
        <w:tc>
          <w:tcPr>
            <w:tcW w:w="1664" w:type="pct"/>
            <w:tcBorders>
              <w:top w:val="single" w:color="auto" w:sz="6" w:space="0"/>
              <w:left w:val="single" w:color="auto" w:sz="6" w:space="0"/>
              <w:bottom w:val="single" w:color="auto" w:sz="6" w:space="0"/>
              <w:right w:val="single" w:color="auto" w:sz="6" w:space="0"/>
            </w:tcBorders>
            <w:vAlign w:val="center"/>
          </w:tcPr>
          <w:p>
            <w:pPr>
              <w:pStyle w:val="17"/>
              <w:snapToGrid/>
              <w:jc w:val="center"/>
              <w:rPr>
                <w:sz w:val="21"/>
                <w:szCs w:val="28"/>
              </w:rPr>
            </w:pPr>
            <w:r>
              <w:rPr>
                <w:rFonts w:hint="eastAsia"/>
                <w:bCs/>
                <w:sz w:val="21"/>
                <w:szCs w:val="28"/>
              </w:rPr>
              <w:t>建设项目占地范围内监测点</w:t>
            </w:r>
            <w:r>
              <w:rPr>
                <w:bCs/>
                <w:sz w:val="21"/>
                <w:szCs w:val="28"/>
              </w:rPr>
              <w:t>2#</w:t>
            </w:r>
          </w:p>
        </w:tc>
        <w:tc>
          <w:tcPr>
            <w:tcW w:w="1505" w:type="pct"/>
            <w:vMerge w:val="continue"/>
            <w:tcBorders>
              <w:top w:val="single" w:color="auto" w:sz="6" w:space="0"/>
              <w:left w:val="single" w:color="auto" w:sz="6" w:space="0"/>
              <w:bottom w:val="single" w:color="auto" w:sz="4" w:space="0"/>
              <w:right w:val="single" w:color="auto" w:sz="4" w:space="0"/>
            </w:tcBorders>
            <w:vAlign w:val="center"/>
          </w:tcPr>
          <w:p>
            <w:pPr>
              <w:widowControl/>
              <w:jc w:val="left"/>
              <w:rPr>
                <w:szCs w:val="21"/>
              </w:rPr>
            </w:pPr>
          </w:p>
        </w:tc>
        <w:tc>
          <w:tcPr>
            <w:tcW w:w="1454" w:type="pct"/>
            <w:vMerge w:val="continue"/>
            <w:tcBorders>
              <w:top w:val="single" w:color="auto" w:sz="6"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tcBorders>
              <w:top w:val="single" w:color="auto" w:sz="6" w:space="0"/>
              <w:left w:val="single" w:color="auto" w:sz="4" w:space="0"/>
              <w:bottom w:val="single" w:color="auto" w:sz="4" w:space="0"/>
              <w:right w:val="single" w:color="auto" w:sz="6" w:space="0"/>
            </w:tcBorders>
            <w:vAlign w:val="center"/>
          </w:tcPr>
          <w:p>
            <w:pPr>
              <w:snapToGrid w:val="0"/>
              <w:spacing w:line="240" w:lineRule="atLeast"/>
              <w:jc w:val="center"/>
              <w:rPr>
                <w:szCs w:val="21"/>
              </w:rPr>
            </w:pPr>
            <w:r>
              <w:rPr>
                <w:szCs w:val="21"/>
              </w:rPr>
              <w:t>3</w:t>
            </w:r>
          </w:p>
        </w:tc>
        <w:tc>
          <w:tcPr>
            <w:tcW w:w="1664" w:type="pct"/>
            <w:tcBorders>
              <w:top w:val="single" w:color="auto" w:sz="6" w:space="0"/>
              <w:left w:val="single" w:color="auto" w:sz="6" w:space="0"/>
              <w:bottom w:val="single" w:color="auto" w:sz="4" w:space="0"/>
              <w:right w:val="single" w:color="auto" w:sz="6" w:space="0"/>
            </w:tcBorders>
            <w:vAlign w:val="center"/>
          </w:tcPr>
          <w:p>
            <w:pPr>
              <w:pStyle w:val="17"/>
              <w:snapToGrid/>
              <w:jc w:val="center"/>
              <w:rPr>
                <w:sz w:val="21"/>
                <w:szCs w:val="28"/>
              </w:rPr>
            </w:pPr>
            <w:r>
              <w:rPr>
                <w:rFonts w:hint="eastAsia"/>
                <w:bCs/>
                <w:sz w:val="21"/>
                <w:szCs w:val="28"/>
              </w:rPr>
              <w:t>建设项目占地范围内监测点</w:t>
            </w:r>
            <w:r>
              <w:rPr>
                <w:bCs/>
                <w:sz w:val="21"/>
                <w:szCs w:val="28"/>
              </w:rPr>
              <w:t>3#</w:t>
            </w:r>
          </w:p>
        </w:tc>
        <w:tc>
          <w:tcPr>
            <w:tcW w:w="1505" w:type="pct"/>
            <w:vMerge w:val="continue"/>
            <w:tcBorders>
              <w:top w:val="single" w:color="auto" w:sz="6" w:space="0"/>
              <w:left w:val="single" w:color="auto" w:sz="6" w:space="0"/>
              <w:bottom w:val="single" w:color="auto" w:sz="4" w:space="0"/>
              <w:right w:val="single" w:color="auto" w:sz="4" w:space="0"/>
            </w:tcBorders>
            <w:vAlign w:val="center"/>
          </w:tcPr>
          <w:p>
            <w:pPr>
              <w:widowControl/>
              <w:jc w:val="left"/>
              <w:rPr>
                <w:szCs w:val="21"/>
              </w:rPr>
            </w:pPr>
          </w:p>
        </w:tc>
        <w:tc>
          <w:tcPr>
            <w:tcW w:w="1454" w:type="pct"/>
            <w:vMerge w:val="continue"/>
            <w:tcBorders>
              <w:top w:val="single" w:color="auto" w:sz="6" w:space="0"/>
              <w:left w:val="single" w:color="auto" w:sz="4" w:space="0"/>
              <w:bottom w:val="single" w:color="auto" w:sz="4" w:space="0"/>
              <w:right w:val="single" w:color="auto" w:sz="4" w:space="0"/>
            </w:tcBorders>
            <w:vAlign w:val="center"/>
          </w:tcPr>
          <w:p>
            <w:pPr>
              <w:widowControl/>
              <w:jc w:val="left"/>
              <w:rPr>
                <w:szCs w:val="21"/>
              </w:rPr>
            </w:pPr>
          </w:p>
        </w:tc>
      </w:tr>
    </w:tbl>
    <w:p>
      <w:pPr>
        <w:pStyle w:val="57"/>
        <w:spacing w:before="0" w:after="0" w:line="480" w:lineRule="exact"/>
        <w:ind w:firstLine="0" w:firstLineChars="0"/>
        <w:jc w:val="center"/>
        <w:rPr>
          <w:b/>
        </w:rPr>
      </w:pPr>
      <w:r>
        <w:rPr>
          <w:rFonts w:hint="eastAsia" w:ascii="黑体" w:hAnsi="黑体" w:eastAsia="黑体"/>
        </w:rPr>
        <w:t>表4.3-17  土壤因子分析方法</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83"/>
        <w:gridCol w:w="1580"/>
        <w:gridCol w:w="67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序号</w:t>
            </w:r>
          </w:p>
        </w:tc>
        <w:tc>
          <w:tcPr>
            <w:tcW w:w="87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指标</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标准依据及监测方法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1</w:t>
            </w:r>
          </w:p>
        </w:tc>
        <w:tc>
          <w:tcPr>
            <w:tcW w:w="87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干物质</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 xml:space="preserve">HJ 613-2011 </w:t>
            </w:r>
            <w:r>
              <w:rPr>
                <w:rFonts w:hint="eastAsia"/>
                <w:sz w:val="21"/>
                <w:szCs w:val="21"/>
              </w:rPr>
              <w:t>土壤</w:t>
            </w:r>
            <w:r>
              <w:rPr>
                <w:sz w:val="21"/>
                <w:szCs w:val="21"/>
              </w:rPr>
              <w:t xml:space="preserve"> </w:t>
            </w:r>
            <w:r>
              <w:rPr>
                <w:rFonts w:hint="eastAsia"/>
                <w:sz w:val="21"/>
                <w:szCs w:val="21"/>
              </w:rPr>
              <w:t>干物质和水分的测定</w:t>
            </w:r>
            <w:r>
              <w:rPr>
                <w:sz w:val="21"/>
                <w:szCs w:val="21"/>
              </w:rPr>
              <w:t xml:space="preserve"> </w:t>
            </w:r>
            <w:r>
              <w:rPr>
                <w:rFonts w:hint="eastAsia"/>
                <w:sz w:val="21"/>
                <w:szCs w:val="21"/>
              </w:rPr>
              <w:t>重量法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2</w:t>
            </w:r>
          </w:p>
        </w:tc>
        <w:tc>
          <w:tcPr>
            <w:tcW w:w="87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pH</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 xml:space="preserve">NY/T1377-2007 </w:t>
            </w:r>
            <w:r>
              <w:rPr>
                <w:rFonts w:hint="eastAsia"/>
                <w:sz w:val="21"/>
                <w:szCs w:val="21"/>
              </w:rPr>
              <w:t>土壤</w:t>
            </w:r>
            <w:r>
              <w:rPr>
                <w:sz w:val="21"/>
                <w:szCs w:val="21"/>
              </w:rPr>
              <w:t>pH</w:t>
            </w:r>
            <w:r>
              <w:rPr>
                <w:rFonts w:hint="eastAsia"/>
                <w:sz w:val="21"/>
                <w:szCs w:val="21"/>
              </w:rPr>
              <w:t>的测定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3</w:t>
            </w:r>
          </w:p>
        </w:tc>
        <w:tc>
          <w:tcPr>
            <w:tcW w:w="87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六价铬</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napToGrid/>
              <w:spacing w:before="0" w:after="0" w:line="240" w:lineRule="auto"/>
              <w:ind w:firstLine="0" w:firstLineChars="0"/>
              <w:jc w:val="center"/>
              <w:rPr>
                <w:sz w:val="21"/>
                <w:szCs w:val="21"/>
              </w:rPr>
            </w:pPr>
            <w:r>
              <w:rPr>
                <w:rFonts w:hint="eastAsia"/>
                <w:sz w:val="21"/>
                <w:szCs w:val="21"/>
              </w:rPr>
              <w:t>USEPA 3060A-1996&amp; USEPA 7196A-1992六价铬的碱性消解 土壤中六价铬的碱消解分光光度法 美国环保局标准分析方法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4</w:t>
            </w:r>
          </w:p>
        </w:tc>
        <w:tc>
          <w:tcPr>
            <w:tcW w:w="87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铜</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 xml:space="preserve">GB/T17138-1997 </w:t>
            </w:r>
            <w:r>
              <w:rPr>
                <w:rFonts w:hint="eastAsia"/>
                <w:sz w:val="21"/>
                <w:szCs w:val="21"/>
              </w:rPr>
              <w:t>土壤质量铜、锌的测定</w:t>
            </w:r>
            <w:r>
              <w:rPr>
                <w:sz w:val="21"/>
                <w:szCs w:val="21"/>
              </w:rPr>
              <w:t xml:space="preserve"> </w:t>
            </w:r>
            <w:r>
              <w:rPr>
                <w:rFonts w:hint="eastAsia"/>
                <w:sz w:val="21"/>
                <w:szCs w:val="21"/>
              </w:rPr>
              <w:t>火焰原子吸收分光光度法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5</w:t>
            </w:r>
          </w:p>
        </w:tc>
        <w:tc>
          <w:tcPr>
            <w:tcW w:w="87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镍</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 xml:space="preserve">GB/T17139-1997 </w:t>
            </w:r>
            <w:r>
              <w:rPr>
                <w:rFonts w:hint="eastAsia"/>
                <w:sz w:val="21"/>
                <w:szCs w:val="21"/>
              </w:rPr>
              <w:t>土壤质量镍的测定</w:t>
            </w:r>
            <w:r>
              <w:rPr>
                <w:sz w:val="21"/>
                <w:szCs w:val="21"/>
              </w:rPr>
              <w:t xml:space="preserve"> </w:t>
            </w:r>
            <w:r>
              <w:rPr>
                <w:rFonts w:hint="eastAsia"/>
                <w:sz w:val="21"/>
                <w:szCs w:val="21"/>
              </w:rPr>
              <w:t>火焰原子吸收分光光度法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6</w:t>
            </w:r>
          </w:p>
        </w:tc>
        <w:tc>
          <w:tcPr>
            <w:tcW w:w="87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镉</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 xml:space="preserve">GB/T17141-1997 </w:t>
            </w:r>
            <w:r>
              <w:rPr>
                <w:rFonts w:hint="eastAsia"/>
                <w:sz w:val="21"/>
                <w:szCs w:val="21"/>
              </w:rPr>
              <w:t>土壤质量铅、镉的测定</w:t>
            </w:r>
            <w:r>
              <w:rPr>
                <w:sz w:val="21"/>
                <w:szCs w:val="21"/>
              </w:rPr>
              <w:t xml:space="preserve"> </w:t>
            </w:r>
            <w:r>
              <w:rPr>
                <w:rFonts w:hint="eastAsia"/>
                <w:sz w:val="21"/>
                <w:szCs w:val="21"/>
              </w:rPr>
              <w:t>石墨炉原子吸收分光光度法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7</w:t>
            </w:r>
          </w:p>
        </w:tc>
        <w:tc>
          <w:tcPr>
            <w:tcW w:w="87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铅</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 xml:space="preserve">GB/T17141-1997 </w:t>
            </w:r>
            <w:r>
              <w:rPr>
                <w:rFonts w:hint="eastAsia"/>
                <w:sz w:val="21"/>
                <w:szCs w:val="21"/>
              </w:rPr>
              <w:t>土壤质量铅、镉的测定</w:t>
            </w:r>
            <w:r>
              <w:rPr>
                <w:sz w:val="21"/>
                <w:szCs w:val="21"/>
              </w:rPr>
              <w:t xml:space="preserve"> </w:t>
            </w:r>
            <w:r>
              <w:rPr>
                <w:rFonts w:hint="eastAsia"/>
                <w:sz w:val="21"/>
                <w:szCs w:val="21"/>
              </w:rPr>
              <w:t>石墨炉原子吸收分光光度法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8</w:t>
            </w:r>
          </w:p>
        </w:tc>
        <w:tc>
          <w:tcPr>
            <w:tcW w:w="87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挥发性有机物</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sz w:val="21"/>
                <w:szCs w:val="21"/>
              </w:rPr>
              <w:t>HJ 605-2011</w:t>
            </w:r>
            <w:r>
              <w:rPr>
                <w:rFonts w:hint="eastAsia"/>
                <w:sz w:val="21"/>
                <w:szCs w:val="21"/>
              </w:rPr>
              <w:t>土壤和沉积物</w:t>
            </w:r>
            <w:r>
              <w:rPr>
                <w:sz w:val="21"/>
                <w:szCs w:val="21"/>
              </w:rPr>
              <w:t xml:space="preserve"> </w:t>
            </w:r>
            <w:r>
              <w:rPr>
                <w:rFonts w:hint="eastAsia"/>
                <w:sz w:val="21"/>
                <w:szCs w:val="21"/>
              </w:rPr>
              <w:t>挥发性有机物的测定</w:t>
            </w:r>
            <w:r>
              <w:rPr>
                <w:sz w:val="21"/>
                <w:szCs w:val="21"/>
              </w:rPr>
              <w:t xml:space="preserve"> </w:t>
            </w:r>
            <w:r>
              <w:rPr>
                <w:rFonts w:hint="eastAsia"/>
                <w:sz w:val="21"/>
                <w:szCs w:val="21"/>
              </w:rPr>
              <w:t>吹扫捕集</w:t>
            </w:r>
            <w:r>
              <w:rPr>
                <w:sz w:val="21"/>
                <w:szCs w:val="21"/>
              </w:rPr>
              <w:t>/</w:t>
            </w:r>
            <w:r>
              <w:rPr>
                <w:rFonts w:hint="eastAsia"/>
                <w:sz w:val="21"/>
                <w:szCs w:val="21"/>
              </w:rPr>
              <w:t>气相色谱</w:t>
            </w:r>
            <w:r>
              <w:rPr>
                <w:sz w:val="21"/>
                <w:szCs w:val="21"/>
              </w:rPr>
              <w:t>-</w:t>
            </w:r>
            <w:r>
              <w:rPr>
                <w:rFonts w:hint="eastAsia"/>
                <w:sz w:val="21"/>
                <w:szCs w:val="21"/>
              </w:rPr>
              <w:t>质谱法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restart"/>
            <w:tcBorders>
              <w:top w:val="single" w:color="000000" w:themeColor="text1" w:sz="4" w:space="0"/>
              <w:left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9</w:t>
            </w:r>
          </w:p>
        </w:tc>
        <w:tc>
          <w:tcPr>
            <w:tcW w:w="872" w:type="pct"/>
            <w:vMerge w:val="restart"/>
            <w:tcBorders>
              <w:top w:val="single" w:color="000000" w:themeColor="text1" w:sz="4" w:space="0"/>
              <w:left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半挥发性有机物</w:t>
            </w: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USEPA 3545A-2007&amp;USEPA 8270E-2018半挥发性有机物 气相色谱/质谱法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tcBorders>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p>
        </w:tc>
        <w:tc>
          <w:tcPr>
            <w:tcW w:w="872" w:type="pct"/>
            <w:vMerge w:val="continue"/>
            <w:tcBorders>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p>
        </w:tc>
        <w:tc>
          <w:tcPr>
            <w:tcW w:w="375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57"/>
              <w:spacing w:before="0" w:after="0" w:line="240" w:lineRule="auto"/>
              <w:ind w:firstLine="0" w:firstLineChars="0"/>
              <w:jc w:val="center"/>
              <w:rPr>
                <w:sz w:val="21"/>
                <w:szCs w:val="21"/>
              </w:rPr>
            </w:pPr>
            <w:r>
              <w:rPr>
                <w:rFonts w:hint="eastAsia"/>
                <w:sz w:val="21"/>
                <w:szCs w:val="21"/>
              </w:rPr>
              <w:t>HJ 834-2017土壤和沉积物 半挥发性有机物的测定 气相色谱-质谱法</w:t>
            </w:r>
          </w:p>
        </w:tc>
      </w:tr>
    </w:tbl>
    <w:p>
      <w:pPr>
        <w:jc w:val="center"/>
        <w:rPr>
          <w:rFonts w:ascii="黑体" w:hAnsi="黑体" w:eastAsia="黑体"/>
          <w:sz w:val="24"/>
          <w:szCs w:val="21"/>
        </w:rPr>
      </w:pPr>
      <w:r>
        <w:rPr>
          <w:rFonts w:ascii="黑体" w:hAnsi="黑体" w:eastAsia="黑体"/>
          <w:sz w:val="24"/>
          <w:szCs w:val="21"/>
        </w:rPr>
        <w:drawing>
          <wp:inline distT="0" distB="0" distL="0" distR="0">
            <wp:extent cx="4162425" cy="3743325"/>
            <wp:effectExtent l="19050" t="0" r="9525"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noChangeArrowheads="1"/>
                    </pic:cNvPicPr>
                  </pic:nvPicPr>
                  <pic:blipFill>
                    <a:blip r:embed="rId29"/>
                    <a:srcRect/>
                    <a:stretch>
                      <a:fillRect/>
                    </a:stretch>
                  </pic:blipFill>
                  <pic:spPr>
                    <a:xfrm>
                      <a:off x="0" y="0"/>
                      <a:ext cx="4162425" cy="3743325"/>
                    </a:xfrm>
                    <a:prstGeom prst="rect">
                      <a:avLst/>
                    </a:prstGeom>
                    <a:noFill/>
                    <a:ln w="9525">
                      <a:noFill/>
                      <a:miter lim="800000"/>
                      <a:headEnd/>
                      <a:tailEnd/>
                    </a:ln>
                  </pic:spPr>
                </pic:pic>
              </a:graphicData>
            </a:graphic>
          </wp:inline>
        </w:drawing>
      </w:r>
    </w:p>
    <w:p>
      <w:pPr>
        <w:spacing w:line="480" w:lineRule="exact"/>
        <w:jc w:val="center"/>
        <w:rPr>
          <w:rFonts w:ascii="黑体" w:hAnsi="黑体" w:eastAsia="黑体"/>
          <w:sz w:val="24"/>
          <w:szCs w:val="21"/>
        </w:rPr>
      </w:pPr>
      <w:r>
        <w:rPr>
          <w:rFonts w:hint="eastAsia" w:ascii="黑体" w:hAnsi="黑体" w:eastAsia="黑体"/>
          <w:kern w:val="0"/>
          <w:sz w:val="24"/>
          <w:szCs w:val="21"/>
        </w:rPr>
        <w:t>图4.3-3  土壤环境质量现状监测布点图</w:t>
      </w:r>
    </w:p>
    <w:p>
      <w:pPr>
        <w:pStyle w:val="57"/>
        <w:keepNext/>
        <w:keepLines/>
        <w:spacing w:before="0" w:after="0" w:line="480" w:lineRule="exact"/>
        <w:ind w:firstLine="0" w:firstLineChars="0"/>
        <w:outlineLvl w:val="3"/>
        <w:rPr>
          <w:b/>
        </w:rPr>
      </w:pPr>
      <w:r>
        <w:rPr>
          <w:b/>
        </w:rPr>
        <w:t>4.3.5.2</w:t>
      </w:r>
      <w:r>
        <w:rPr>
          <w:rFonts w:hint="eastAsia" w:ascii="宋体" w:hAnsi="宋体"/>
          <w:b/>
        </w:rPr>
        <w:t>评价标准</w:t>
      </w:r>
    </w:p>
    <w:p>
      <w:pPr>
        <w:pStyle w:val="6"/>
        <w:spacing w:line="480" w:lineRule="exact"/>
        <w:ind w:firstLine="482"/>
        <w:rPr>
          <w:sz w:val="24"/>
        </w:rPr>
      </w:pPr>
      <w:r>
        <w:rPr>
          <w:rFonts w:hint="eastAsia"/>
          <w:sz w:val="24"/>
        </w:rPr>
        <w:t>根据《中华人民共和国国家标准</w:t>
      </w:r>
      <w:r>
        <w:rPr>
          <w:sz w:val="24"/>
        </w:rPr>
        <w:t xml:space="preserve"> </w:t>
      </w:r>
      <w:r>
        <w:rPr>
          <w:rFonts w:hint="eastAsia"/>
          <w:sz w:val="24"/>
        </w:rPr>
        <w:t>城乡用地分类与规划建设用地标准》（</w:t>
      </w:r>
      <w:r>
        <w:rPr>
          <w:sz w:val="24"/>
        </w:rPr>
        <w:t>GB50137</w:t>
      </w:r>
      <w:r>
        <w:rPr>
          <w:rFonts w:hint="eastAsia"/>
          <w:sz w:val="24"/>
        </w:rPr>
        <w:t>）中建设用地分类，本项目建设用地为镇建设用地</w:t>
      </w:r>
      <w:r>
        <w:rPr>
          <w:sz w:val="24"/>
        </w:rPr>
        <w:t>B</w:t>
      </w:r>
      <w:r>
        <w:rPr>
          <w:rFonts w:hint="eastAsia"/>
          <w:sz w:val="24"/>
        </w:rPr>
        <w:t>类商业服务业设施用地中</w:t>
      </w:r>
      <w:r>
        <w:rPr>
          <w:sz w:val="24"/>
        </w:rPr>
        <w:t>B2</w:t>
      </w:r>
      <w:r>
        <w:rPr>
          <w:rFonts w:hint="eastAsia"/>
          <w:sz w:val="24"/>
        </w:rPr>
        <w:t>类公用设施营业网点用地。根据《土壤环境质量</w:t>
      </w:r>
      <w:r>
        <w:rPr>
          <w:sz w:val="24"/>
        </w:rPr>
        <w:t xml:space="preserve"> </w:t>
      </w:r>
      <w:r>
        <w:rPr>
          <w:rFonts w:hint="eastAsia"/>
          <w:sz w:val="24"/>
        </w:rPr>
        <w:t>建设用地土壤污染风险管控标准》（试行）中建设用地分类，本项目属于第二类用地，执行第二类用地建设用地土壤污染风险筛选值和管制值。第二类用地建设用地土壤污染风险筛选值和管制值标准值见下表4.3-18。</w:t>
      </w:r>
    </w:p>
    <w:p>
      <w:pPr>
        <w:adjustRightInd w:val="0"/>
        <w:snapToGrid w:val="0"/>
        <w:spacing w:line="480" w:lineRule="exact"/>
        <w:jc w:val="center"/>
        <w:rPr>
          <w:b/>
          <w:bCs/>
          <w:color w:val="000000"/>
          <w:szCs w:val="21"/>
        </w:rPr>
      </w:pPr>
    </w:p>
    <w:p>
      <w:pPr>
        <w:adjustRightInd w:val="0"/>
        <w:snapToGrid w:val="0"/>
        <w:spacing w:line="480" w:lineRule="exact"/>
        <w:jc w:val="center"/>
        <w:rPr>
          <w:b/>
          <w:bCs/>
          <w:color w:val="000000"/>
          <w:szCs w:val="21"/>
        </w:rPr>
      </w:pPr>
    </w:p>
    <w:p>
      <w:pPr>
        <w:adjustRightInd w:val="0"/>
        <w:snapToGrid w:val="0"/>
        <w:spacing w:line="480" w:lineRule="exact"/>
        <w:jc w:val="center"/>
        <w:rPr>
          <w:rFonts w:ascii="黑体" w:hAnsi="黑体" w:eastAsia="黑体"/>
          <w:color w:val="000000"/>
          <w:sz w:val="24"/>
          <w:szCs w:val="21"/>
        </w:rPr>
      </w:pPr>
      <w:r>
        <w:rPr>
          <w:rFonts w:hint="eastAsia" w:ascii="黑体" w:hAnsi="黑体" w:eastAsia="黑体"/>
          <w:bCs/>
          <w:color w:val="000000"/>
          <w:sz w:val="24"/>
          <w:szCs w:val="21"/>
        </w:rPr>
        <w:t>表</w:t>
      </w:r>
      <w:r>
        <w:rPr>
          <w:rFonts w:ascii="黑体" w:hAnsi="黑体" w:eastAsia="黑体"/>
          <w:bCs/>
          <w:color w:val="000000"/>
          <w:sz w:val="24"/>
          <w:szCs w:val="21"/>
        </w:rPr>
        <w:t>4</w:t>
      </w:r>
      <w:r>
        <w:rPr>
          <w:rFonts w:hint="eastAsia" w:ascii="黑体" w:hAnsi="黑体" w:eastAsia="黑体"/>
          <w:bCs/>
          <w:color w:val="000000"/>
          <w:sz w:val="24"/>
          <w:szCs w:val="21"/>
        </w:rPr>
        <w:t>.3-18</w:t>
      </w:r>
      <w:r>
        <w:rPr>
          <w:rFonts w:ascii="黑体" w:hAnsi="黑体" w:eastAsia="黑体"/>
          <w:bCs/>
          <w:color w:val="000000"/>
          <w:sz w:val="24"/>
          <w:szCs w:val="21"/>
        </w:rPr>
        <w:t xml:space="preserve"> </w:t>
      </w:r>
      <w:r>
        <w:rPr>
          <w:rFonts w:hint="eastAsia" w:ascii="黑体" w:hAnsi="黑体" w:eastAsia="黑体"/>
          <w:bCs/>
          <w:color w:val="000000"/>
          <w:sz w:val="24"/>
          <w:szCs w:val="21"/>
        </w:rPr>
        <w:t xml:space="preserve"> 土壤环境质量标准</w:t>
      </w:r>
      <w:r>
        <w:rPr>
          <w:rFonts w:ascii="黑体" w:hAnsi="黑体" w:eastAsia="黑体"/>
          <w:color w:val="000000"/>
          <w:sz w:val="24"/>
          <w:szCs w:val="21"/>
        </w:rPr>
        <w:t xml:space="preserve">  </w:t>
      </w:r>
      <w:r>
        <w:rPr>
          <w:rFonts w:hint="eastAsia" w:ascii="黑体" w:hAnsi="黑体" w:eastAsia="黑体"/>
          <w:bCs/>
          <w:color w:val="000000"/>
          <w:sz w:val="24"/>
          <w:szCs w:val="21"/>
        </w:rPr>
        <w:t>单位：</w:t>
      </w:r>
      <w:r>
        <w:rPr>
          <w:rFonts w:ascii="黑体" w:hAnsi="黑体" w:eastAsia="黑体"/>
          <w:bCs/>
          <w:color w:val="000000"/>
          <w:sz w:val="24"/>
          <w:szCs w:val="21"/>
        </w:rPr>
        <w:t>mg/kg</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982"/>
        <w:gridCol w:w="959"/>
        <w:gridCol w:w="959"/>
        <w:gridCol w:w="504"/>
        <w:gridCol w:w="2241"/>
        <w:gridCol w:w="975"/>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序号</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污染物项目</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筛选值</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管制值</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序号</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污染物项目</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筛选值</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140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24</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1,2,3-</w:t>
            </w:r>
            <w:r>
              <w:rPr>
                <w:rFonts w:hint="eastAsia"/>
              </w:rPr>
              <w:t>三氯丙烷</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0.5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镉</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65</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172</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25</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氯乙烯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0.43</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铬（六价）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5.7</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78</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26</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铜</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18000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36000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27</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270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铅</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800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2500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r>
              <w:rPr>
                <w:rFonts w:hint="eastAsia"/>
              </w:rPr>
              <w:t>二氯苯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560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汞</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82</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29</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1,4-</w:t>
            </w:r>
            <w:r>
              <w:rPr>
                <w:rFonts w:hint="eastAsia"/>
              </w:rPr>
              <w:t>二氯苯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镍</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900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30</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乙苯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四氯化碳</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36</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31</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苯乙烯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9</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氯仿</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0.9</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32</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甲苯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1200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氯甲烷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37</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33</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间二甲苯</w:t>
            </w:r>
            <w:r>
              <w:t>+</w:t>
            </w:r>
            <w:r>
              <w:rPr>
                <w:rFonts w:hint="eastAsia"/>
              </w:rPr>
              <w:t>对二甲苯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570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w:t>
            </w:r>
            <w:r>
              <w:rPr>
                <w:rFonts w:hint="eastAsia"/>
              </w:rPr>
              <w:t>二氯乙烷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9</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34</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邻二甲苯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640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r>
              <w:rPr>
                <w:rFonts w:hint="eastAsia"/>
              </w:rPr>
              <w:t>二氯乙烷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21</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35</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硝基苯</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76</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13</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w:t>
            </w:r>
            <w:r>
              <w:rPr>
                <w:rFonts w:hint="eastAsia"/>
              </w:rPr>
              <w:t>二氯乙烯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66</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36</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苯胺</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260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14</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顺</w:t>
            </w:r>
            <w:r>
              <w:t>-1,2-</w:t>
            </w:r>
            <w:r>
              <w:rPr>
                <w:rFonts w:hint="eastAsia"/>
              </w:rPr>
              <w:t>二氯乙烯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596</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37</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w:t>
            </w:r>
            <w:r>
              <w:rPr>
                <w:rFonts w:hint="eastAsia"/>
              </w:rPr>
              <w:t>氯酚</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2256</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反</w:t>
            </w:r>
            <w:r>
              <w:t>-1,2-</w:t>
            </w:r>
            <w:r>
              <w:rPr>
                <w:rFonts w:hint="eastAsia"/>
              </w:rPr>
              <w:t>二氯乙烯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54</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163</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38</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[a]</w:t>
            </w:r>
            <w:r>
              <w:rPr>
                <w:rFonts w:hint="eastAsia"/>
              </w:rPr>
              <w:t>蒽</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16</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二氯甲烷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616</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39</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[a]</w:t>
            </w:r>
            <w:r>
              <w:rPr>
                <w:rFonts w:hint="eastAsia"/>
              </w:rPr>
              <w:t>芘</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17</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r>
              <w:rPr>
                <w:rFonts w:hint="eastAsia"/>
              </w:rPr>
              <w:t>二氯丙烷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47</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40</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[b]</w:t>
            </w:r>
            <w:r>
              <w:rPr>
                <w:rFonts w:hint="eastAsia"/>
              </w:rPr>
              <w:t>荧蒽</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18</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1,1,1,2-</w:t>
            </w:r>
            <w:r>
              <w:rPr>
                <w:rFonts w:hint="eastAsia"/>
              </w:rPr>
              <w:t>四氯乙烷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41</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[k]</w:t>
            </w:r>
            <w:r>
              <w:rPr>
                <w:rFonts w:hint="eastAsia"/>
              </w:rPr>
              <w:t>荧蒽</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19</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1,1,2,2-</w:t>
            </w:r>
            <w:r>
              <w:rPr>
                <w:rFonts w:hint="eastAsia"/>
              </w:rPr>
              <w:t>四氯乙烷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42</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1"/>
              </w:rPr>
              <w:t>䓛</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1293</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四氯乙烯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53</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183</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43</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二苯并</w:t>
            </w:r>
            <w:r>
              <w:t>[a,h]</w:t>
            </w:r>
            <w:r>
              <w:rPr>
                <w:rFonts w:hint="eastAsia"/>
              </w:rPr>
              <w:t>蒽</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21</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1,1,1-</w:t>
            </w:r>
            <w:r>
              <w:rPr>
                <w:rFonts w:hint="eastAsia"/>
              </w:rPr>
              <w:t>三氯乙烷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840</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840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44</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茚并</w:t>
            </w:r>
            <w:r>
              <w:t>[1,2,3-cd]</w:t>
            </w:r>
            <w:r>
              <w:rPr>
                <w:rFonts w:hint="eastAsia"/>
                <w:szCs w:val="21"/>
              </w:rPr>
              <w:t>芘</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22</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1,1,2-</w:t>
            </w:r>
            <w:r>
              <w:rPr>
                <w:rFonts w:hint="eastAsia"/>
              </w:rPr>
              <w:t>三氯乙烷</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45</w:t>
            </w: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萘</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70</w:t>
            </w: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23</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三氯乙烯</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1237" w:type="pct"/>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4"/>
              </w:rPr>
            </w:pPr>
          </w:p>
        </w:tc>
        <w:tc>
          <w:tcPr>
            <w:tcW w:w="511" w:type="pct"/>
            <w:tcBorders>
              <w:top w:val="single" w:color="auto" w:sz="4" w:space="0"/>
              <w:left w:val="single" w:color="auto" w:sz="4" w:space="0"/>
              <w:bottom w:val="single" w:color="auto" w:sz="4" w:space="0"/>
              <w:right w:val="single" w:color="auto" w:sz="4" w:space="0"/>
            </w:tcBorders>
            <w:vAlign w:val="center"/>
          </w:tcPr>
          <w:p>
            <w:pPr>
              <w:jc w:val="center"/>
              <w:rPr>
                <w:szCs w:val="24"/>
              </w:rPr>
            </w:pPr>
          </w:p>
        </w:tc>
      </w:tr>
    </w:tbl>
    <w:p>
      <w:pPr>
        <w:pStyle w:val="57"/>
        <w:keepNext/>
        <w:keepLines/>
        <w:spacing w:before="0" w:after="0" w:line="480" w:lineRule="exact"/>
        <w:ind w:firstLine="0" w:firstLineChars="0"/>
        <w:outlineLvl w:val="3"/>
        <w:rPr>
          <w:b/>
        </w:rPr>
      </w:pPr>
      <w:r>
        <w:rPr>
          <w:b/>
        </w:rPr>
        <w:t>4.3.5.3</w:t>
      </w:r>
      <w:r>
        <w:rPr>
          <w:rFonts w:hint="eastAsia" w:ascii="宋体" w:hAnsi="宋体"/>
          <w:b/>
        </w:rPr>
        <w:t>监测数据统计结果</w:t>
      </w:r>
    </w:p>
    <w:p>
      <w:pPr>
        <w:spacing w:line="480" w:lineRule="exact"/>
        <w:ind w:firstLine="480" w:firstLineChars="200"/>
        <w:rPr>
          <w:rFonts w:ascii="黑体" w:hAnsi="黑体" w:eastAsia="黑体"/>
          <w:sz w:val="24"/>
          <w:szCs w:val="21"/>
        </w:rPr>
      </w:pPr>
      <w:r>
        <w:rPr>
          <w:rFonts w:hint="eastAsia" w:hAnsi="宋体"/>
          <w:kern w:val="0"/>
          <w:sz w:val="24"/>
          <w:szCs w:val="21"/>
        </w:rPr>
        <w:t>土壤环境质量现状监测结果见表</w:t>
      </w:r>
      <w:r>
        <w:rPr>
          <w:kern w:val="0"/>
          <w:sz w:val="24"/>
          <w:szCs w:val="21"/>
        </w:rPr>
        <w:t>4.3-</w:t>
      </w:r>
      <w:r>
        <w:rPr>
          <w:rFonts w:hint="eastAsia"/>
          <w:kern w:val="0"/>
          <w:sz w:val="24"/>
          <w:szCs w:val="21"/>
        </w:rPr>
        <w:t>19</w:t>
      </w:r>
      <w:r>
        <w:rPr>
          <w:rFonts w:hint="eastAsia" w:hAnsi="宋体"/>
          <w:kern w:val="0"/>
          <w:sz w:val="24"/>
          <w:szCs w:val="21"/>
        </w:rPr>
        <w:t>。</w:t>
      </w:r>
    </w:p>
    <w:p>
      <w:pPr>
        <w:pStyle w:val="6"/>
        <w:spacing w:line="480" w:lineRule="exact"/>
        <w:ind w:firstLine="0"/>
        <w:jc w:val="center"/>
        <w:rPr>
          <w:rFonts w:ascii="黑体" w:hAnsi="黑体" w:eastAsia="黑体"/>
          <w:sz w:val="24"/>
        </w:rPr>
      </w:pPr>
      <w:r>
        <w:rPr>
          <w:rFonts w:hint="eastAsia" w:ascii="黑体" w:hAnsi="黑体" w:eastAsia="黑体"/>
          <w:bCs/>
          <w:sz w:val="24"/>
        </w:rPr>
        <w:t>表4.3-19</w:t>
      </w:r>
      <w:r>
        <w:rPr>
          <w:rFonts w:ascii="黑体" w:hAnsi="黑体" w:eastAsia="黑体"/>
          <w:bCs/>
          <w:sz w:val="24"/>
        </w:rPr>
        <w:t xml:space="preserve">  </w:t>
      </w:r>
      <w:r>
        <w:rPr>
          <w:rFonts w:hint="eastAsia" w:ascii="黑体" w:hAnsi="黑体" w:eastAsia="黑体"/>
          <w:bCs/>
          <w:sz w:val="24"/>
        </w:rPr>
        <w:t>土壤质量现状监测结果</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2037"/>
        <w:gridCol w:w="1107"/>
        <w:gridCol w:w="1149"/>
        <w:gridCol w:w="1006"/>
        <w:gridCol w:w="1149"/>
        <w:gridCol w:w="1147"/>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vMerge w:val="restar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序号</w:t>
            </w:r>
          </w:p>
        </w:tc>
        <w:tc>
          <w:tcPr>
            <w:tcW w:w="1124" w:type="pct"/>
            <w:vMerge w:val="restar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监测项目</w:t>
            </w:r>
          </w:p>
        </w:tc>
        <w:tc>
          <w:tcPr>
            <w:tcW w:w="1800" w:type="pct"/>
            <w:gridSpan w:val="3"/>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监测点位（</w:t>
            </w:r>
            <w:r>
              <w:rPr>
                <w:b/>
                <w:bCs/>
              </w:rPr>
              <w:t>μg/kg</w:t>
            </w:r>
            <w:r>
              <w:rPr>
                <w:rFonts w:hint="eastAsia"/>
                <w:b/>
                <w:bCs/>
              </w:rPr>
              <w:t>）</w:t>
            </w:r>
          </w:p>
        </w:tc>
        <w:tc>
          <w:tcPr>
            <w:tcW w:w="1267" w:type="pct"/>
            <w:gridSpan w:val="2"/>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标准值（</w:t>
            </w:r>
            <w:r>
              <w:rPr>
                <w:b/>
                <w:bCs/>
              </w:rPr>
              <w:t>mg/kg</w:t>
            </w:r>
            <w:r>
              <w:rPr>
                <w:rFonts w:hint="eastAsia"/>
                <w:b/>
                <w:bCs/>
              </w:rPr>
              <w:t>）</w:t>
            </w:r>
          </w:p>
        </w:tc>
        <w:tc>
          <w:tcPr>
            <w:tcW w:w="424" w:type="pct"/>
            <w:vMerge w:val="restart"/>
            <w:tcBorders>
              <w:top w:val="single" w:color="auto" w:sz="4" w:space="0"/>
              <w:left w:val="single" w:color="auto" w:sz="4" w:space="0"/>
              <w:bottom w:val="single" w:color="auto" w:sz="4" w:space="0"/>
              <w:right w:val="single" w:color="auto" w:sz="4" w:space="0"/>
            </w:tcBorders>
            <w:vAlign w:val="center"/>
          </w:tcPr>
          <w:p>
            <w:pPr>
              <w:jc w:val="center"/>
              <w:rPr>
                <w:b/>
                <w:bCs/>
                <w:szCs w:val="24"/>
              </w:rPr>
            </w:pPr>
            <w:r>
              <w:rPr>
                <w:rFonts w:hint="eastAsia"/>
                <w:b/>
                <w:bCs/>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4"/>
              </w:rPr>
            </w:pPr>
          </w:p>
        </w:tc>
        <w:tc>
          <w:tcPr>
            <w:tcW w:w="112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4"/>
              </w:rPr>
            </w:pP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筛选值</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管制值</w:t>
            </w:r>
          </w:p>
        </w:tc>
        <w:tc>
          <w:tcPr>
            <w:tcW w:w="42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砷（</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10.8</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11.0</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22.4</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140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镉（</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0.11</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0.08</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0.21</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65</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172</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铬（六价）（</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5.7</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78</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铜（</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26</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19</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39</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18000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36000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铅（</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16.3</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14.5</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10.9</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800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2500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汞（</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0.059</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0.027</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0.026</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38</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82</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镍（</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19</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20</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21</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900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四氯化碳</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36</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9</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氯仿</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0.9</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氯甲烷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37</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w:t>
            </w:r>
            <w:r>
              <w:rPr>
                <w:rFonts w:hint="eastAsia"/>
              </w:rPr>
              <w:t>二氯乙烷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9</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r>
              <w:rPr>
                <w:rFonts w:hint="eastAsia"/>
              </w:rPr>
              <w:t>二氯乙烷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21</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13</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w:t>
            </w:r>
            <w:r>
              <w:rPr>
                <w:rFonts w:hint="eastAsia"/>
              </w:rPr>
              <w:t>二氯乙烯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66</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14</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顺</w:t>
            </w:r>
            <w:r>
              <w:t>-1,2-</w:t>
            </w:r>
            <w:r>
              <w:rPr>
                <w:rFonts w:hint="eastAsia"/>
              </w:rPr>
              <w:t>二氯乙烯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596</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反</w:t>
            </w:r>
            <w:r>
              <w:t>-1,2-</w:t>
            </w:r>
            <w:r>
              <w:rPr>
                <w:rFonts w:hint="eastAsia"/>
              </w:rPr>
              <w:t>二氯乙烯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54</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163</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16</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二氯甲烷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616</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17</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r>
              <w:rPr>
                <w:rFonts w:hint="eastAsia"/>
              </w:rPr>
              <w:t>二氯丙烷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47</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18</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1,1,1,2-</w:t>
            </w:r>
            <w:r>
              <w:rPr>
                <w:rFonts w:hint="eastAsia"/>
              </w:rPr>
              <w:t>四氯乙烷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19</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1,1,2,2-</w:t>
            </w:r>
            <w:r>
              <w:rPr>
                <w:rFonts w:hint="eastAsia"/>
              </w:rPr>
              <w:t>四氯乙烷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6.8</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四氯乙烯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53</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183</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21</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1,1,1-</w:t>
            </w:r>
            <w:r>
              <w:rPr>
                <w:rFonts w:hint="eastAsia"/>
              </w:rPr>
              <w:t>三氯乙烷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840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840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22</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1,1,2-</w:t>
            </w:r>
            <w:r>
              <w:rPr>
                <w:rFonts w:hint="eastAsia"/>
              </w:rPr>
              <w:t>三氯乙烷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23</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三氯乙烯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24</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1,2,3-</w:t>
            </w:r>
            <w:r>
              <w:rPr>
                <w:rFonts w:hint="eastAsia"/>
              </w:rPr>
              <w:t>三氯丙烷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0.5</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25</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氯乙烯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0.43</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4.3</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26</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27</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氯苯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270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1000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w:t>
            </w:r>
            <w:r>
              <w:rPr>
                <w:rFonts w:hint="eastAsia"/>
              </w:rPr>
              <w:t>二氯苯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560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560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29</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1,4-</w:t>
            </w:r>
            <w:r>
              <w:rPr>
                <w:rFonts w:hint="eastAsia"/>
              </w:rPr>
              <w:t>二氯苯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30</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乙苯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280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31</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苯乙烯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32</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甲苯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1200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33</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间二甲苯</w:t>
            </w:r>
            <w:r>
              <w:t>+</w:t>
            </w:r>
            <w:r>
              <w:rPr>
                <w:rFonts w:hint="eastAsia"/>
              </w:rPr>
              <w:t>对二甲苯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570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570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34</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邻二甲苯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640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640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35</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硝基苯（</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76</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760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36</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苯胺（</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260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663</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37</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w:t>
            </w:r>
            <w:r>
              <w:rPr>
                <w:rFonts w:hint="eastAsia"/>
              </w:rPr>
              <w:t>氯酚（</w:t>
            </w:r>
            <w:r>
              <w:t>mg/kg</w:t>
            </w:r>
            <w:r>
              <w:rPr>
                <w:rFonts w:hint="eastAsia"/>
              </w:rPr>
              <w:t>）</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2256</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4500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38</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[a]</w:t>
            </w:r>
            <w:r>
              <w:rPr>
                <w:rFonts w:hint="eastAsia"/>
              </w:rPr>
              <w:t>蒽</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0.1</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39</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[a]</w:t>
            </w:r>
            <w:r>
              <w:rPr>
                <w:rFonts w:hint="eastAsia"/>
              </w:rPr>
              <w:t>芘</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40</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[b]</w:t>
            </w:r>
            <w:r>
              <w:rPr>
                <w:rFonts w:hint="eastAsia"/>
              </w:rPr>
              <w:t>荧蒽</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41</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苯并</w:t>
            </w:r>
            <w:r>
              <w:t>[k]</w:t>
            </w:r>
            <w:r>
              <w:rPr>
                <w:rFonts w:hint="eastAsia"/>
              </w:rPr>
              <w:t>荧蒽</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42</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1"/>
              </w:rPr>
              <w:t>䓛</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0.1</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1293</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12900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43</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二苯并</w:t>
            </w:r>
            <w:r>
              <w:t>[a,h]</w:t>
            </w:r>
            <w:r>
              <w:rPr>
                <w:rFonts w:hint="eastAsia"/>
              </w:rPr>
              <w:t>蒽</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44</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茚并</w:t>
            </w:r>
            <w:r>
              <w:t>[1,2,3-cd]</w:t>
            </w:r>
            <w:r>
              <w:rPr>
                <w:rFonts w:hint="eastAsia"/>
                <w:szCs w:val="21"/>
              </w:rPr>
              <w:t>芘</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151</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45</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萘</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0.18</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ND</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70</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700</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 w:type="pct"/>
            <w:tcBorders>
              <w:top w:val="single" w:color="auto" w:sz="4" w:space="0"/>
              <w:left w:val="single" w:color="auto" w:sz="4" w:space="0"/>
              <w:bottom w:val="single" w:color="auto" w:sz="4" w:space="0"/>
              <w:right w:val="single" w:color="auto" w:sz="4" w:space="0"/>
            </w:tcBorders>
            <w:vAlign w:val="center"/>
          </w:tcPr>
          <w:p>
            <w:pPr>
              <w:jc w:val="center"/>
              <w:rPr>
                <w:szCs w:val="24"/>
              </w:rPr>
            </w:pPr>
            <w:r>
              <w:t>46</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pH</w:t>
            </w:r>
            <w:r>
              <w:rPr>
                <w:rFonts w:hint="eastAsia"/>
              </w:rPr>
              <w:t>值</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7.2</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8.0</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6.9</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w:t>
            </w:r>
          </w:p>
        </w:tc>
        <w:tc>
          <w:tcPr>
            <w:tcW w:w="633" w:type="pct"/>
            <w:tcBorders>
              <w:top w:val="single" w:color="auto" w:sz="4" w:space="0"/>
              <w:left w:val="single" w:color="auto" w:sz="4" w:space="0"/>
              <w:bottom w:val="single" w:color="auto" w:sz="4" w:space="0"/>
              <w:right w:val="single" w:color="auto" w:sz="4" w:space="0"/>
            </w:tcBorders>
            <w:vAlign w:val="center"/>
          </w:tcPr>
          <w:p>
            <w:pPr>
              <w:jc w:val="center"/>
              <w:rPr>
                <w:szCs w:val="24"/>
              </w:rPr>
            </w:pPr>
            <w:r>
              <w:t>-</w:t>
            </w:r>
          </w:p>
        </w:tc>
        <w:tc>
          <w:tcPr>
            <w:tcW w:w="424" w:type="pct"/>
            <w:tcBorders>
              <w:top w:val="single" w:color="auto" w:sz="4" w:space="0"/>
              <w:left w:val="single" w:color="auto" w:sz="4" w:space="0"/>
              <w:bottom w:val="single" w:color="auto" w:sz="4" w:space="0"/>
              <w:right w:val="single" w:color="auto" w:sz="4" w:space="0"/>
            </w:tcBorders>
            <w:vAlign w:val="center"/>
          </w:tcPr>
          <w:p>
            <w:pPr>
              <w:jc w:val="center"/>
              <w:rPr>
                <w:szCs w:val="24"/>
              </w:rPr>
            </w:pPr>
            <w:r>
              <w:t>-</w:t>
            </w:r>
          </w:p>
        </w:tc>
      </w:tr>
    </w:tbl>
    <w:p>
      <w:pPr>
        <w:spacing w:line="480" w:lineRule="exact"/>
        <w:ind w:firstLine="600" w:firstLineChars="250"/>
        <w:rPr>
          <w:sz w:val="24"/>
          <w:szCs w:val="32"/>
        </w:rPr>
      </w:pPr>
      <w:r>
        <w:rPr>
          <w:rFonts w:hint="eastAsia"/>
          <w:sz w:val="24"/>
          <w:szCs w:val="32"/>
        </w:rPr>
        <w:t>由表4.3-19监测结果可见，本项目所在区域土壤环境质量可以达到</w:t>
      </w:r>
      <w:r>
        <w:rPr>
          <w:rFonts w:hint="eastAsia"/>
          <w:sz w:val="24"/>
        </w:rPr>
        <w:t>《土壤环境质量</w:t>
      </w:r>
      <w:r>
        <w:rPr>
          <w:sz w:val="24"/>
        </w:rPr>
        <w:t xml:space="preserve"> </w:t>
      </w:r>
      <w:r>
        <w:rPr>
          <w:rFonts w:hint="eastAsia"/>
          <w:sz w:val="24"/>
        </w:rPr>
        <w:t>建设用地土壤污染风险管控标准》（试行）中第二类用地建设用地土壤污染风险筛选值和管制值，土壤</w:t>
      </w:r>
      <w:r>
        <w:rPr>
          <w:rFonts w:hint="eastAsia"/>
          <w:sz w:val="24"/>
          <w:szCs w:val="32"/>
        </w:rPr>
        <w:t>环境质量较好。</w:t>
      </w:r>
    </w:p>
    <w:p>
      <w:pPr>
        <w:spacing w:line="480" w:lineRule="exact"/>
        <w:ind w:firstLine="600" w:firstLineChars="250"/>
        <w:rPr>
          <w:rFonts w:ascii="黑体" w:hAnsi="黑体" w:eastAsia="黑体"/>
          <w:sz w:val="24"/>
          <w:szCs w:val="21"/>
        </w:rPr>
      </w:pPr>
    </w:p>
    <w:p>
      <w:pPr>
        <w:spacing w:line="480" w:lineRule="exact"/>
        <w:ind w:firstLine="600" w:firstLineChars="250"/>
        <w:rPr>
          <w:rFonts w:ascii="黑体" w:hAnsi="黑体" w:eastAsia="黑体"/>
          <w:sz w:val="24"/>
          <w:szCs w:val="21"/>
        </w:rPr>
      </w:pPr>
    </w:p>
    <w:p>
      <w:pPr>
        <w:spacing w:line="480" w:lineRule="exact"/>
        <w:ind w:firstLine="600" w:firstLineChars="250"/>
        <w:rPr>
          <w:rFonts w:ascii="黑体" w:hAnsi="黑体" w:eastAsia="黑体"/>
          <w:sz w:val="24"/>
          <w:szCs w:val="21"/>
        </w:rPr>
      </w:pPr>
    </w:p>
    <w:p>
      <w:pPr>
        <w:spacing w:line="480" w:lineRule="exact"/>
        <w:ind w:firstLine="600" w:firstLineChars="250"/>
        <w:rPr>
          <w:rFonts w:ascii="黑体" w:hAnsi="黑体" w:eastAsia="黑体"/>
          <w:sz w:val="24"/>
          <w:szCs w:val="21"/>
        </w:rPr>
      </w:pPr>
    </w:p>
    <w:p>
      <w:pPr>
        <w:spacing w:line="480" w:lineRule="exact"/>
        <w:ind w:firstLine="600" w:firstLineChars="250"/>
        <w:rPr>
          <w:rFonts w:ascii="黑体" w:hAnsi="黑体" w:eastAsia="黑体"/>
          <w:sz w:val="24"/>
          <w:szCs w:val="21"/>
        </w:rPr>
      </w:pPr>
    </w:p>
    <w:p>
      <w:pPr>
        <w:spacing w:line="480" w:lineRule="exact"/>
        <w:ind w:firstLine="600" w:firstLineChars="250"/>
        <w:rPr>
          <w:rFonts w:ascii="黑体" w:hAnsi="黑体" w:eastAsia="黑体"/>
          <w:sz w:val="24"/>
          <w:szCs w:val="21"/>
        </w:rPr>
      </w:pPr>
    </w:p>
    <w:p>
      <w:pPr>
        <w:spacing w:line="480" w:lineRule="exact"/>
        <w:rPr>
          <w:rFonts w:ascii="黑体" w:hAnsi="黑体" w:eastAsia="黑体"/>
          <w:sz w:val="24"/>
          <w:szCs w:val="21"/>
        </w:rPr>
      </w:pPr>
    </w:p>
    <w:p>
      <w:pPr>
        <w:spacing w:line="480" w:lineRule="exact"/>
        <w:ind w:firstLine="480" w:firstLineChars="200"/>
        <w:rPr>
          <w:rFonts w:ascii="黑体" w:hAnsi="黑体" w:eastAsia="黑体"/>
          <w:sz w:val="24"/>
          <w:szCs w:val="21"/>
        </w:rPr>
        <w:sectPr>
          <w:pgSz w:w="11906" w:h="16838"/>
          <w:pgMar w:top="1418" w:right="1531" w:bottom="1418" w:left="1531" w:header="851" w:footer="992" w:gutter="0"/>
          <w:cols w:space="425" w:num="1"/>
          <w:docGrid w:type="linesAndChars" w:linePitch="312" w:charSpace="0"/>
        </w:sectPr>
      </w:pPr>
    </w:p>
    <w:p>
      <w:pPr>
        <w:spacing w:line="720" w:lineRule="auto"/>
        <w:jc w:val="center"/>
        <w:outlineLvl w:val="0"/>
        <w:rPr>
          <w:rFonts w:hAnsi="黑体" w:eastAsia="黑体"/>
          <w:b/>
          <w:bCs/>
          <w:sz w:val="44"/>
          <w:szCs w:val="44"/>
        </w:rPr>
      </w:pPr>
      <w:bookmarkStart w:id="83" w:name="_Toc19105464"/>
      <w:r>
        <w:rPr>
          <w:rFonts w:hint="eastAsia" w:hAnsi="黑体" w:eastAsia="黑体"/>
          <w:b/>
          <w:bCs/>
          <w:sz w:val="44"/>
          <w:szCs w:val="44"/>
        </w:rPr>
        <w:t xml:space="preserve">5 </w:t>
      </w:r>
      <w:r>
        <w:rPr>
          <w:rFonts w:hAnsi="黑体" w:eastAsia="黑体"/>
          <w:b/>
          <w:bCs/>
          <w:sz w:val="44"/>
          <w:szCs w:val="44"/>
        </w:rPr>
        <w:t>环境</w:t>
      </w:r>
      <w:r>
        <w:rPr>
          <w:rFonts w:hint="eastAsia" w:hAnsi="黑体" w:eastAsia="黑体"/>
          <w:b/>
          <w:bCs/>
          <w:sz w:val="44"/>
          <w:szCs w:val="44"/>
        </w:rPr>
        <w:t>影响预测与评价</w:t>
      </w:r>
      <w:bookmarkEnd w:id="83"/>
    </w:p>
    <w:p>
      <w:pPr>
        <w:pStyle w:val="2"/>
        <w:spacing w:before="156" w:beforeLines="50" w:after="0" w:line="480" w:lineRule="exact"/>
        <w:rPr>
          <w:rFonts w:ascii="Times New Roman" w:hAnsi="Times New Roman"/>
          <w:bCs w:val="0"/>
          <w:spacing w:val="4"/>
          <w:sz w:val="28"/>
          <w:szCs w:val="28"/>
        </w:rPr>
      </w:pPr>
      <w:bookmarkStart w:id="84" w:name="_Toc19105465"/>
      <w:r>
        <w:rPr>
          <w:rFonts w:hint="eastAsia" w:ascii="Times New Roman" w:hAnsi="Times New Roman"/>
          <w:bCs w:val="0"/>
          <w:spacing w:val="4"/>
          <w:sz w:val="28"/>
          <w:szCs w:val="28"/>
        </w:rPr>
        <w:t>5.1</w:t>
      </w:r>
      <w:r>
        <w:rPr>
          <w:rFonts w:hint="eastAsia"/>
          <w:sz w:val="28"/>
          <w:szCs w:val="28"/>
        </w:rPr>
        <w:t>施工期环境影响分析与评价</w:t>
      </w:r>
      <w:bookmarkEnd w:id="84"/>
    </w:p>
    <w:p>
      <w:pPr>
        <w:spacing w:line="480" w:lineRule="exact"/>
        <w:ind w:firstLine="480" w:firstLineChars="200"/>
        <w:rPr>
          <w:sz w:val="24"/>
        </w:rPr>
      </w:pPr>
      <w:r>
        <w:rPr>
          <w:rFonts w:hint="eastAsia"/>
          <w:sz w:val="24"/>
        </w:rPr>
        <w:t>“</w:t>
      </w:r>
      <w:r>
        <w:rPr>
          <w:rFonts w:hint="eastAsia" w:hAnsi="宋体"/>
          <w:bCs/>
          <w:kern w:val="0"/>
          <w:sz w:val="24"/>
          <w:szCs w:val="24"/>
        </w:rPr>
        <w:t>汾阳市褚凤肉鸡养殖项目</w:t>
      </w:r>
      <w:r>
        <w:rPr>
          <w:rFonts w:hint="eastAsia"/>
          <w:sz w:val="24"/>
        </w:rPr>
        <w:t>”位于</w:t>
      </w:r>
      <w:r>
        <w:rPr>
          <w:rFonts w:hint="eastAsia"/>
          <w:bCs/>
          <w:kern w:val="0"/>
          <w:sz w:val="24"/>
          <w:szCs w:val="24"/>
        </w:rPr>
        <w:t>汾阳市峪道河镇田褚村西侧约1km</w:t>
      </w:r>
      <w:r>
        <w:rPr>
          <w:rFonts w:hint="eastAsia"/>
          <w:kern w:val="0"/>
          <w:sz w:val="24"/>
          <w:szCs w:val="24"/>
        </w:rPr>
        <w:t>处</w:t>
      </w:r>
      <w:r>
        <w:rPr>
          <w:rFonts w:hint="eastAsia"/>
          <w:sz w:val="24"/>
        </w:rPr>
        <w:t>，本项目的建设需约</w:t>
      </w:r>
      <w:r>
        <w:rPr>
          <w:sz w:val="24"/>
        </w:rPr>
        <w:t>3</w:t>
      </w:r>
      <w:r>
        <w:rPr>
          <w:rFonts w:hint="eastAsia"/>
          <w:sz w:val="24"/>
        </w:rPr>
        <w:t>个月左右的时间。项目施工人员均为附近村民，厂区不设施工营地。施工期间的主要环境问题产生于施工过程中平整场地、土石方的挖掘填埋、土建施工、建筑材料的运输、堆存、设备安装调试及试生产等过程中，产生的污染物主要有施工扬尘、噪声、施工废水、生活废水和固体废物。</w:t>
      </w:r>
    </w:p>
    <w:p>
      <w:pPr>
        <w:pStyle w:val="3"/>
        <w:spacing w:before="0" w:after="0" w:line="480" w:lineRule="exact"/>
        <w:rPr>
          <w:sz w:val="24"/>
          <w:szCs w:val="24"/>
        </w:rPr>
      </w:pPr>
      <w:r>
        <w:rPr>
          <w:rFonts w:hint="eastAsia"/>
          <w:sz w:val="24"/>
          <w:szCs w:val="24"/>
        </w:rPr>
        <w:t>5.1.1</w:t>
      </w:r>
      <w:r>
        <w:rPr>
          <w:sz w:val="24"/>
          <w:szCs w:val="24"/>
        </w:rPr>
        <w:t>施工期大气环境影响分析</w:t>
      </w:r>
    </w:p>
    <w:p>
      <w:pPr>
        <w:pStyle w:val="57"/>
        <w:keepNext/>
        <w:keepLines/>
        <w:spacing w:before="0" w:after="0" w:line="480" w:lineRule="exact"/>
        <w:ind w:firstLine="0" w:firstLineChars="0"/>
        <w:outlineLvl w:val="3"/>
        <w:rPr>
          <w:b/>
        </w:rPr>
      </w:pPr>
      <w:r>
        <w:rPr>
          <w:rFonts w:hint="eastAsia"/>
          <w:b/>
        </w:rPr>
        <w:t>5.1.1.1</w:t>
      </w:r>
      <w:r>
        <w:rPr>
          <w:rFonts w:hint="eastAsia" w:ascii="宋体" w:hAnsi="宋体"/>
          <w:b/>
        </w:rPr>
        <w:t>扬尘</w:t>
      </w:r>
    </w:p>
    <w:p>
      <w:pPr>
        <w:spacing w:line="480" w:lineRule="exact"/>
        <w:ind w:firstLine="480" w:firstLineChars="200"/>
        <w:rPr>
          <w:sz w:val="24"/>
        </w:rPr>
      </w:pPr>
      <w:r>
        <w:rPr>
          <w:rFonts w:hint="eastAsia"/>
          <w:sz w:val="24"/>
        </w:rPr>
        <w:t>本项目建设施工过程中的大气污染主要来自于施工场地的扬尘，在整个施工期，产生扬尘的作业有土地平整、打桩、开挖、回填、道路浇筑、建材运输、露天堆放、装卸和搅拌等过程，如遇干旱无雨季节，加上大风，施工扬尘将更严重。</w:t>
      </w:r>
    </w:p>
    <w:p>
      <w:pPr>
        <w:spacing w:line="480" w:lineRule="exact"/>
        <w:ind w:firstLine="480" w:firstLineChars="200"/>
        <w:rPr>
          <w:sz w:val="24"/>
        </w:rPr>
      </w:pPr>
      <w:r>
        <w:rPr>
          <w:rFonts w:hint="eastAsia"/>
          <w:sz w:val="24"/>
        </w:rPr>
        <w:t>施工扬尘</w:t>
      </w:r>
      <w:r>
        <w:rPr>
          <w:sz w:val="24"/>
        </w:rPr>
        <w:t>按起尘的原因可分为动力起尘</w:t>
      </w:r>
      <w:r>
        <w:rPr>
          <w:rFonts w:hint="eastAsia"/>
          <w:sz w:val="24"/>
        </w:rPr>
        <w:t>和风力起尘。</w:t>
      </w:r>
    </w:p>
    <w:p>
      <w:pPr>
        <w:spacing w:line="480" w:lineRule="exact"/>
        <w:rPr>
          <w:b/>
          <w:sz w:val="24"/>
        </w:rPr>
      </w:pPr>
      <w:r>
        <w:rPr>
          <w:rFonts w:hint="eastAsia"/>
          <w:b/>
          <w:sz w:val="24"/>
        </w:rPr>
        <w:t>1、动力起尘</w:t>
      </w:r>
    </w:p>
    <w:p>
      <w:pPr>
        <w:spacing w:line="480" w:lineRule="exact"/>
        <w:ind w:firstLine="480" w:firstLineChars="200"/>
        <w:rPr>
          <w:sz w:val="24"/>
        </w:rPr>
      </w:pPr>
      <w:r>
        <w:rPr>
          <w:sz w:val="24"/>
        </w:rPr>
        <w:t>由于外力而产生的尘粒悬浮而造成，其中施工装卸车辆造成的扬尘最为严重。据有关文献资料介绍，</w:t>
      </w:r>
      <w:r>
        <w:rPr>
          <w:rFonts w:hint="eastAsia"/>
          <w:sz w:val="24"/>
        </w:rPr>
        <w:t>施工期间的扬尘主要是由运输</w:t>
      </w:r>
      <w:r>
        <w:rPr>
          <w:sz w:val="24"/>
        </w:rPr>
        <w:t>车辆行驶产生</w:t>
      </w:r>
      <w:r>
        <w:rPr>
          <w:rFonts w:hint="eastAsia"/>
          <w:sz w:val="24"/>
        </w:rPr>
        <w:t>，约</w:t>
      </w:r>
      <w:r>
        <w:rPr>
          <w:sz w:val="24"/>
        </w:rPr>
        <w:t>占总扬尘</w:t>
      </w:r>
      <w:r>
        <w:rPr>
          <w:rFonts w:hint="eastAsia"/>
          <w:sz w:val="24"/>
        </w:rPr>
        <w:t>量</w:t>
      </w:r>
      <w:r>
        <w:rPr>
          <w:sz w:val="24"/>
        </w:rPr>
        <w:t>的60%。车辆行驶产生的扬尘，在完全干燥情况下，可按下列经验公式计算：</w:t>
      </w:r>
    </w:p>
    <w:p>
      <w:pPr>
        <w:jc w:val="center"/>
      </w:pPr>
      <w:r>
        <w:rPr>
          <w:sz w:val="24"/>
        </w:rPr>
        <w:object>
          <v:shape id="_x0000_i1028" o:spt="75" type="#_x0000_t75" style="height:21.75pt;width:172.5pt;" o:ole="t" filled="f" coordsize="21600,21600">
            <v:path/>
            <v:fill on="f" focussize="0,0"/>
            <v:stroke/>
            <v:imagedata r:id="rId31" o:title=""/>
            <o:lock v:ext="edit" aspectratio="t"/>
            <w10:wrap type="none"/>
            <w10:anchorlock/>
          </v:shape>
          <o:OLEObject Type="Embed" ProgID="Equation.DSMT4" ShapeID="_x0000_i1028" DrawAspect="Content" ObjectID="_1468075728" r:id="rId30">
            <o:LockedField>false</o:LockedField>
          </o:OLEObject>
        </w:object>
      </w:r>
    </w:p>
    <w:p>
      <w:pPr>
        <w:spacing w:line="480" w:lineRule="exact"/>
        <w:ind w:firstLine="480" w:firstLineChars="200"/>
        <w:rPr>
          <w:sz w:val="24"/>
        </w:rPr>
      </w:pPr>
      <w:r>
        <w:rPr>
          <w:sz w:val="24"/>
        </w:rPr>
        <w:t>式中：Q——汽车行驶的扬尘，</w:t>
      </w:r>
      <w:r>
        <w:rPr>
          <w:rFonts w:hint="eastAsia"/>
          <w:sz w:val="24"/>
        </w:rPr>
        <w:t>k</w:t>
      </w:r>
      <w:r>
        <w:rPr>
          <w:sz w:val="24"/>
        </w:rPr>
        <w:t>g/km·辆；</w:t>
      </w:r>
    </w:p>
    <w:p>
      <w:pPr>
        <w:spacing w:line="480" w:lineRule="exact"/>
        <w:ind w:firstLine="1200" w:firstLineChars="500"/>
        <w:rPr>
          <w:sz w:val="24"/>
        </w:rPr>
      </w:pPr>
      <w:r>
        <w:rPr>
          <w:sz w:val="24"/>
        </w:rPr>
        <w:t>V——汽车速度，</w:t>
      </w:r>
      <w:r>
        <w:rPr>
          <w:rFonts w:hint="eastAsia"/>
          <w:sz w:val="24"/>
        </w:rPr>
        <w:t>k</w:t>
      </w:r>
      <w:r>
        <w:rPr>
          <w:sz w:val="24"/>
        </w:rPr>
        <w:t>m/hr；</w:t>
      </w:r>
    </w:p>
    <w:p>
      <w:pPr>
        <w:spacing w:line="480" w:lineRule="exact"/>
        <w:ind w:firstLine="1200" w:firstLineChars="500"/>
        <w:rPr>
          <w:sz w:val="24"/>
        </w:rPr>
      </w:pPr>
      <w:r>
        <w:rPr>
          <w:sz w:val="24"/>
        </w:rPr>
        <w:t>W——汽车载重量，吨；</w:t>
      </w:r>
    </w:p>
    <w:p>
      <w:pPr>
        <w:spacing w:line="480" w:lineRule="exact"/>
        <w:ind w:firstLine="1200" w:firstLineChars="500"/>
      </w:pPr>
      <w:r>
        <w:rPr>
          <w:sz w:val="24"/>
        </w:rPr>
        <w:t>P——道路表面粉尘量，kg/m</w:t>
      </w:r>
      <w:r>
        <w:rPr>
          <w:sz w:val="24"/>
          <w:vertAlign w:val="superscript"/>
        </w:rPr>
        <w:t>2</w:t>
      </w:r>
      <w:r>
        <w:rPr>
          <w:sz w:val="24"/>
        </w:rPr>
        <w:t>。</w:t>
      </w:r>
    </w:p>
    <w:p>
      <w:pPr>
        <w:overflowPunct w:val="0"/>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5.1-1</w:t>
      </w:r>
      <w:r>
        <w:rPr>
          <w:rFonts w:ascii="黑体" w:hAnsi="黑体" w:eastAsia="黑体"/>
          <w:bCs/>
          <w:sz w:val="24"/>
          <w:szCs w:val="24"/>
        </w:rPr>
        <w:t xml:space="preserve">  在不同车速和地面清洁程度的汽车扬尘 </w:t>
      </w:r>
      <w:r>
        <w:rPr>
          <w:rFonts w:hint="eastAsia" w:ascii="黑体" w:hAnsi="黑体" w:eastAsia="黑体"/>
          <w:bCs/>
          <w:sz w:val="24"/>
          <w:szCs w:val="24"/>
        </w:rPr>
        <w:t>（</w:t>
      </w:r>
      <w:r>
        <w:rPr>
          <w:rFonts w:ascii="黑体" w:hAnsi="黑体" w:eastAsia="黑体"/>
          <w:bCs/>
          <w:sz w:val="24"/>
          <w:szCs w:val="24"/>
        </w:rPr>
        <w:t>kg/辆·km</w:t>
      </w:r>
      <w:r>
        <w:rPr>
          <w:rFonts w:hint="eastAsia" w:ascii="黑体" w:hAnsi="黑体" w:eastAsia="黑体"/>
          <w:bCs/>
          <w:sz w:val="24"/>
          <w:szCs w:val="24"/>
        </w:rPr>
        <w:t>）</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88"/>
        <w:gridCol w:w="1228"/>
        <w:gridCol w:w="1228"/>
        <w:gridCol w:w="1229"/>
        <w:gridCol w:w="1229"/>
        <w:gridCol w:w="1229"/>
        <w:gridCol w:w="12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2" w:type="pct"/>
            <w:tcBorders>
              <w:tl2br w:val="single" w:color="auto" w:sz="6" w:space="0"/>
            </w:tcBorders>
            <w:vAlign w:val="center"/>
          </w:tcPr>
          <w:p>
            <w:pPr>
              <w:jc w:val="center"/>
              <w:rPr>
                <w:szCs w:val="21"/>
              </w:rPr>
            </w:pPr>
            <w:r>
              <w:rPr>
                <w:rFonts w:hint="eastAsia" w:hAnsi="宋体"/>
                <w:szCs w:val="21"/>
              </w:rPr>
              <w:t xml:space="preserve">      </w:t>
            </w:r>
            <w:r>
              <w:rPr>
                <w:rFonts w:hAnsi="宋体"/>
                <w:szCs w:val="21"/>
              </w:rPr>
              <w:t>粉尘量</w:t>
            </w:r>
          </w:p>
          <w:p>
            <w:pPr>
              <w:rPr>
                <w:szCs w:val="21"/>
              </w:rPr>
            </w:pPr>
            <w:r>
              <w:rPr>
                <w:rFonts w:hAnsi="宋体"/>
                <w:szCs w:val="21"/>
              </w:rPr>
              <w:t>车速</w:t>
            </w:r>
          </w:p>
        </w:tc>
        <w:tc>
          <w:tcPr>
            <w:tcW w:w="678" w:type="pct"/>
            <w:vAlign w:val="center"/>
          </w:tcPr>
          <w:p>
            <w:pPr>
              <w:pStyle w:val="6"/>
              <w:spacing w:line="300" w:lineRule="exact"/>
              <w:ind w:firstLine="0"/>
              <w:jc w:val="center"/>
              <w:rPr>
                <w:sz w:val="21"/>
                <w:szCs w:val="21"/>
              </w:rPr>
            </w:pPr>
            <w:r>
              <w:rPr>
                <w:sz w:val="21"/>
                <w:szCs w:val="21"/>
              </w:rPr>
              <w:t>0.1kg/m</w:t>
            </w:r>
            <w:r>
              <w:rPr>
                <w:sz w:val="21"/>
                <w:szCs w:val="21"/>
                <w:vertAlign w:val="superscript"/>
              </w:rPr>
              <w:t>2</w:t>
            </w:r>
          </w:p>
        </w:tc>
        <w:tc>
          <w:tcPr>
            <w:tcW w:w="678" w:type="pct"/>
            <w:vAlign w:val="center"/>
          </w:tcPr>
          <w:p>
            <w:pPr>
              <w:pStyle w:val="6"/>
              <w:spacing w:line="300" w:lineRule="exact"/>
              <w:ind w:firstLine="0"/>
              <w:jc w:val="center"/>
              <w:rPr>
                <w:sz w:val="21"/>
                <w:szCs w:val="21"/>
              </w:rPr>
            </w:pPr>
            <w:r>
              <w:rPr>
                <w:sz w:val="21"/>
                <w:szCs w:val="21"/>
              </w:rPr>
              <w:t>0.2kg/m</w:t>
            </w:r>
            <w:r>
              <w:rPr>
                <w:sz w:val="21"/>
                <w:szCs w:val="21"/>
                <w:vertAlign w:val="superscript"/>
              </w:rPr>
              <w:t>2</w:t>
            </w:r>
          </w:p>
        </w:tc>
        <w:tc>
          <w:tcPr>
            <w:tcW w:w="678" w:type="pct"/>
            <w:vAlign w:val="center"/>
          </w:tcPr>
          <w:p>
            <w:pPr>
              <w:pStyle w:val="6"/>
              <w:spacing w:line="300" w:lineRule="exact"/>
              <w:ind w:firstLine="0"/>
              <w:jc w:val="center"/>
              <w:rPr>
                <w:sz w:val="21"/>
                <w:szCs w:val="21"/>
              </w:rPr>
            </w:pPr>
            <w:r>
              <w:rPr>
                <w:sz w:val="21"/>
                <w:szCs w:val="21"/>
              </w:rPr>
              <w:t>0.3kg/m</w:t>
            </w:r>
            <w:r>
              <w:rPr>
                <w:sz w:val="21"/>
                <w:szCs w:val="21"/>
                <w:vertAlign w:val="superscript"/>
              </w:rPr>
              <w:t>2</w:t>
            </w:r>
          </w:p>
        </w:tc>
        <w:tc>
          <w:tcPr>
            <w:tcW w:w="678" w:type="pct"/>
            <w:vAlign w:val="center"/>
          </w:tcPr>
          <w:p>
            <w:pPr>
              <w:pStyle w:val="6"/>
              <w:spacing w:line="300" w:lineRule="exact"/>
              <w:ind w:firstLine="0"/>
              <w:jc w:val="center"/>
              <w:rPr>
                <w:sz w:val="21"/>
                <w:szCs w:val="21"/>
              </w:rPr>
            </w:pPr>
            <w:r>
              <w:rPr>
                <w:sz w:val="21"/>
                <w:szCs w:val="21"/>
              </w:rPr>
              <w:t>0.4kg/m</w:t>
            </w:r>
            <w:r>
              <w:rPr>
                <w:sz w:val="21"/>
                <w:szCs w:val="21"/>
                <w:vertAlign w:val="superscript"/>
              </w:rPr>
              <w:t>2</w:t>
            </w:r>
          </w:p>
        </w:tc>
        <w:tc>
          <w:tcPr>
            <w:tcW w:w="678" w:type="pct"/>
            <w:vAlign w:val="center"/>
          </w:tcPr>
          <w:p>
            <w:pPr>
              <w:pStyle w:val="6"/>
              <w:spacing w:line="300" w:lineRule="exact"/>
              <w:ind w:firstLine="0"/>
              <w:jc w:val="center"/>
              <w:rPr>
                <w:sz w:val="21"/>
                <w:szCs w:val="21"/>
              </w:rPr>
            </w:pPr>
            <w:r>
              <w:rPr>
                <w:sz w:val="21"/>
                <w:szCs w:val="21"/>
              </w:rPr>
              <w:t>0.5kg/m</w:t>
            </w:r>
            <w:r>
              <w:rPr>
                <w:sz w:val="21"/>
                <w:szCs w:val="21"/>
                <w:vertAlign w:val="superscript"/>
              </w:rPr>
              <w:t>2</w:t>
            </w:r>
          </w:p>
        </w:tc>
        <w:tc>
          <w:tcPr>
            <w:tcW w:w="678" w:type="pct"/>
            <w:vAlign w:val="center"/>
          </w:tcPr>
          <w:p>
            <w:pPr>
              <w:pStyle w:val="6"/>
              <w:spacing w:line="300" w:lineRule="exact"/>
              <w:ind w:firstLine="0"/>
              <w:jc w:val="center"/>
              <w:rPr>
                <w:sz w:val="21"/>
                <w:szCs w:val="21"/>
              </w:rPr>
            </w:pPr>
            <w:r>
              <w:rPr>
                <w:sz w:val="21"/>
                <w:szCs w:val="21"/>
              </w:rPr>
              <w:t>1kg/m</w:t>
            </w:r>
            <w:r>
              <w:rPr>
                <w:sz w:val="21"/>
                <w:szCs w:val="21"/>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2" w:type="pct"/>
            <w:vAlign w:val="center"/>
          </w:tcPr>
          <w:p>
            <w:pPr>
              <w:jc w:val="center"/>
              <w:rPr>
                <w:szCs w:val="21"/>
              </w:rPr>
            </w:pPr>
            <w:r>
              <w:rPr>
                <w:szCs w:val="21"/>
              </w:rPr>
              <w:t>5(km/hr)</w:t>
            </w:r>
          </w:p>
        </w:tc>
        <w:tc>
          <w:tcPr>
            <w:tcW w:w="678" w:type="pct"/>
            <w:vAlign w:val="center"/>
          </w:tcPr>
          <w:p>
            <w:pPr>
              <w:pStyle w:val="6"/>
              <w:spacing w:line="320" w:lineRule="exact"/>
              <w:ind w:firstLine="0"/>
              <w:jc w:val="center"/>
              <w:rPr>
                <w:sz w:val="21"/>
                <w:szCs w:val="21"/>
              </w:rPr>
            </w:pPr>
            <w:r>
              <w:rPr>
                <w:sz w:val="21"/>
                <w:szCs w:val="21"/>
              </w:rPr>
              <w:t>0.051056</w:t>
            </w:r>
          </w:p>
        </w:tc>
        <w:tc>
          <w:tcPr>
            <w:tcW w:w="678" w:type="pct"/>
            <w:vAlign w:val="center"/>
          </w:tcPr>
          <w:p>
            <w:pPr>
              <w:pStyle w:val="6"/>
              <w:spacing w:line="320" w:lineRule="exact"/>
              <w:ind w:firstLine="0"/>
              <w:jc w:val="center"/>
              <w:rPr>
                <w:sz w:val="21"/>
                <w:szCs w:val="21"/>
              </w:rPr>
            </w:pPr>
            <w:r>
              <w:rPr>
                <w:sz w:val="21"/>
                <w:szCs w:val="21"/>
              </w:rPr>
              <w:t>0.085865</w:t>
            </w:r>
          </w:p>
        </w:tc>
        <w:tc>
          <w:tcPr>
            <w:tcW w:w="678" w:type="pct"/>
            <w:vAlign w:val="center"/>
          </w:tcPr>
          <w:p>
            <w:pPr>
              <w:pStyle w:val="6"/>
              <w:spacing w:line="320" w:lineRule="exact"/>
              <w:ind w:firstLine="0"/>
              <w:jc w:val="center"/>
              <w:rPr>
                <w:sz w:val="21"/>
                <w:szCs w:val="21"/>
              </w:rPr>
            </w:pPr>
            <w:r>
              <w:rPr>
                <w:sz w:val="21"/>
                <w:szCs w:val="21"/>
              </w:rPr>
              <w:t>0.116382</w:t>
            </w:r>
          </w:p>
        </w:tc>
        <w:tc>
          <w:tcPr>
            <w:tcW w:w="678" w:type="pct"/>
            <w:vAlign w:val="center"/>
          </w:tcPr>
          <w:p>
            <w:pPr>
              <w:pStyle w:val="6"/>
              <w:spacing w:line="320" w:lineRule="exact"/>
              <w:ind w:firstLine="0"/>
              <w:jc w:val="center"/>
              <w:rPr>
                <w:sz w:val="21"/>
                <w:szCs w:val="21"/>
              </w:rPr>
            </w:pPr>
            <w:r>
              <w:rPr>
                <w:sz w:val="21"/>
                <w:szCs w:val="21"/>
              </w:rPr>
              <w:t>0.144408</w:t>
            </w:r>
          </w:p>
        </w:tc>
        <w:tc>
          <w:tcPr>
            <w:tcW w:w="678" w:type="pct"/>
            <w:vAlign w:val="center"/>
          </w:tcPr>
          <w:p>
            <w:pPr>
              <w:pStyle w:val="6"/>
              <w:spacing w:line="320" w:lineRule="exact"/>
              <w:ind w:firstLine="0"/>
              <w:jc w:val="center"/>
              <w:rPr>
                <w:sz w:val="21"/>
                <w:szCs w:val="21"/>
              </w:rPr>
            </w:pPr>
            <w:r>
              <w:rPr>
                <w:sz w:val="21"/>
                <w:szCs w:val="21"/>
              </w:rPr>
              <w:t>0.170715</w:t>
            </w:r>
          </w:p>
        </w:tc>
        <w:tc>
          <w:tcPr>
            <w:tcW w:w="678" w:type="pct"/>
            <w:vAlign w:val="center"/>
          </w:tcPr>
          <w:p>
            <w:pPr>
              <w:pStyle w:val="6"/>
              <w:spacing w:line="320" w:lineRule="exact"/>
              <w:ind w:firstLine="0"/>
              <w:jc w:val="center"/>
              <w:rPr>
                <w:sz w:val="21"/>
                <w:szCs w:val="21"/>
              </w:rPr>
            </w:pPr>
            <w:r>
              <w:rPr>
                <w:sz w:val="21"/>
                <w:szCs w:val="21"/>
              </w:rPr>
              <w:t>0.287108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2" w:type="pct"/>
            <w:vAlign w:val="center"/>
          </w:tcPr>
          <w:p>
            <w:pPr>
              <w:jc w:val="center"/>
              <w:rPr>
                <w:szCs w:val="21"/>
              </w:rPr>
            </w:pPr>
            <w:r>
              <w:rPr>
                <w:szCs w:val="21"/>
              </w:rPr>
              <w:t>10(km/hr)</w:t>
            </w:r>
          </w:p>
        </w:tc>
        <w:tc>
          <w:tcPr>
            <w:tcW w:w="678" w:type="pct"/>
            <w:vAlign w:val="center"/>
          </w:tcPr>
          <w:p>
            <w:pPr>
              <w:pStyle w:val="6"/>
              <w:spacing w:line="320" w:lineRule="exact"/>
              <w:ind w:firstLine="0"/>
              <w:jc w:val="center"/>
              <w:rPr>
                <w:sz w:val="21"/>
                <w:szCs w:val="21"/>
              </w:rPr>
            </w:pPr>
            <w:r>
              <w:rPr>
                <w:sz w:val="21"/>
                <w:szCs w:val="21"/>
              </w:rPr>
              <w:t>0.102112</w:t>
            </w:r>
          </w:p>
        </w:tc>
        <w:tc>
          <w:tcPr>
            <w:tcW w:w="678" w:type="pct"/>
            <w:vAlign w:val="center"/>
          </w:tcPr>
          <w:p>
            <w:pPr>
              <w:pStyle w:val="6"/>
              <w:spacing w:line="320" w:lineRule="exact"/>
              <w:ind w:firstLine="0"/>
              <w:jc w:val="center"/>
              <w:rPr>
                <w:sz w:val="21"/>
                <w:szCs w:val="21"/>
              </w:rPr>
            </w:pPr>
            <w:r>
              <w:rPr>
                <w:sz w:val="21"/>
                <w:szCs w:val="21"/>
              </w:rPr>
              <w:t>0.171731</w:t>
            </w:r>
          </w:p>
        </w:tc>
        <w:tc>
          <w:tcPr>
            <w:tcW w:w="678" w:type="pct"/>
            <w:vAlign w:val="center"/>
          </w:tcPr>
          <w:p>
            <w:pPr>
              <w:pStyle w:val="6"/>
              <w:spacing w:line="320" w:lineRule="exact"/>
              <w:ind w:firstLine="0"/>
              <w:jc w:val="center"/>
              <w:rPr>
                <w:sz w:val="21"/>
                <w:szCs w:val="21"/>
              </w:rPr>
            </w:pPr>
            <w:r>
              <w:rPr>
                <w:sz w:val="21"/>
                <w:szCs w:val="21"/>
              </w:rPr>
              <w:t>0.232764</w:t>
            </w:r>
          </w:p>
        </w:tc>
        <w:tc>
          <w:tcPr>
            <w:tcW w:w="678" w:type="pct"/>
            <w:vAlign w:val="center"/>
          </w:tcPr>
          <w:p>
            <w:pPr>
              <w:pStyle w:val="6"/>
              <w:spacing w:line="320" w:lineRule="exact"/>
              <w:ind w:firstLine="0"/>
              <w:jc w:val="center"/>
              <w:rPr>
                <w:sz w:val="21"/>
                <w:szCs w:val="21"/>
              </w:rPr>
            </w:pPr>
            <w:r>
              <w:rPr>
                <w:sz w:val="21"/>
                <w:szCs w:val="21"/>
              </w:rPr>
              <w:t>0.288815</w:t>
            </w:r>
          </w:p>
        </w:tc>
        <w:tc>
          <w:tcPr>
            <w:tcW w:w="678" w:type="pct"/>
            <w:vAlign w:val="center"/>
          </w:tcPr>
          <w:p>
            <w:pPr>
              <w:pStyle w:val="6"/>
              <w:spacing w:line="320" w:lineRule="exact"/>
              <w:ind w:firstLine="0"/>
              <w:jc w:val="center"/>
              <w:rPr>
                <w:sz w:val="21"/>
                <w:szCs w:val="21"/>
              </w:rPr>
            </w:pPr>
            <w:r>
              <w:rPr>
                <w:sz w:val="21"/>
                <w:szCs w:val="21"/>
              </w:rPr>
              <w:t>0.341431</w:t>
            </w:r>
          </w:p>
        </w:tc>
        <w:tc>
          <w:tcPr>
            <w:tcW w:w="678" w:type="pct"/>
            <w:vAlign w:val="center"/>
          </w:tcPr>
          <w:p>
            <w:pPr>
              <w:pStyle w:val="6"/>
              <w:spacing w:line="320" w:lineRule="exact"/>
              <w:ind w:firstLine="0"/>
              <w:jc w:val="center"/>
              <w:rPr>
                <w:sz w:val="21"/>
                <w:szCs w:val="21"/>
              </w:rPr>
            </w:pPr>
            <w:r>
              <w:rPr>
                <w:sz w:val="21"/>
                <w:szCs w:val="21"/>
              </w:rPr>
              <w:t>0.574216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2" w:type="pct"/>
            <w:vAlign w:val="center"/>
          </w:tcPr>
          <w:p>
            <w:pPr>
              <w:jc w:val="center"/>
              <w:rPr>
                <w:szCs w:val="21"/>
              </w:rPr>
            </w:pPr>
            <w:r>
              <w:rPr>
                <w:szCs w:val="21"/>
              </w:rPr>
              <w:t>15(km/hr)</w:t>
            </w:r>
          </w:p>
        </w:tc>
        <w:tc>
          <w:tcPr>
            <w:tcW w:w="678" w:type="pct"/>
            <w:vAlign w:val="center"/>
          </w:tcPr>
          <w:p>
            <w:pPr>
              <w:pStyle w:val="6"/>
              <w:spacing w:line="320" w:lineRule="exact"/>
              <w:ind w:firstLine="0"/>
              <w:jc w:val="center"/>
              <w:rPr>
                <w:sz w:val="21"/>
                <w:szCs w:val="21"/>
              </w:rPr>
            </w:pPr>
            <w:r>
              <w:rPr>
                <w:sz w:val="21"/>
                <w:szCs w:val="21"/>
              </w:rPr>
              <w:t>0.153167</w:t>
            </w:r>
          </w:p>
        </w:tc>
        <w:tc>
          <w:tcPr>
            <w:tcW w:w="678" w:type="pct"/>
            <w:vAlign w:val="center"/>
          </w:tcPr>
          <w:p>
            <w:pPr>
              <w:pStyle w:val="6"/>
              <w:spacing w:line="320" w:lineRule="exact"/>
              <w:ind w:firstLine="0"/>
              <w:jc w:val="center"/>
              <w:rPr>
                <w:sz w:val="21"/>
                <w:szCs w:val="21"/>
              </w:rPr>
            </w:pPr>
            <w:r>
              <w:rPr>
                <w:sz w:val="21"/>
                <w:szCs w:val="21"/>
              </w:rPr>
              <w:t>0.257596</w:t>
            </w:r>
          </w:p>
        </w:tc>
        <w:tc>
          <w:tcPr>
            <w:tcW w:w="678" w:type="pct"/>
            <w:vAlign w:val="center"/>
          </w:tcPr>
          <w:p>
            <w:pPr>
              <w:pStyle w:val="6"/>
              <w:spacing w:line="320" w:lineRule="exact"/>
              <w:ind w:firstLine="0"/>
              <w:jc w:val="center"/>
              <w:rPr>
                <w:sz w:val="21"/>
                <w:szCs w:val="21"/>
              </w:rPr>
            </w:pPr>
            <w:r>
              <w:rPr>
                <w:sz w:val="21"/>
                <w:szCs w:val="21"/>
              </w:rPr>
              <w:t>0.349146</w:t>
            </w:r>
          </w:p>
        </w:tc>
        <w:tc>
          <w:tcPr>
            <w:tcW w:w="678" w:type="pct"/>
            <w:vAlign w:val="center"/>
          </w:tcPr>
          <w:p>
            <w:pPr>
              <w:pStyle w:val="6"/>
              <w:spacing w:line="320" w:lineRule="exact"/>
              <w:ind w:firstLine="0"/>
              <w:jc w:val="center"/>
              <w:rPr>
                <w:sz w:val="21"/>
                <w:szCs w:val="21"/>
              </w:rPr>
            </w:pPr>
            <w:r>
              <w:rPr>
                <w:sz w:val="21"/>
                <w:szCs w:val="21"/>
              </w:rPr>
              <w:t>0.433223</w:t>
            </w:r>
          </w:p>
        </w:tc>
        <w:tc>
          <w:tcPr>
            <w:tcW w:w="678" w:type="pct"/>
            <w:vAlign w:val="center"/>
          </w:tcPr>
          <w:p>
            <w:pPr>
              <w:pStyle w:val="6"/>
              <w:spacing w:line="320" w:lineRule="exact"/>
              <w:ind w:firstLine="0"/>
              <w:jc w:val="center"/>
              <w:rPr>
                <w:sz w:val="21"/>
                <w:szCs w:val="21"/>
              </w:rPr>
            </w:pPr>
            <w:r>
              <w:rPr>
                <w:sz w:val="21"/>
                <w:szCs w:val="21"/>
              </w:rPr>
              <w:t>0.512146</w:t>
            </w:r>
          </w:p>
        </w:tc>
        <w:tc>
          <w:tcPr>
            <w:tcW w:w="678" w:type="pct"/>
            <w:vAlign w:val="center"/>
          </w:tcPr>
          <w:p>
            <w:pPr>
              <w:pStyle w:val="6"/>
              <w:spacing w:line="320" w:lineRule="exact"/>
              <w:ind w:firstLine="0"/>
              <w:jc w:val="center"/>
              <w:rPr>
                <w:sz w:val="21"/>
                <w:szCs w:val="21"/>
              </w:rPr>
            </w:pPr>
            <w:r>
              <w:rPr>
                <w:sz w:val="21"/>
                <w:szCs w:val="21"/>
              </w:rPr>
              <w:t>0.861323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2" w:type="pct"/>
            <w:vAlign w:val="center"/>
          </w:tcPr>
          <w:p>
            <w:pPr>
              <w:jc w:val="center"/>
              <w:rPr>
                <w:szCs w:val="21"/>
              </w:rPr>
            </w:pPr>
            <w:r>
              <w:rPr>
                <w:szCs w:val="21"/>
              </w:rPr>
              <w:t>25(km/hr)</w:t>
            </w:r>
          </w:p>
        </w:tc>
        <w:tc>
          <w:tcPr>
            <w:tcW w:w="678" w:type="pct"/>
            <w:vAlign w:val="center"/>
          </w:tcPr>
          <w:p>
            <w:pPr>
              <w:pStyle w:val="6"/>
              <w:spacing w:line="320" w:lineRule="exact"/>
              <w:ind w:firstLine="0"/>
              <w:jc w:val="center"/>
              <w:rPr>
                <w:sz w:val="21"/>
                <w:szCs w:val="21"/>
              </w:rPr>
            </w:pPr>
            <w:r>
              <w:rPr>
                <w:sz w:val="21"/>
                <w:szCs w:val="21"/>
              </w:rPr>
              <w:t>0.255279</w:t>
            </w:r>
          </w:p>
        </w:tc>
        <w:tc>
          <w:tcPr>
            <w:tcW w:w="678" w:type="pct"/>
            <w:vAlign w:val="center"/>
          </w:tcPr>
          <w:p>
            <w:pPr>
              <w:pStyle w:val="6"/>
              <w:spacing w:line="320" w:lineRule="exact"/>
              <w:ind w:firstLine="0"/>
              <w:jc w:val="center"/>
              <w:rPr>
                <w:sz w:val="21"/>
                <w:szCs w:val="21"/>
              </w:rPr>
            </w:pPr>
            <w:r>
              <w:rPr>
                <w:sz w:val="21"/>
                <w:szCs w:val="21"/>
              </w:rPr>
              <w:t>0.429326</w:t>
            </w:r>
          </w:p>
        </w:tc>
        <w:tc>
          <w:tcPr>
            <w:tcW w:w="678" w:type="pct"/>
            <w:vAlign w:val="center"/>
          </w:tcPr>
          <w:p>
            <w:pPr>
              <w:pStyle w:val="6"/>
              <w:spacing w:line="320" w:lineRule="exact"/>
              <w:ind w:firstLine="0"/>
              <w:jc w:val="center"/>
              <w:rPr>
                <w:sz w:val="21"/>
                <w:szCs w:val="21"/>
              </w:rPr>
            </w:pPr>
            <w:r>
              <w:rPr>
                <w:sz w:val="21"/>
                <w:szCs w:val="21"/>
              </w:rPr>
              <w:t>0.58191</w:t>
            </w:r>
          </w:p>
        </w:tc>
        <w:tc>
          <w:tcPr>
            <w:tcW w:w="678" w:type="pct"/>
            <w:vAlign w:val="center"/>
          </w:tcPr>
          <w:p>
            <w:pPr>
              <w:spacing w:line="320" w:lineRule="exact"/>
              <w:jc w:val="center"/>
              <w:rPr>
                <w:szCs w:val="21"/>
              </w:rPr>
            </w:pPr>
            <w:r>
              <w:rPr>
                <w:szCs w:val="21"/>
              </w:rPr>
              <w:t>0.722038</w:t>
            </w:r>
          </w:p>
        </w:tc>
        <w:tc>
          <w:tcPr>
            <w:tcW w:w="678" w:type="pct"/>
            <w:vAlign w:val="center"/>
          </w:tcPr>
          <w:p>
            <w:pPr>
              <w:spacing w:line="320" w:lineRule="exact"/>
              <w:jc w:val="center"/>
              <w:rPr>
                <w:szCs w:val="21"/>
              </w:rPr>
            </w:pPr>
            <w:r>
              <w:rPr>
                <w:szCs w:val="21"/>
              </w:rPr>
              <w:t>0.853577</w:t>
            </w:r>
          </w:p>
        </w:tc>
        <w:tc>
          <w:tcPr>
            <w:tcW w:w="678" w:type="pct"/>
            <w:vAlign w:val="center"/>
          </w:tcPr>
          <w:p>
            <w:pPr>
              <w:spacing w:line="320" w:lineRule="exact"/>
              <w:jc w:val="center"/>
              <w:rPr>
                <w:szCs w:val="21"/>
              </w:rPr>
            </w:pPr>
            <w:r>
              <w:rPr>
                <w:szCs w:val="21"/>
              </w:rPr>
              <w:t>1.435539</w:t>
            </w:r>
          </w:p>
        </w:tc>
      </w:tr>
    </w:tbl>
    <w:p>
      <w:pPr>
        <w:spacing w:line="480" w:lineRule="exact"/>
        <w:ind w:firstLine="480" w:firstLineChars="200"/>
        <w:rPr>
          <w:sz w:val="24"/>
          <w:szCs w:val="24"/>
        </w:rPr>
      </w:pPr>
      <w:r>
        <w:rPr>
          <w:sz w:val="24"/>
          <w:szCs w:val="24"/>
        </w:rPr>
        <w:t>表</w:t>
      </w:r>
      <w:r>
        <w:rPr>
          <w:rFonts w:hint="eastAsia"/>
          <w:sz w:val="24"/>
          <w:szCs w:val="24"/>
        </w:rPr>
        <w:t>5.1-1</w:t>
      </w:r>
      <w:r>
        <w:rPr>
          <w:sz w:val="24"/>
          <w:szCs w:val="24"/>
        </w:rPr>
        <w:t>为一辆10吨卡车，通过一段长度为1km的路面时，不同路面清洁程度，不同行驶速度情况下的扬尘量。由此可</w:t>
      </w:r>
      <w:r>
        <w:rPr>
          <w:rFonts w:hint="eastAsia"/>
          <w:sz w:val="24"/>
          <w:szCs w:val="24"/>
        </w:rPr>
        <w:t>知</w:t>
      </w:r>
      <w:r>
        <w:rPr>
          <w:sz w:val="24"/>
          <w:szCs w:val="24"/>
        </w:rPr>
        <w:t>在同样</w:t>
      </w:r>
      <w:r>
        <w:rPr>
          <w:rFonts w:hint="eastAsia"/>
          <w:sz w:val="24"/>
          <w:szCs w:val="24"/>
        </w:rPr>
        <w:t>的</w:t>
      </w:r>
      <w:r>
        <w:rPr>
          <w:sz w:val="24"/>
          <w:szCs w:val="24"/>
        </w:rPr>
        <w:t>路面清洁程度条件下，车速越快，扬尘量越大；而在同样车速情况下，路面越脏，则扬尘量越大。</w:t>
      </w:r>
    </w:p>
    <w:p>
      <w:pPr>
        <w:spacing w:line="480" w:lineRule="exact"/>
        <w:ind w:firstLine="480" w:firstLineChars="200"/>
        <w:rPr>
          <w:sz w:val="24"/>
          <w:szCs w:val="24"/>
        </w:rPr>
      </w:pPr>
      <w:r>
        <w:rPr>
          <w:rFonts w:hint="eastAsia"/>
          <w:sz w:val="24"/>
          <w:szCs w:val="24"/>
        </w:rPr>
        <w:t>如果在施工期间对车辆行驶的路面施行洒水抑尘，每天洒水4~5次，可使扬尘减少70%左右，表5.1-2为施工场地洒水抑尘的试验结果，结果表明实施每天洒水4~5次进行抑尘，可有效地控制施工扬尘将其污染距离缩小到20~50m范围内。</w:t>
      </w:r>
    </w:p>
    <w:p>
      <w:pPr>
        <w:overflowPunct w:val="0"/>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5.1-2</w:t>
      </w:r>
      <w:r>
        <w:rPr>
          <w:rFonts w:ascii="黑体" w:hAnsi="黑体" w:eastAsia="黑体"/>
          <w:bCs/>
          <w:sz w:val="24"/>
          <w:szCs w:val="24"/>
        </w:rPr>
        <w:t xml:space="preserve">  </w:t>
      </w:r>
      <w:r>
        <w:rPr>
          <w:rFonts w:hint="eastAsia" w:ascii="黑体" w:hAnsi="黑体" w:eastAsia="黑体"/>
          <w:bCs/>
          <w:sz w:val="24"/>
          <w:szCs w:val="24"/>
        </w:rPr>
        <w:t>施工场地洒水抑尘试验结果</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10"/>
        <w:gridCol w:w="1510"/>
        <w:gridCol w:w="1510"/>
        <w:gridCol w:w="1510"/>
        <w:gridCol w:w="1510"/>
        <w:gridCol w:w="15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3" w:type="pct"/>
            <w:vAlign w:val="center"/>
          </w:tcPr>
          <w:p>
            <w:pPr>
              <w:jc w:val="center"/>
              <w:rPr>
                <w:szCs w:val="21"/>
              </w:rPr>
            </w:pPr>
            <w:r>
              <w:rPr>
                <w:rFonts w:hint="eastAsia"/>
                <w:szCs w:val="21"/>
              </w:rPr>
              <w:t>距离（m）</w:t>
            </w:r>
          </w:p>
        </w:tc>
        <w:tc>
          <w:tcPr>
            <w:tcW w:w="833" w:type="pct"/>
            <w:vAlign w:val="center"/>
          </w:tcPr>
          <w:p>
            <w:pPr>
              <w:jc w:val="center"/>
              <w:rPr>
                <w:szCs w:val="21"/>
              </w:rPr>
            </w:pPr>
            <w:r>
              <w:rPr>
                <w:rFonts w:hint="eastAsia"/>
                <w:szCs w:val="21"/>
              </w:rPr>
              <w:t>5</w:t>
            </w:r>
          </w:p>
        </w:tc>
        <w:tc>
          <w:tcPr>
            <w:tcW w:w="833" w:type="pct"/>
            <w:vAlign w:val="center"/>
          </w:tcPr>
          <w:p>
            <w:pPr>
              <w:jc w:val="center"/>
              <w:rPr>
                <w:szCs w:val="21"/>
              </w:rPr>
            </w:pPr>
            <w:r>
              <w:rPr>
                <w:rFonts w:hint="eastAsia"/>
                <w:szCs w:val="21"/>
              </w:rPr>
              <w:t>10</w:t>
            </w:r>
          </w:p>
        </w:tc>
        <w:tc>
          <w:tcPr>
            <w:tcW w:w="833" w:type="pct"/>
            <w:vAlign w:val="center"/>
          </w:tcPr>
          <w:p>
            <w:pPr>
              <w:jc w:val="center"/>
              <w:rPr>
                <w:szCs w:val="21"/>
              </w:rPr>
            </w:pPr>
            <w:r>
              <w:rPr>
                <w:rFonts w:hint="eastAsia"/>
                <w:szCs w:val="21"/>
              </w:rPr>
              <w:t>20</w:t>
            </w:r>
          </w:p>
        </w:tc>
        <w:tc>
          <w:tcPr>
            <w:tcW w:w="833" w:type="pct"/>
            <w:vAlign w:val="center"/>
          </w:tcPr>
          <w:p>
            <w:pPr>
              <w:jc w:val="center"/>
              <w:rPr>
                <w:szCs w:val="21"/>
              </w:rPr>
            </w:pPr>
            <w:r>
              <w:rPr>
                <w:rFonts w:hint="eastAsia"/>
                <w:szCs w:val="21"/>
              </w:rPr>
              <w:t>50</w:t>
            </w:r>
          </w:p>
        </w:tc>
        <w:tc>
          <w:tcPr>
            <w:tcW w:w="833" w:type="pct"/>
            <w:vAlign w:val="center"/>
          </w:tcPr>
          <w:p>
            <w:pPr>
              <w:jc w:val="center"/>
              <w:rPr>
                <w:szCs w:val="21"/>
              </w:rPr>
            </w:pPr>
            <w:r>
              <w:rPr>
                <w:rFonts w:hint="eastAsia"/>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3" w:type="pct"/>
            <w:vMerge w:val="restart"/>
            <w:vAlign w:val="center"/>
          </w:tcPr>
          <w:p>
            <w:pPr>
              <w:jc w:val="center"/>
              <w:rPr>
                <w:szCs w:val="21"/>
              </w:rPr>
            </w:pPr>
            <w:r>
              <w:rPr>
                <w:rFonts w:hint="eastAsia"/>
                <w:szCs w:val="21"/>
              </w:rPr>
              <w:t>TSP平均浓度（mg/m</w:t>
            </w:r>
            <w:r>
              <w:rPr>
                <w:rFonts w:hint="eastAsia"/>
                <w:szCs w:val="21"/>
                <w:vertAlign w:val="superscript"/>
              </w:rPr>
              <w:t>3</w:t>
            </w:r>
            <w:r>
              <w:rPr>
                <w:rFonts w:hint="eastAsia"/>
                <w:szCs w:val="21"/>
              </w:rPr>
              <w:t>）</w:t>
            </w:r>
          </w:p>
        </w:tc>
        <w:tc>
          <w:tcPr>
            <w:tcW w:w="833" w:type="pct"/>
            <w:vAlign w:val="center"/>
          </w:tcPr>
          <w:p>
            <w:pPr>
              <w:jc w:val="center"/>
              <w:rPr>
                <w:szCs w:val="21"/>
              </w:rPr>
            </w:pPr>
            <w:r>
              <w:rPr>
                <w:rFonts w:hint="eastAsia"/>
                <w:szCs w:val="21"/>
              </w:rPr>
              <w:t>不洒水</w:t>
            </w:r>
          </w:p>
        </w:tc>
        <w:tc>
          <w:tcPr>
            <w:tcW w:w="833" w:type="pct"/>
            <w:vAlign w:val="center"/>
          </w:tcPr>
          <w:p>
            <w:pPr>
              <w:jc w:val="center"/>
              <w:rPr>
                <w:szCs w:val="21"/>
              </w:rPr>
            </w:pPr>
            <w:r>
              <w:rPr>
                <w:rFonts w:hint="eastAsia"/>
                <w:szCs w:val="21"/>
              </w:rPr>
              <w:t>10.14</w:t>
            </w:r>
          </w:p>
        </w:tc>
        <w:tc>
          <w:tcPr>
            <w:tcW w:w="833" w:type="pct"/>
            <w:vAlign w:val="center"/>
          </w:tcPr>
          <w:p>
            <w:pPr>
              <w:jc w:val="center"/>
              <w:rPr>
                <w:szCs w:val="21"/>
              </w:rPr>
            </w:pPr>
            <w:r>
              <w:rPr>
                <w:rFonts w:hint="eastAsia"/>
                <w:szCs w:val="21"/>
              </w:rPr>
              <w:t>2.89</w:t>
            </w:r>
          </w:p>
        </w:tc>
        <w:tc>
          <w:tcPr>
            <w:tcW w:w="833" w:type="pct"/>
            <w:vAlign w:val="center"/>
          </w:tcPr>
          <w:p>
            <w:pPr>
              <w:jc w:val="center"/>
              <w:rPr>
                <w:szCs w:val="21"/>
              </w:rPr>
            </w:pPr>
            <w:r>
              <w:rPr>
                <w:rFonts w:hint="eastAsia"/>
                <w:szCs w:val="21"/>
              </w:rPr>
              <w:t>1.15</w:t>
            </w:r>
          </w:p>
        </w:tc>
        <w:tc>
          <w:tcPr>
            <w:tcW w:w="833" w:type="pct"/>
            <w:vAlign w:val="center"/>
          </w:tcPr>
          <w:p>
            <w:pPr>
              <w:jc w:val="center"/>
              <w:rPr>
                <w:szCs w:val="21"/>
              </w:rPr>
            </w:pPr>
            <w:r>
              <w:rPr>
                <w:rFonts w:hint="eastAsia"/>
                <w:szCs w:val="21"/>
              </w:rPr>
              <w:t>0.86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33" w:type="pct"/>
            <w:vMerge w:val="continue"/>
            <w:vAlign w:val="center"/>
          </w:tcPr>
          <w:p>
            <w:pPr>
              <w:jc w:val="center"/>
              <w:rPr>
                <w:szCs w:val="21"/>
              </w:rPr>
            </w:pPr>
          </w:p>
        </w:tc>
        <w:tc>
          <w:tcPr>
            <w:tcW w:w="833" w:type="pct"/>
            <w:vAlign w:val="center"/>
          </w:tcPr>
          <w:p>
            <w:pPr>
              <w:jc w:val="center"/>
              <w:rPr>
                <w:szCs w:val="21"/>
              </w:rPr>
            </w:pPr>
            <w:r>
              <w:rPr>
                <w:rFonts w:hint="eastAsia"/>
                <w:szCs w:val="21"/>
              </w:rPr>
              <w:t>洒水</w:t>
            </w:r>
          </w:p>
        </w:tc>
        <w:tc>
          <w:tcPr>
            <w:tcW w:w="833" w:type="pct"/>
            <w:vAlign w:val="center"/>
          </w:tcPr>
          <w:p>
            <w:pPr>
              <w:jc w:val="center"/>
              <w:rPr>
                <w:szCs w:val="21"/>
              </w:rPr>
            </w:pPr>
            <w:r>
              <w:rPr>
                <w:rFonts w:hint="eastAsia"/>
                <w:szCs w:val="21"/>
              </w:rPr>
              <w:t>2.01</w:t>
            </w:r>
          </w:p>
        </w:tc>
        <w:tc>
          <w:tcPr>
            <w:tcW w:w="833" w:type="pct"/>
            <w:vAlign w:val="center"/>
          </w:tcPr>
          <w:p>
            <w:pPr>
              <w:jc w:val="center"/>
              <w:rPr>
                <w:szCs w:val="21"/>
              </w:rPr>
            </w:pPr>
            <w:r>
              <w:rPr>
                <w:rFonts w:hint="eastAsia"/>
                <w:szCs w:val="21"/>
              </w:rPr>
              <w:t>1.40</w:t>
            </w:r>
          </w:p>
        </w:tc>
        <w:tc>
          <w:tcPr>
            <w:tcW w:w="833" w:type="pct"/>
            <w:vAlign w:val="center"/>
          </w:tcPr>
          <w:p>
            <w:pPr>
              <w:jc w:val="center"/>
              <w:rPr>
                <w:szCs w:val="21"/>
              </w:rPr>
            </w:pPr>
            <w:r>
              <w:rPr>
                <w:rFonts w:hint="eastAsia"/>
                <w:szCs w:val="21"/>
              </w:rPr>
              <w:t>0.67</w:t>
            </w:r>
          </w:p>
        </w:tc>
        <w:tc>
          <w:tcPr>
            <w:tcW w:w="833" w:type="pct"/>
            <w:vAlign w:val="center"/>
          </w:tcPr>
          <w:p>
            <w:pPr>
              <w:jc w:val="center"/>
              <w:rPr>
                <w:szCs w:val="21"/>
              </w:rPr>
            </w:pPr>
            <w:r>
              <w:rPr>
                <w:rFonts w:hint="eastAsia"/>
                <w:szCs w:val="21"/>
              </w:rPr>
              <w:t>0.60</w:t>
            </w:r>
          </w:p>
        </w:tc>
      </w:tr>
    </w:tbl>
    <w:p>
      <w:pPr>
        <w:spacing w:line="480" w:lineRule="exact"/>
        <w:ind w:firstLine="496" w:firstLineChars="200"/>
        <w:rPr>
          <w:spacing w:val="4"/>
          <w:sz w:val="24"/>
          <w:szCs w:val="24"/>
        </w:rPr>
      </w:pPr>
      <w:r>
        <w:rPr>
          <w:rFonts w:hint="eastAsia"/>
          <w:spacing w:val="4"/>
          <w:sz w:val="24"/>
          <w:szCs w:val="24"/>
        </w:rPr>
        <w:t>因此，</w:t>
      </w:r>
      <w:r>
        <w:rPr>
          <w:spacing w:val="4"/>
          <w:sz w:val="24"/>
          <w:szCs w:val="24"/>
        </w:rPr>
        <w:t>限速行驶及保持路面的清洁</w:t>
      </w:r>
      <w:r>
        <w:rPr>
          <w:rFonts w:hint="eastAsia"/>
          <w:spacing w:val="4"/>
          <w:sz w:val="24"/>
          <w:szCs w:val="24"/>
        </w:rPr>
        <w:t>，同时适当洒水</w:t>
      </w:r>
      <w:r>
        <w:rPr>
          <w:spacing w:val="4"/>
          <w:sz w:val="24"/>
          <w:szCs w:val="24"/>
        </w:rPr>
        <w:t>是减少汽车扬尘的有效</w:t>
      </w:r>
      <w:r>
        <w:rPr>
          <w:rFonts w:hint="eastAsia"/>
          <w:spacing w:val="4"/>
          <w:sz w:val="24"/>
          <w:szCs w:val="24"/>
        </w:rPr>
        <w:t>措施</w:t>
      </w:r>
      <w:r>
        <w:rPr>
          <w:spacing w:val="4"/>
          <w:sz w:val="24"/>
          <w:szCs w:val="24"/>
        </w:rPr>
        <w:t>。</w:t>
      </w:r>
    </w:p>
    <w:p>
      <w:pPr>
        <w:spacing w:line="480" w:lineRule="exact"/>
        <w:rPr>
          <w:b/>
          <w:sz w:val="24"/>
        </w:rPr>
      </w:pPr>
      <w:r>
        <w:rPr>
          <w:rFonts w:hint="eastAsia"/>
          <w:b/>
          <w:sz w:val="24"/>
        </w:rPr>
        <w:t>2、动力起尘</w:t>
      </w:r>
    </w:p>
    <w:p>
      <w:pPr>
        <w:spacing w:line="480" w:lineRule="exact"/>
        <w:ind w:firstLine="480" w:firstLineChars="200"/>
        <w:rPr>
          <w:sz w:val="24"/>
          <w:szCs w:val="24"/>
        </w:rPr>
      </w:pPr>
      <w:r>
        <w:rPr>
          <w:rFonts w:hint="eastAsia"/>
          <w:sz w:val="24"/>
          <w:szCs w:val="24"/>
        </w:rPr>
        <w:t>施工扬尘的另一种情况是露天堆场和裸露场地的风力扬尘，其扬尘量可参考煤堆场起尘的计算公示：</w:t>
      </w:r>
    </w:p>
    <w:p>
      <w:pPr>
        <w:spacing w:line="480" w:lineRule="exact"/>
        <w:jc w:val="center"/>
        <w:rPr>
          <w:spacing w:val="4"/>
          <w:sz w:val="24"/>
          <w:szCs w:val="24"/>
        </w:rPr>
      </w:pPr>
      <w:r>
        <w:rPr>
          <w:sz w:val="24"/>
        </w:rPr>
        <w:t>Q=2.1</w:t>
      </w:r>
      <w:r>
        <w:rPr>
          <w:rFonts w:hint="eastAsia"/>
          <w:sz w:val="24"/>
        </w:rPr>
        <w:t>k</w:t>
      </w:r>
      <w:r>
        <w:rPr>
          <w:sz w:val="24"/>
        </w:rPr>
        <w:t>（V – V</w:t>
      </w:r>
      <w:r>
        <w:rPr>
          <w:sz w:val="24"/>
          <w:vertAlign w:val="subscript"/>
        </w:rPr>
        <w:t>0</w:t>
      </w:r>
      <w:r>
        <w:rPr>
          <w:sz w:val="24"/>
        </w:rPr>
        <w:t>）</w:t>
      </w:r>
      <w:r>
        <w:rPr>
          <w:sz w:val="24"/>
          <w:vertAlign w:val="superscript"/>
        </w:rPr>
        <w:t>3</w:t>
      </w:r>
      <w:r>
        <w:rPr>
          <w:sz w:val="24"/>
        </w:rPr>
        <w:t>e</w:t>
      </w:r>
      <w:r>
        <w:rPr>
          <w:sz w:val="24"/>
          <w:vertAlign w:val="superscript"/>
        </w:rPr>
        <w:t>-1.023W</w:t>
      </w:r>
    </w:p>
    <w:p>
      <w:pPr>
        <w:spacing w:line="480" w:lineRule="exact"/>
        <w:ind w:firstLine="480" w:firstLineChars="200"/>
        <w:rPr>
          <w:sz w:val="24"/>
        </w:rPr>
      </w:pPr>
      <w:r>
        <w:rPr>
          <w:sz w:val="24"/>
        </w:rPr>
        <w:t>式中：Q ——起尘量，kg/</w:t>
      </w:r>
      <w:r>
        <w:rPr>
          <w:rFonts w:hint="eastAsia"/>
          <w:sz w:val="24"/>
        </w:rPr>
        <w:t>t</w:t>
      </w:r>
      <w:r>
        <w:rPr>
          <w:sz w:val="24"/>
        </w:rPr>
        <w:t>·</w:t>
      </w:r>
      <w:r>
        <w:rPr>
          <w:rFonts w:hint="eastAsia"/>
          <w:sz w:val="24"/>
        </w:rPr>
        <w:t>a</w:t>
      </w:r>
      <w:r>
        <w:rPr>
          <w:sz w:val="24"/>
        </w:rPr>
        <w:t>；</w:t>
      </w:r>
    </w:p>
    <w:p>
      <w:pPr>
        <w:spacing w:line="480" w:lineRule="exact"/>
        <w:ind w:firstLine="1200" w:firstLineChars="500"/>
        <w:rPr>
          <w:sz w:val="24"/>
        </w:rPr>
      </w:pPr>
      <w:r>
        <w:rPr>
          <w:rFonts w:hint="eastAsia"/>
          <w:sz w:val="24"/>
        </w:rPr>
        <w:t>k</w:t>
      </w:r>
      <w:r>
        <w:rPr>
          <w:sz w:val="24"/>
        </w:rPr>
        <w:t xml:space="preserve"> ——</w:t>
      </w:r>
      <w:r>
        <w:rPr>
          <w:rFonts w:hint="eastAsia"/>
          <w:sz w:val="24"/>
        </w:rPr>
        <w:t>经验系数，是煤含水量的函数；</w:t>
      </w:r>
    </w:p>
    <w:p>
      <w:pPr>
        <w:spacing w:line="480" w:lineRule="exact"/>
        <w:ind w:firstLine="1200" w:firstLineChars="500"/>
        <w:rPr>
          <w:sz w:val="24"/>
        </w:rPr>
      </w:pPr>
      <w:r>
        <w:rPr>
          <w:sz w:val="24"/>
        </w:rPr>
        <w:t>V——</w:t>
      </w:r>
      <w:r>
        <w:rPr>
          <w:rFonts w:hint="eastAsia"/>
          <w:sz w:val="24"/>
        </w:rPr>
        <w:t>煤场平均风速</w:t>
      </w:r>
      <w:r>
        <w:rPr>
          <w:sz w:val="24"/>
        </w:rPr>
        <w:t>，m/s；</w:t>
      </w:r>
    </w:p>
    <w:p>
      <w:pPr>
        <w:spacing w:line="480" w:lineRule="exact"/>
        <w:ind w:firstLine="1200" w:firstLineChars="500"/>
        <w:rPr>
          <w:sz w:val="24"/>
        </w:rPr>
      </w:pPr>
      <w:r>
        <w:rPr>
          <w:sz w:val="24"/>
        </w:rPr>
        <w:t>V</w:t>
      </w:r>
      <w:r>
        <w:rPr>
          <w:sz w:val="24"/>
          <w:vertAlign w:val="subscript"/>
        </w:rPr>
        <w:t>0</w:t>
      </w:r>
      <w:r>
        <w:rPr>
          <w:sz w:val="24"/>
        </w:rPr>
        <w:t xml:space="preserve"> ——起尘风速，m/s；</w:t>
      </w:r>
    </w:p>
    <w:p>
      <w:pPr>
        <w:spacing w:line="480" w:lineRule="exact"/>
        <w:ind w:firstLine="1200" w:firstLineChars="500"/>
        <w:rPr>
          <w:spacing w:val="4"/>
          <w:sz w:val="24"/>
          <w:szCs w:val="24"/>
        </w:rPr>
      </w:pPr>
      <w:r>
        <w:rPr>
          <w:sz w:val="24"/>
        </w:rPr>
        <w:t>W ——尘粒含水率，%。</w:t>
      </w:r>
    </w:p>
    <w:p>
      <w:pPr>
        <w:spacing w:line="480" w:lineRule="exact"/>
        <w:ind w:firstLine="480" w:firstLineChars="200"/>
        <w:rPr>
          <w:sz w:val="24"/>
          <w:szCs w:val="24"/>
        </w:rPr>
      </w:pPr>
      <w:r>
        <w:rPr>
          <w:rFonts w:hint="eastAsia"/>
          <w:sz w:val="24"/>
          <w:szCs w:val="24"/>
        </w:rPr>
        <w:t>由此可见，风力</w:t>
      </w:r>
      <w:r>
        <w:rPr>
          <w:sz w:val="24"/>
          <w:szCs w:val="24"/>
        </w:rPr>
        <w:t>扬尘产生</w:t>
      </w:r>
      <w:r>
        <w:rPr>
          <w:rFonts w:hint="eastAsia"/>
          <w:sz w:val="24"/>
          <w:szCs w:val="24"/>
        </w:rPr>
        <w:t>量与风速和尘粒含水率有关。因此，减少建材的露天堆放和保证一定的含水率等措施是抑制这类扬尘的有效手段。此外，尘粒在空气中的传播扩散情况与风速等气象条件有关外，也与尘粒本身的沉降速度有关。以沙尘土为例，其沉降速度随粒径的增大而迅速增大。当粒径为250微米时，沉降速度为1.005m/s，因此当尘粒大于250微米时，主要影响范围在扬尘点下风向近距离范围内。因此施工期间应特别注意施工扬尘的防治问题，须制定必要的防治措施，以减少施工扬尘对周围环境的影响。</w:t>
      </w:r>
    </w:p>
    <w:p>
      <w:pPr>
        <w:spacing w:line="480" w:lineRule="exact"/>
        <w:ind w:firstLine="480" w:firstLineChars="200"/>
        <w:rPr>
          <w:sz w:val="24"/>
          <w:szCs w:val="24"/>
        </w:rPr>
      </w:pPr>
      <w:r>
        <w:rPr>
          <w:rFonts w:hint="eastAsia"/>
          <w:sz w:val="24"/>
          <w:szCs w:val="24"/>
        </w:rPr>
        <w:t>因此项目在施工期间注意保持场区道路路面清洁、进出场区车辆控制车速、施工现场定时洒水、不在大风天气开挖、回填以及易产生粉尘的建筑材料尽量不漏天堆放等措施后，施工扬尘对周围环境影响不大。</w:t>
      </w:r>
    </w:p>
    <w:p>
      <w:pPr>
        <w:pStyle w:val="57"/>
        <w:keepNext/>
        <w:keepLines/>
        <w:spacing w:before="0" w:after="0" w:line="480" w:lineRule="exact"/>
        <w:ind w:firstLine="0" w:firstLineChars="0"/>
        <w:outlineLvl w:val="3"/>
        <w:rPr>
          <w:b/>
        </w:rPr>
      </w:pPr>
      <w:r>
        <w:rPr>
          <w:rFonts w:hint="eastAsia"/>
          <w:b/>
        </w:rPr>
        <w:t>5.1.1.2</w:t>
      </w:r>
      <w:r>
        <w:rPr>
          <w:rFonts w:hint="eastAsia" w:ascii="宋体" w:hAnsi="宋体"/>
          <w:b/>
        </w:rPr>
        <w:t>汽车尾气</w:t>
      </w:r>
    </w:p>
    <w:p>
      <w:pPr>
        <w:spacing w:line="480" w:lineRule="exact"/>
        <w:ind w:firstLine="480" w:firstLineChars="200"/>
        <w:rPr>
          <w:sz w:val="24"/>
          <w:szCs w:val="24"/>
        </w:rPr>
      </w:pPr>
      <w:r>
        <w:rPr>
          <w:sz w:val="24"/>
          <w:szCs w:val="24"/>
        </w:rPr>
        <w:t>施工运输车辆一般是大型柴油车</w:t>
      </w:r>
      <w:r>
        <w:rPr>
          <w:rFonts w:hint="eastAsia"/>
          <w:sz w:val="24"/>
          <w:szCs w:val="24"/>
        </w:rPr>
        <w:t>会</w:t>
      </w:r>
      <w:r>
        <w:rPr>
          <w:sz w:val="24"/>
          <w:szCs w:val="24"/>
        </w:rPr>
        <w:t>产生</w:t>
      </w:r>
      <w:r>
        <w:rPr>
          <w:rFonts w:hint="eastAsia"/>
          <w:sz w:val="24"/>
          <w:szCs w:val="24"/>
        </w:rPr>
        <w:t>的</w:t>
      </w:r>
      <w:r>
        <w:rPr>
          <w:sz w:val="24"/>
          <w:szCs w:val="24"/>
        </w:rPr>
        <w:t>汽车尾气</w:t>
      </w:r>
      <w:r>
        <w:rPr>
          <w:rFonts w:hint="eastAsia"/>
          <w:sz w:val="24"/>
          <w:szCs w:val="24"/>
        </w:rPr>
        <w:t>。</w:t>
      </w:r>
      <w:r>
        <w:rPr>
          <w:sz w:val="24"/>
          <w:szCs w:val="24"/>
        </w:rPr>
        <w:t>废气污染物包括CO、NO</w:t>
      </w:r>
      <w:r>
        <w:rPr>
          <w:sz w:val="24"/>
          <w:szCs w:val="24"/>
          <w:vertAlign w:val="subscript"/>
        </w:rPr>
        <w:t>X</w:t>
      </w:r>
      <w:r>
        <w:rPr>
          <w:sz w:val="24"/>
          <w:szCs w:val="24"/>
        </w:rPr>
        <w:t>、PM</w:t>
      </w:r>
      <w:r>
        <w:rPr>
          <w:sz w:val="24"/>
          <w:szCs w:val="24"/>
          <w:vertAlign w:val="subscript"/>
        </w:rPr>
        <w:t>10</w:t>
      </w:r>
      <w:r>
        <w:rPr>
          <w:rFonts w:hint="eastAsia"/>
          <w:sz w:val="24"/>
          <w:szCs w:val="24"/>
        </w:rPr>
        <w:t>、THC。由于汽车运输属于间歇式操作，加上周围无环境敏感目标，运输车辆尾气对周围环境影响不大。施工期间拟采取以下措施减少对</w:t>
      </w:r>
      <w:r>
        <w:rPr>
          <w:sz w:val="24"/>
          <w:szCs w:val="24"/>
        </w:rPr>
        <w:t>汽车尾气对</w:t>
      </w:r>
      <w:r>
        <w:rPr>
          <w:rFonts w:hint="eastAsia"/>
          <w:sz w:val="24"/>
          <w:szCs w:val="24"/>
        </w:rPr>
        <w:t>周围环境影响</w:t>
      </w:r>
      <w:r>
        <w:rPr>
          <w:sz w:val="24"/>
          <w:szCs w:val="24"/>
        </w:rPr>
        <w:t>如下：</w:t>
      </w:r>
    </w:p>
    <w:p>
      <w:pPr>
        <w:spacing w:line="480" w:lineRule="exact"/>
        <w:ind w:firstLine="480" w:firstLineChars="200"/>
        <w:rPr>
          <w:sz w:val="24"/>
          <w:szCs w:val="24"/>
        </w:rPr>
      </w:pPr>
      <w:r>
        <w:rPr>
          <w:rFonts w:hint="eastAsia"/>
          <w:sz w:val="24"/>
          <w:szCs w:val="24"/>
        </w:rPr>
        <w:t>施工时合理优化汽车运输路线，以减少</w:t>
      </w:r>
      <w:r>
        <w:rPr>
          <w:sz w:val="24"/>
          <w:szCs w:val="24"/>
        </w:rPr>
        <w:t>车辆尾气对</w:t>
      </w:r>
      <w:r>
        <w:rPr>
          <w:rFonts w:hint="eastAsia"/>
          <w:sz w:val="24"/>
          <w:szCs w:val="24"/>
        </w:rPr>
        <w:t>运输沿线环境敏感点的</w:t>
      </w:r>
      <w:r>
        <w:rPr>
          <w:sz w:val="24"/>
          <w:szCs w:val="24"/>
        </w:rPr>
        <w:t>影响。</w:t>
      </w:r>
      <w:r>
        <w:rPr>
          <w:rFonts w:hint="eastAsia"/>
          <w:sz w:val="24"/>
          <w:szCs w:val="24"/>
        </w:rPr>
        <w:t>施工场地内</w:t>
      </w:r>
      <w:r>
        <w:rPr>
          <w:sz w:val="24"/>
          <w:szCs w:val="24"/>
        </w:rPr>
        <w:t>车辆为非连续行驶状态，</w:t>
      </w:r>
      <w:r>
        <w:rPr>
          <w:rFonts w:hint="eastAsia"/>
          <w:sz w:val="24"/>
          <w:szCs w:val="24"/>
        </w:rPr>
        <w:t>定期对车辆进行维护，避免非正常工况下污染物突然排放，降低局部环境空气污染的可能性。</w:t>
      </w:r>
    </w:p>
    <w:p>
      <w:pPr>
        <w:spacing w:line="480" w:lineRule="exact"/>
        <w:ind w:firstLine="480" w:firstLineChars="200"/>
        <w:rPr>
          <w:sz w:val="24"/>
          <w:szCs w:val="24"/>
        </w:rPr>
      </w:pPr>
      <w:r>
        <w:rPr>
          <w:rFonts w:hint="eastAsia"/>
          <w:sz w:val="24"/>
          <w:szCs w:val="24"/>
        </w:rPr>
        <w:t>因此，经优化运输路线后，可减轻</w:t>
      </w:r>
      <w:r>
        <w:rPr>
          <w:sz w:val="24"/>
          <w:szCs w:val="24"/>
        </w:rPr>
        <w:t>汽车尾气对周边环境及</w:t>
      </w:r>
      <w:r>
        <w:rPr>
          <w:rFonts w:hint="eastAsia"/>
          <w:sz w:val="24"/>
          <w:szCs w:val="24"/>
        </w:rPr>
        <w:t>沿途</w:t>
      </w:r>
      <w:r>
        <w:rPr>
          <w:sz w:val="24"/>
          <w:szCs w:val="24"/>
        </w:rPr>
        <w:t>居民</w:t>
      </w:r>
      <w:r>
        <w:rPr>
          <w:rFonts w:hint="eastAsia"/>
          <w:sz w:val="24"/>
          <w:szCs w:val="24"/>
        </w:rPr>
        <w:t>的</w:t>
      </w:r>
      <w:r>
        <w:rPr>
          <w:sz w:val="24"/>
          <w:szCs w:val="24"/>
        </w:rPr>
        <w:t>影响。</w:t>
      </w:r>
    </w:p>
    <w:p>
      <w:pPr>
        <w:pStyle w:val="3"/>
        <w:spacing w:before="0" w:after="0" w:line="480" w:lineRule="exact"/>
        <w:rPr>
          <w:sz w:val="24"/>
          <w:szCs w:val="24"/>
        </w:rPr>
      </w:pPr>
      <w:r>
        <w:rPr>
          <w:rFonts w:hint="eastAsia"/>
          <w:sz w:val="24"/>
          <w:szCs w:val="24"/>
        </w:rPr>
        <w:t>5.1.2</w:t>
      </w:r>
      <w:r>
        <w:rPr>
          <w:sz w:val="24"/>
          <w:szCs w:val="24"/>
        </w:rPr>
        <w:t>施工期</w:t>
      </w:r>
      <w:r>
        <w:rPr>
          <w:rFonts w:hint="eastAsia"/>
          <w:sz w:val="24"/>
          <w:szCs w:val="24"/>
        </w:rPr>
        <w:t>声</w:t>
      </w:r>
      <w:r>
        <w:rPr>
          <w:sz w:val="24"/>
          <w:szCs w:val="24"/>
        </w:rPr>
        <w:t>环境影响分析</w:t>
      </w:r>
    </w:p>
    <w:p>
      <w:pPr>
        <w:pStyle w:val="57"/>
        <w:keepNext/>
        <w:keepLines/>
        <w:spacing w:before="0" w:after="0" w:line="480" w:lineRule="exact"/>
        <w:ind w:firstLine="0" w:firstLineChars="0"/>
        <w:outlineLvl w:val="3"/>
        <w:rPr>
          <w:b/>
        </w:rPr>
      </w:pPr>
      <w:r>
        <w:rPr>
          <w:rFonts w:hint="eastAsia"/>
          <w:b/>
        </w:rPr>
        <w:t>5.1.2.1</w:t>
      </w:r>
      <w:r>
        <w:rPr>
          <w:rFonts w:ascii="宋体" w:hAnsi="宋体"/>
          <w:b/>
        </w:rPr>
        <w:t>施工期噪声种类及源强</w:t>
      </w:r>
    </w:p>
    <w:p>
      <w:pPr>
        <w:spacing w:line="480" w:lineRule="exact"/>
        <w:ind w:firstLine="480" w:firstLineChars="200"/>
        <w:rPr>
          <w:sz w:val="24"/>
          <w:szCs w:val="24"/>
        </w:rPr>
      </w:pPr>
      <w:r>
        <w:rPr>
          <w:sz w:val="24"/>
          <w:szCs w:val="24"/>
        </w:rPr>
        <w:t>施工期的噪声主要可分为机械噪声、施工作业噪声和施工车辆噪声。机械噪声主要由施工机械所造成，如挖土机、推土机、振捣棒等，多为点声源；施工作业噪声主要指一些零星的敲打声、装卸车辆的撞击声、吆喝声、拆装模板的撞击声等，多为瞬间噪声；施工车辆的噪声属于交通噪声。在这些施工噪声中对周围声环境影响最大的是机械噪声。主要施工机械的噪声源强见表</w:t>
      </w:r>
      <w:r>
        <w:rPr>
          <w:rFonts w:hint="eastAsia"/>
          <w:sz w:val="24"/>
          <w:szCs w:val="24"/>
        </w:rPr>
        <w:t>5.1-3</w:t>
      </w:r>
      <w:r>
        <w:rPr>
          <w:sz w:val="24"/>
          <w:szCs w:val="24"/>
        </w:rPr>
        <w:t>。</w:t>
      </w:r>
    </w:p>
    <w:p>
      <w:pPr>
        <w:overflowPunct w:val="0"/>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 xml:space="preserve">5.1-3  </w:t>
      </w:r>
      <w:r>
        <w:rPr>
          <w:rFonts w:ascii="黑体" w:hAnsi="黑体" w:eastAsia="黑体"/>
          <w:bCs/>
          <w:sz w:val="24"/>
          <w:szCs w:val="24"/>
        </w:rPr>
        <w:t>主要施工机械设备的噪声声级</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505"/>
        <w:gridCol w:w="2505"/>
        <w:gridCol w:w="2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3" w:type="pct"/>
            <w:vAlign w:val="center"/>
          </w:tcPr>
          <w:p>
            <w:pPr>
              <w:jc w:val="center"/>
              <w:rPr>
                <w:szCs w:val="21"/>
              </w:rPr>
            </w:pPr>
            <w:r>
              <w:rPr>
                <w:szCs w:val="21"/>
              </w:rPr>
              <w:t>序</w:t>
            </w:r>
            <w:r>
              <w:rPr>
                <w:rFonts w:hint="eastAsia"/>
                <w:szCs w:val="21"/>
              </w:rPr>
              <w:t xml:space="preserve">  </w:t>
            </w:r>
            <w:r>
              <w:rPr>
                <w:szCs w:val="21"/>
              </w:rPr>
              <w:t>号</w:t>
            </w:r>
          </w:p>
        </w:tc>
        <w:tc>
          <w:tcPr>
            <w:tcW w:w="1382" w:type="pct"/>
            <w:vAlign w:val="center"/>
          </w:tcPr>
          <w:p>
            <w:pPr>
              <w:jc w:val="center"/>
              <w:rPr>
                <w:szCs w:val="21"/>
              </w:rPr>
            </w:pPr>
            <w:r>
              <w:rPr>
                <w:szCs w:val="21"/>
              </w:rPr>
              <w:t>施</w:t>
            </w:r>
            <w:r>
              <w:rPr>
                <w:rFonts w:hint="eastAsia"/>
                <w:szCs w:val="21"/>
              </w:rPr>
              <w:t xml:space="preserve">  </w:t>
            </w:r>
            <w:r>
              <w:rPr>
                <w:szCs w:val="21"/>
              </w:rPr>
              <w:t>工</w:t>
            </w:r>
            <w:r>
              <w:rPr>
                <w:rFonts w:hint="eastAsia"/>
                <w:szCs w:val="21"/>
              </w:rPr>
              <w:t xml:space="preserve">  </w:t>
            </w:r>
            <w:r>
              <w:rPr>
                <w:szCs w:val="21"/>
              </w:rPr>
              <w:t>机</w:t>
            </w:r>
            <w:r>
              <w:rPr>
                <w:rFonts w:hint="eastAsia"/>
                <w:szCs w:val="21"/>
              </w:rPr>
              <w:t xml:space="preserve">  </w:t>
            </w:r>
            <w:r>
              <w:rPr>
                <w:szCs w:val="21"/>
              </w:rPr>
              <w:t>械</w:t>
            </w:r>
          </w:p>
        </w:tc>
        <w:tc>
          <w:tcPr>
            <w:tcW w:w="1382" w:type="pct"/>
            <w:vAlign w:val="center"/>
          </w:tcPr>
          <w:p>
            <w:pPr>
              <w:jc w:val="center"/>
              <w:rPr>
                <w:szCs w:val="21"/>
              </w:rPr>
            </w:pPr>
            <w:r>
              <w:rPr>
                <w:szCs w:val="21"/>
              </w:rPr>
              <w:t>测量声级dB(A)</w:t>
            </w:r>
          </w:p>
        </w:tc>
        <w:tc>
          <w:tcPr>
            <w:tcW w:w="1382" w:type="pct"/>
            <w:vAlign w:val="center"/>
          </w:tcPr>
          <w:p>
            <w:pPr>
              <w:jc w:val="center"/>
              <w:rPr>
                <w:szCs w:val="21"/>
              </w:rPr>
            </w:pPr>
            <w:r>
              <w:rPr>
                <w:szCs w:val="21"/>
              </w:rPr>
              <w:t>测量距离（m）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3" w:type="pct"/>
            <w:vAlign w:val="center"/>
          </w:tcPr>
          <w:p>
            <w:pPr>
              <w:jc w:val="center"/>
              <w:rPr>
                <w:szCs w:val="21"/>
              </w:rPr>
            </w:pPr>
            <w:r>
              <w:rPr>
                <w:szCs w:val="21"/>
              </w:rPr>
              <w:t>1</w:t>
            </w:r>
          </w:p>
        </w:tc>
        <w:tc>
          <w:tcPr>
            <w:tcW w:w="1382" w:type="pct"/>
            <w:vAlign w:val="center"/>
          </w:tcPr>
          <w:p>
            <w:pPr>
              <w:jc w:val="center"/>
              <w:rPr>
                <w:szCs w:val="21"/>
              </w:rPr>
            </w:pPr>
            <w:r>
              <w:rPr>
                <w:szCs w:val="21"/>
              </w:rPr>
              <w:t>挖土机</w:t>
            </w:r>
          </w:p>
        </w:tc>
        <w:tc>
          <w:tcPr>
            <w:tcW w:w="1382" w:type="pct"/>
            <w:vAlign w:val="center"/>
          </w:tcPr>
          <w:p>
            <w:pPr>
              <w:jc w:val="center"/>
              <w:rPr>
                <w:szCs w:val="21"/>
              </w:rPr>
            </w:pPr>
            <w:r>
              <w:rPr>
                <w:szCs w:val="21"/>
              </w:rPr>
              <w:t>76</w:t>
            </w:r>
          </w:p>
        </w:tc>
        <w:tc>
          <w:tcPr>
            <w:tcW w:w="1382"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3" w:type="pct"/>
            <w:vAlign w:val="center"/>
          </w:tcPr>
          <w:p>
            <w:pPr>
              <w:jc w:val="center"/>
              <w:rPr>
                <w:szCs w:val="21"/>
              </w:rPr>
            </w:pPr>
            <w:r>
              <w:rPr>
                <w:szCs w:val="21"/>
              </w:rPr>
              <w:t>2</w:t>
            </w:r>
          </w:p>
        </w:tc>
        <w:tc>
          <w:tcPr>
            <w:tcW w:w="1382" w:type="pct"/>
            <w:vAlign w:val="center"/>
          </w:tcPr>
          <w:p>
            <w:pPr>
              <w:jc w:val="center"/>
              <w:rPr>
                <w:szCs w:val="21"/>
              </w:rPr>
            </w:pPr>
            <w:r>
              <w:rPr>
                <w:szCs w:val="21"/>
              </w:rPr>
              <w:t>推土机</w:t>
            </w:r>
          </w:p>
        </w:tc>
        <w:tc>
          <w:tcPr>
            <w:tcW w:w="1382" w:type="pct"/>
            <w:vAlign w:val="center"/>
          </w:tcPr>
          <w:p>
            <w:pPr>
              <w:jc w:val="center"/>
              <w:rPr>
                <w:szCs w:val="21"/>
              </w:rPr>
            </w:pPr>
            <w:r>
              <w:rPr>
                <w:szCs w:val="21"/>
              </w:rPr>
              <w:t>78</w:t>
            </w:r>
          </w:p>
        </w:tc>
        <w:tc>
          <w:tcPr>
            <w:tcW w:w="1382"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3" w:type="pct"/>
            <w:vAlign w:val="center"/>
          </w:tcPr>
          <w:p>
            <w:pPr>
              <w:jc w:val="center"/>
              <w:rPr>
                <w:szCs w:val="21"/>
              </w:rPr>
            </w:pPr>
            <w:r>
              <w:rPr>
                <w:szCs w:val="21"/>
              </w:rPr>
              <w:t>3</w:t>
            </w:r>
          </w:p>
        </w:tc>
        <w:tc>
          <w:tcPr>
            <w:tcW w:w="1382" w:type="pct"/>
            <w:vAlign w:val="center"/>
          </w:tcPr>
          <w:p>
            <w:pPr>
              <w:jc w:val="center"/>
              <w:rPr>
                <w:szCs w:val="21"/>
              </w:rPr>
            </w:pPr>
            <w:r>
              <w:rPr>
                <w:szCs w:val="21"/>
              </w:rPr>
              <w:t>装卸机</w:t>
            </w:r>
          </w:p>
        </w:tc>
        <w:tc>
          <w:tcPr>
            <w:tcW w:w="1382" w:type="pct"/>
            <w:vAlign w:val="center"/>
          </w:tcPr>
          <w:p>
            <w:pPr>
              <w:jc w:val="center"/>
              <w:rPr>
                <w:szCs w:val="21"/>
              </w:rPr>
            </w:pPr>
            <w:r>
              <w:rPr>
                <w:szCs w:val="21"/>
              </w:rPr>
              <w:t>82</w:t>
            </w:r>
          </w:p>
        </w:tc>
        <w:tc>
          <w:tcPr>
            <w:tcW w:w="1382"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3" w:type="pct"/>
            <w:vAlign w:val="center"/>
          </w:tcPr>
          <w:p>
            <w:pPr>
              <w:jc w:val="center"/>
              <w:rPr>
                <w:szCs w:val="21"/>
              </w:rPr>
            </w:pPr>
            <w:r>
              <w:rPr>
                <w:szCs w:val="21"/>
              </w:rPr>
              <w:t>4</w:t>
            </w:r>
          </w:p>
        </w:tc>
        <w:tc>
          <w:tcPr>
            <w:tcW w:w="1382" w:type="pct"/>
            <w:vAlign w:val="center"/>
          </w:tcPr>
          <w:p>
            <w:pPr>
              <w:jc w:val="center"/>
              <w:rPr>
                <w:szCs w:val="21"/>
              </w:rPr>
            </w:pPr>
            <w:r>
              <w:rPr>
                <w:szCs w:val="21"/>
              </w:rPr>
              <w:t>混凝土振捣棒</w:t>
            </w:r>
          </w:p>
        </w:tc>
        <w:tc>
          <w:tcPr>
            <w:tcW w:w="1382" w:type="pct"/>
            <w:vAlign w:val="center"/>
          </w:tcPr>
          <w:p>
            <w:pPr>
              <w:jc w:val="center"/>
              <w:rPr>
                <w:szCs w:val="21"/>
              </w:rPr>
            </w:pPr>
            <w:r>
              <w:rPr>
                <w:szCs w:val="21"/>
              </w:rPr>
              <w:t>72</w:t>
            </w:r>
          </w:p>
        </w:tc>
        <w:tc>
          <w:tcPr>
            <w:tcW w:w="1382"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3" w:type="pct"/>
            <w:vAlign w:val="center"/>
          </w:tcPr>
          <w:p>
            <w:pPr>
              <w:jc w:val="center"/>
              <w:rPr>
                <w:szCs w:val="21"/>
              </w:rPr>
            </w:pPr>
            <w:r>
              <w:rPr>
                <w:szCs w:val="21"/>
              </w:rPr>
              <w:t>5</w:t>
            </w:r>
          </w:p>
        </w:tc>
        <w:tc>
          <w:tcPr>
            <w:tcW w:w="1382" w:type="pct"/>
            <w:vAlign w:val="center"/>
          </w:tcPr>
          <w:p>
            <w:pPr>
              <w:jc w:val="center"/>
              <w:rPr>
                <w:szCs w:val="21"/>
              </w:rPr>
            </w:pPr>
            <w:r>
              <w:rPr>
                <w:szCs w:val="21"/>
              </w:rPr>
              <w:t>切割机</w:t>
            </w:r>
          </w:p>
        </w:tc>
        <w:tc>
          <w:tcPr>
            <w:tcW w:w="1382" w:type="pct"/>
            <w:vAlign w:val="center"/>
          </w:tcPr>
          <w:p>
            <w:pPr>
              <w:jc w:val="center"/>
              <w:rPr>
                <w:szCs w:val="21"/>
              </w:rPr>
            </w:pPr>
            <w:r>
              <w:rPr>
                <w:szCs w:val="21"/>
              </w:rPr>
              <w:t>90</w:t>
            </w:r>
          </w:p>
        </w:tc>
        <w:tc>
          <w:tcPr>
            <w:tcW w:w="1382" w:type="pct"/>
            <w:vAlign w:val="center"/>
          </w:tcPr>
          <w:p>
            <w:pPr>
              <w:jc w:val="center"/>
              <w:rPr>
                <w:szCs w:val="21"/>
              </w:rPr>
            </w:pPr>
            <w:r>
              <w:rPr>
                <w:szCs w:val="21"/>
              </w:rPr>
              <w:t>5</w:t>
            </w:r>
          </w:p>
        </w:tc>
      </w:tr>
    </w:tbl>
    <w:p>
      <w:pPr>
        <w:pStyle w:val="85"/>
        <w:spacing w:line="480" w:lineRule="exact"/>
        <w:ind w:firstLine="496"/>
        <w:rPr>
          <w:rFonts w:ascii="Times New Roman" w:hAnsi="Times New Roman" w:cs="Times New Roman"/>
          <w:spacing w:val="4"/>
          <w:sz w:val="24"/>
          <w:szCs w:val="24"/>
        </w:rPr>
      </w:pPr>
      <w:r>
        <w:rPr>
          <w:rFonts w:ascii="Times New Roman" w:hAnsi="Times New Roman" w:cs="Times New Roman"/>
          <w:spacing w:val="4"/>
          <w:sz w:val="24"/>
          <w:szCs w:val="24"/>
        </w:rPr>
        <w:t>根据类比监测资料，距主要施工机械不同距离的噪声值见表</w:t>
      </w:r>
      <w:r>
        <w:rPr>
          <w:rFonts w:hint="eastAsia" w:ascii="Times New Roman" w:hAnsi="Times New Roman" w:cs="Times New Roman"/>
          <w:spacing w:val="4"/>
          <w:sz w:val="24"/>
          <w:szCs w:val="24"/>
        </w:rPr>
        <w:t>5.1-4</w:t>
      </w:r>
      <w:r>
        <w:rPr>
          <w:rFonts w:ascii="Times New Roman" w:hAnsi="Times New Roman" w:cs="Times New Roman"/>
          <w:spacing w:val="4"/>
          <w:sz w:val="24"/>
          <w:szCs w:val="24"/>
        </w:rPr>
        <w:t>。</w:t>
      </w:r>
    </w:p>
    <w:p>
      <w:pPr>
        <w:overflowPunct w:val="0"/>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 xml:space="preserve">5.1-4  </w:t>
      </w:r>
      <w:r>
        <w:rPr>
          <w:rFonts w:ascii="黑体" w:hAnsi="黑体" w:eastAsia="黑体"/>
          <w:bCs/>
          <w:sz w:val="24"/>
          <w:szCs w:val="24"/>
        </w:rPr>
        <w:t>距声源不同距离处的噪声值</w:t>
      </w:r>
      <w:r>
        <w:rPr>
          <w:rFonts w:hint="eastAsia" w:ascii="黑体" w:hAnsi="黑体" w:eastAsia="黑体"/>
          <w:bCs/>
          <w:sz w:val="24"/>
          <w:szCs w:val="24"/>
        </w:rPr>
        <w:t xml:space="preserve"> （</w:t>
      </w:r>
      <w:r>
        <w:rPr>
          <w:rFonts w:ascii="黑体" w:hAnsi="黑体" w:eastAsia="黑体"/>
          <w:bCs/>
          <w:sz w:val="24"/>
          <w:szCs w:val="24"/>
        </w:rPr>
        <w:t>dB(A)</w:t>
      </w:r>
      <w:r>
        <w:rPr>
          <w:rFonts w:hint="eastAsia" w:ascii="黑体" w:hAnsi="黑体" w:eastAsia="黑体"/>
          <w:bCs/>
          <w:sz w:val="24"/>
          <w:szCs w:val="24"/>
        </w:rPr>
        <w:t>）</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866"/>
        <w:gridCol w:w="866"/>
        <w:gridCol w:w="866"/>
        <w:gridCol w:w="866"/>
        <w:gridCol w:w="867"/>
        <w:gridCol w:w="867"/>
        <w:gridCol w:w="867"/>
        <w:gridCol w:w="867"/>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6" w:type="pct"/>
            <w:vAlign w:val="center"/>
          </w:tcPr>
          <w:p>
            <w:pPr>
              <w:jc w:val="center"/>
              <w:rPr>
                <w:szCs w:val="21"/>
              </w:rPr>
            </w:pPr>
            <w:r>
              <w:rPr>
                <w:szCs w:val="21"/>
              </w:rPr>
              <w:t>设备名称</w:t>
            </w:r>
          </w:p>
        </w:tc>
        <w:tc>
          <w:tcPr>
            <w:tcW w:w="478" w:type="pct"/>
            <w:vAlign w:val="center"/>
          </w:tcPr>
          <w:p>
            <w:pPr>
              <w:jc w:val="center"/>
              <w:rPr>
                <w:szCs w:val="21"/>
              </w:rPr>
            </w:pPr>
            <w:r>
              <w:rPr>
                <w:szCs w:val="21"/>
              </w:rPr>
              <w:t>5m</w:t>
            </w:r>
          </w:p>
        </w:tc>
        <w:tc>
          <w:tcPr>
            <w:tcW w:w="478" w:type="pct"/>
            <w:vAlign w:val="center"/>
          </w:tcPr>
          <w:p>
            <w:pPr>
              <w:jc w:val="center"/>
              <w:rPr>
                <w:szCs w:val="21"/>
              </w:rPr>
            </w:pPr>
            <w:r>
              <w:rPr>
                <w:szCs w:val="21"/>
              </w:rPr>
              <w:t>10m</w:t>
            </w:r>
          </w:p>
        </w:tc>
        <w:tc>
          <w:tcPr>
            <w:tcW w:w="478" w:type="pct"/>
            <w:vAlign w:val="center"/>
          </w:tcPr>
          <w:p>
            <w:pPr>
              <w:jc w:val="center"/>
              <w:rPr>
                <w:szCs w:val="21"/>
              </w:rPr>
            </w:pPr>
            <w:r>
              <w:rPr>
                <w:szCs w:val="21"/>
              </w:rPr>
              <w:t>20m</w:t>
            </w:r>
          </w:p>
        </w:tc>
        <w:tc>
          <w:tcPr>
            <w:tcW w:w="478" w:type="pct"/>
            <w:vAlign w:val="center"/>
          </w:tcPr>
          <w:p>
            <w:pPr>
              <w:jc w:val="center"/>
              <w:rPr>
                <w:szCs w:val="21"/>
              </w:rPr>
            </w:pPr>
            <w:r>
              <w:rPr>
                <w:szCs w:val="21"/>
              </w:rPr>
              <w:t>40m</w:t>
            </w:r>
          </w:p>
        </w:tc>
        <w:tc>
          <w:tcPr>
            <w:tcW w:w="478" w:type="pct"/>
            <w:vAlign w:val="center"/>
          </w:tcPr>
          <w:p>
            <w:pPr>
              <w:jc w:val="center"/>
              <w:rPr>
                <w:szCs w:val="21"/>
              </w:rPr>
            </w:pPr>
            <w:r>
              <w:rPr>
                <w:szCs w:val="21"/>
              </w:rPr>
              <w:t>50m</w:t>
            </w:r>
          </w:p>
        </w:tc>
        <w:tc>
          <w:tcPr>
            <w:tcW w:w="478" w:type="pct"/>
            <w:vAlign w:val="center"/>
          </w:tcPr>
          <w:p>
            <w:pPr>
              <w:jc w:val="center"/>
              <w:rPr>
                <w:szCs w:val="21"/>
              </w:rPr>
            </w:pPr>
            <w:r>
              <w:rPr>
                <w:szCs w:val="21"/>
              </w:rPr>
              <w:t>100m</w:t>
            </w:r>
          </w:p>
        </w:tc>
        <w:tc>
          <w:tcPr>
            <w:tcW w:w="478" w:type="pct"/>
            <w:vAlign w:val="center"/>
          </w:tcPr>
          <w:p>
            <w:pPr>
              <w:jc w:val="center"/>
              <w:rPr>
                <w:szCs w:val="21"/>
              </w:rPr>
            </w:pPr>
            <w:r>
              <w:rPr>
                <w:szCs w:val="21"/>
              </w:rPr>
              <w:t>150m</w:t>
            </w:r>
          </w:p>
        </w:tc>
        <w:tc>
          <w:tcPr>
            <w:tcW w:w="478" w:type="pct"/>
            <w:vAlign w:val="center"/>
          </w:tcPr>
          <w:p>
            <w:pPr>
              <w:jc w:val="center"/>
              <w:rPr>
                <w:szCs w:val="21"/>
              </w:rPr>
            </w:pPr>
            <w:r>
              <w:rPr>
                <w:szCs w:val="21"/>
              </w:rPr>
              <w:t>200m</w:t>
            </w:r>
          </w:p>
        </w:tc>
        <w:tc>
          <w:tcPr>
            <w:tcW w:w="478" w:type="pct"/>
            <w:vAlign w:val="center"/>
          </w:tcPr>
          <w:p>
            <w:pPr>
              <w:jc w:val="center"/>
              <w:rPr>
                <w:szCs w:val="21"/>
              </w:rPr>
            </w:pPr>
            <w:r>
              <w:rPr>
                <w:szCs w:val="21"/>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6" w:type="pct"/>
            <w:vAlign w:val="center"/>
          </w:tcPr>
          <w:p>
            <w:pPr>
              <w:jc w:val="center"/>
              <w:rPr>
                <w:szCs w:val="21"/>
              </w:rPr>
            </w:pPr>
            <w:r>
              <w:rPr>
                <w:szCs w:val="21"/>
              </w:rPr>
              <w:t>推土机</w:t>
            </w:r>
          </w:p>
        </w:tc>
        <w:tc>
          <w:tcPr>
            <w:tcW w:w="478" w:type="pct"/>
            <w:vAlign w:val="center"/>
          </w:tcPr>
          <w:p>
            <w:pPr>
              <w:jc w:val="center"/>
              <w:rPr>
                <w:szCs w:val="21"/>
              </w:rPr>
            </w:pPr>
            <w:r>
              <w:rPr>
                <w:szCs w:val="21"/>
              </w:rPr>
              <w:t>86</w:t>
            </w:r>
          </w:p>
        </w:tc>
        <w:tc>
          <w:tcPr>
            <w:tcW w:w="478" w:type="pct"/>
            <w:vAlign w:val="center"/>
          </w:tcPr>
          <w:p>
            <w:pPr>
              <w:jc w:val="center"/>
              <w:rPr>
                <w:szCs w:val="21"/>
              </w:rPr>
            </w:pPr>
            <w:r>
              <w:rPr>
                <w:szCs w:val="21"/>
              </w:rPr>
              <w:t>78</w:t>
            </w:r>
          </w:p>
        </w:tc>
        <w:tc>
          <w:tcPr>
            <w:tcW w:w="478" w:type="pct"/>
            <w:vAlign w:val="center"/>
          </w:tcPr>
          <w:p>
            <w:pPr>
              <w:jc w:val="center"/>
              <w:rPr>
                <w:szCs w:val="21"/>
              </w:rPr>
            </w:pPr>
            <w:r>
              <w:rPr>
                <w:szCs w:val="21"/>
              </w:rPr>
              <w:t>71</w:t>
            </w:r>
          </w:p>
        </w:tc>
        <w:tc>
          <w:tcPr>
            <w:tcW w:w="478" w:type="pct"/>
            <w:vAlign w:val="center"/>
          </w:tcPr>
          <w:p>
            <w:pPr>
              <w:jc w:val="center"/>
              <w:rPr>
                <w:szCs w:val="21"/>
              </w:rPr>
            </w:pPr>
            <w:r>
              <w:rPr>
                <w:szCs w:val="21"/>
              </w:rPr>
              <w:t>63</w:t>
            </w:r>
          </w:p>
        </w:tc>
        <w:tc>
          <w:tcPr>
            <w:tcW w:w="478" w:type="pct"/>
            <w:vAlign w:val="center"/>
          </w:tcPr>
          <w:p>
            <w:pPr>
              <w:jc w:val="center"/>
              <w:rPr>
                <w:szCs w:val="21"/>
              </w:rPr>
            </w:pPr>
            <w:r>
              <w:rPr>
                <w:szCs w:val="21"/>
              </w:rPr>
              <w:t>61</w:t>
            </w:r>
          </w:p>
        </w:tc>
        <w:tc>
          <w:tcPr>
            <w:tcW w:w="478" w:type="pct"/>
            <w:vAlign w:val="center"/>
          </w:tcPr>
          <w:p>
            <w:pPr>
              <w:jc w:val="center"/>
              <w:rPr>
                <w:szCs w:val="21"/>
              </w:rPr>
            </w:pPr>
            <w:r>
              <w:rPr>
                <w:szCs w:val="21"/>
              </w:rPr>
              <w:t>53</w:t>
            </w:r>
          </w:p>
        </w:tc>
        <w:tc>
          <w:tcPr>
            <w:tcW w:w="478" w:type="pct"/>
            <w:vAlign w:val="center"/>
          </w:tcPr>
          <w:p>
            <w:pPr>
              <w:jc w:val="center"/>
              <w:rPr>
                <w:szCs w:val="21"/>
              </w:rPr>
            </w:pPr>
            <w:r>
              <w:rPr>
                <w:szCs w:val="21"/>
              </w:rPr>
              <w:t>49</w:t>
            </w:r>
          </w:p>
        </w:tc>
        <w:tc>
          <w:tcPr>
            <w:tcW w:w="478" w:type="pct"/>
            <w:vAlign w:val="center"/>
          </w:tcPr>
          <w:p>
            <w:pPr>
              <w:jc w:val="center"/>
              <w:rPr>
                <w:szCs w:val="21"/>
              </w:rPr>
            </w:pPr>
            <w:r>
              <w:rPr>
                <w:szCs w:val="21"/>
              </w:rPr>
              <w:t>45</w:t>
            </w:r>
          </w:p>
        </w:tc>
        <w:tc>
          <w:tcPr>
            <w:tcW w:w="478" w:type="pct"/>
            <w:vAlign w:val="center"/>
          </w:tcPr>
          <w:p>
            <w:pPr>
              <w:jc w:val="center"/>
              <w:rPr>
                <w:szCs w:val="21"/>
              </w:rPr>
            </w:pPr>
            <w:r>
              <w:rPr>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6" w:type="pct"/>
            <w:vAlign w:val="center"/>
          </w:tcPr>
          <w:p>
            <w:pPr>
              <w:jc w:val="center"/>
              <w:rPr>
                <w:szCs w:val="21"/>
              </w:rPr>
            </w:pPr>
            <w:r>
              <w:rPr>
                <w:szCs w:val="21"/>
              </w:rPr>
              <w:t>装载机</w:t>
            </w:r>
          </w:p>
        </w:tc>
        <w:tc>
          <w:tcPr>
            <w:tcW w:w="478" w:type="pct"/>
            <w:vAlign w:val="center"/>
          </w:tcPr>
          <w:p>
            <w:pPr>
              <w:jc w:val="center"/>
              <w:rPr>
                <w:szCs w:val="21"/>
              </w:rPr>
            </w:pPr>
            <w:r>
              <w:rPr>
                <w:szCs w:val="21"/>
              </w:rPr>
              <w:t>90</w:t>
            </w:r>
          </w:p>
        </w:tc>
        <w:tc>
          <w:tcPr>
            <w:tcW w:w="478" w:type="pct"/>
            <w:vAlign w:val="center"/>
          </w:tcPr>
          <w:p>
            <w:pPr>
              <w:jc w:val="center"/>
              <w:rPr>
                <w:szCs w:val="21"/>
              </w:rPr>
            </w:pPr>
            <w:r>
              <w:rPr>
                <w:szCs w:val="21"/>
              </w:rPr>
              <w:t>82</w:t>
            </w:r>
          </w:p>
        </w:tc>
        <w:tc>
          <w:tcPr>
            <w:tcW w:w="478" w:type="pct"/>
            <w:vAlign w:val="center"/>
          </w:tcPr>
          <w:p>
            <w:pPr>
              <w:jc w:val="center"/>
              <w:rPr>
                <w:szCs w:val="21"/>
              </w:rPr>
            </w:pPr>
            <w:r>
              <w:rPr>
                <w:szCs w:val="21"/>
              </w:rPr>
              <w:t>75</w:t>
            </w:r>
          </w:p>
        </w:tc>
        <w:tc>
          <w:tcPr>
            <w:tcW w:w="478" w:type="pct"/>
            <w:vAlign w:val="center"/>
          </w:tcPr>
          <w:p>
            <w:pPr>
              <w:jc w:val="center"/>
              <w:rPr>
                <w:szCs w:val="21"/>
              </w:rPr>
            </w:pPr>
            <w:r>
              <w:rPr>
                <w:szCs w:val="21"/>
              </w:rPr>
              <w:t>67</w:t>
            </w:r>
          </w:p>
        </w:tc>
        <w:tc>
          <w:tcPr>
            <w:tcW w:w="478" w:type="pct"/>
            <w:vAlign w:val="center"/>
          </w:tcPr>
          <w:p>
            <w:pPr>
              <w:jc w:val="center"/>
              <w:rPr>
                <w:szCs w:val="21"/>
              </w:rPr>
            </w:pPr>
            <w:r>
              <w:rPr>
                <w:szCs w:val="21"/>
              </w:rPr>
              <w:t>65</w:t>
            </w:r>
          </w:p>
        </w:tc>
        <w:tc>
          <w:tcPr>
            <w:tcW w:w="478" w:type="pct"/>
            <w:vAlign w:val="center"/>
          </w:tcPr>
          <w:p>
            <w:pPr>
              <w:jc w:val="center"/>
              <w:rPr>
                <w:szCs w:val="21"/>
              </w:rPr>
            </w:pPr>
            <w:r>
              <w:rPr>
                <w:szCs w:val="21"/>
              </w:rPr>
              <w:t>55</w:t>
            </w:r>
          </w:p>
        </w:tc>
        <w:tc>
          <w:tcPr>
            <w:tcW w:w="478" w:type="pct"/>
            <w:vAlign w:val="center"/>
          </w:tcPr>
          <w:p>
            <w:pPr>
              <w:jc w:val="center"/>
              <w:rPr>
                <w:szCs w:val="21"/>
              </w:rPr>
            </w:pPr>
            <w:r>
              <w:rPr>
                <w:szCs w:val="21"/>
              </w:rPr>
              <w:t>53</w:t>
            </w:r>
          </w:p>
        </w:tc>
        <w:tc>
          <w:tcPr>
            <w:tcW w:w="478" w:type="pct"/>
            <w:vAlign w:val="center"/>
          </w:tcPr>
          <w:p>
            <w:pPr>
              <w:jc w:val="center"/>
              <w:rPr>
                <w:szCs w:val="21"/>
              </w:rPr>
            </w:pPr>
            <w:r>
              <w:rPr>
                <w:szCs w:val="21"/>
              </w:rPr>
              <w:t>49</w:t>
            </w:r>
          </w:p>
        </w:tc>
        <w:tc>
          <w:tcPr>
            <w:tcW w:w="478" w:type="pct"/>
            <w:vAlign w:val="center"/>
          </w:tcPr>
          <w:p>
            <w:pPr>
              <w:jc w:val="center"/>
              <w:rPr>
                <w:szCs w:val="21"/>
              </w:rPr>
            </w:pPr>
            <w:r>
              <w:rPr>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6" w:type="pct"/>
            <w:vAlign w:val="center"/>
          </w:tcPr>
          <w:p>
            <w:pPr>
              <w:jc w:val="center"/>
              <w:rPr>
                <w:szCs w:val="21"/>
              </w:rPr>
            </w:pPr>
            <w:r>
              <w:rPr>
                <w:szCs w:val="21"/>
              </w:rPr>
              <w:t>挖掘机</w:t>
            </w:r>
          </w:p>
        </w:tc>
        <w:tc>
          <w:tcPr>
            <w:tcW w:w="478" w:type="pct"/>
            <w:vAlign w:val="center"/>
          </w:tcPr>
          <w:p>
            <w:pPr>
              <w:jc w:val="center"/>
              <w:rPr>
                <w:szCs w:val="21"/>
              </w:rPr>
            </w:pPr>
            <w:r>
              <w:rPr>
                <w:szCs w:val="21"/>
              </w:rPr>
              <w:t>84</w:t>
            </w:r>
          </w:p>
        </w:tc>
        <w:tc>
          <w:tcPr>
            <w:tcW w:w="478" w:type="pct"/>
            <w:vAlign w:val="center"/>
          </w:tcPr>
          <w:p>
            <w:pPr>
              <w:jc w:val="center"/>
              <w:rPr>
                <w:szCs w:val="21"/>
              </w:rPr>
            </w:pPr>
            <w:r>
              <w:rPr>
                <w:szCs w:val="21"/>
              </w:rPr>
              <w:t>76</w:t>
            </w:r>
          </w:p>
        </w:tc>
        <w:tc>
          <w:tcPr>
            <w:tcW w:w="478" w:type="pct"/>
            <w:vAlign w:val="center"/>
          </w:tcPr>
          <w:p>
            <w:pPr>
              <w:jc w:val="center"/>
              <w:rPr>
                <w:szCs w:val="21"/>
              </w:rPr>
            </w:pPr>
            <w:r>
              <w:rPr>
                <w:szCs w:val="21"/>
              </w:rPr>
              <w:t>69</w:t>
            </w:r>
          </w:p>
        </w:tc>
        <w:tc>
          <w:tcPr>
            <w:tcW w:w="478" w:type="pct"/>
            <w:vAlign w:val="center"/>
          </w:tcPr>
          <w:p>
            <w:pPr>
              <w:jc w:val="center"/>
              <w:rPr>
                <w:szCs w:val="21"/>
              </w:rPr>
            </w:pPr>
            <w:r>
              <w:rPr>
                <w:szCs w:val="21"/>
              </w:rPr>
              <w:t>61</w:t>
            </w:r>
          </w:p>
        </w:tc>
        <w:tc>
          <w:tcPr>
            <w:tcW w:w="478" w:type="pct"/>
            <w:vAlign w:val="center"/>
          </w:tcPr>
          <w:p>
            <w:pPr>
              <w:jc w:val="center"/>
              <w:rPr>
                <w:szCs w:val="21"/>
              </w:rPr>
            </w:pPr>
            <w:r>
              <w:rPr>
                <w:szCs w:val="21"/>
              </w:rPr>
              <w:t>59</w:t>
            </w:r>
          </w:p>
        </w:tc>
        <w:tc>
          <w:tcPr>
            <w:tcW w:w="478" w:type="pct"/>
            <w:vAlign w:val="center"/>
          </w:tcPr>
          <w:p>
            <w:pPr>
              <w:jc w:val="center"/>
              <w:rPr>
                <w:szCs w:val="21"/>
              </w:rPr>
            </w:pPr>
            <w:r>
              <w:rPr>
                <w:szCs w:val="21"/>
              </w:rPr>
              <w:t>51</w:t>
            </w:r>
          </w:p>
        </w:tc>
        <w:tc>
          <w:tcPr>
            <w:tcW w:w="478" w:type="pct"/>
            <w:vAlign w:val="center"/>
          </w:tcPr>
          <w:p>
            <w:pPr>
              <w:jc w:val="center"/>
              <w:rPr>
                <w:szCs w:val="21"/>
              </w:rPr>
            </w:pPr>
            <w:r>
              <w:rPr>
                <w:szCs w:val="21"/>
              </w:rPr>
              <w:t>47</w:t>
            </w:r>
          </w:p>
        </w:tc>
        <w:tc>
          <w:tcPr>
            <w:tcW w:w="478" w:type="pct"/>
            <w:vAlign w:val="center"/>
          </w:tcPr>
          <w:p>
            <w:pPr>
              <w:jc w:val="center"/>
              <w:rPr>
                <w:szCs w:val="21"/>
              </w:rPr>
            </w:pPr>
            <w:r>
              <w:rPr>
                <w:szCs w:val="21"/>
              </w:rPr>
              <w:t>43</w:t>
            </w:r>
          </w:p>
        </w:tc>
        <w:tc>
          <w:tcPr>
            <w:tcW w:w="478" w:type="pct"/>
            <w:vAlign w:val="center"/>
          </w:tcPr>
          <w:p>
            <w:pPr>
              <w:jc w:val="center"/>
              <w:rPr>
                <w:szCs w:val="21"/>
              </w:rPr>
            </w:pPr>
            <w:r>
              <w:rPr>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6" w:type="pct"/>
            <w:vAlign w:val="center"/>
          </w:tcPr>
          <w:p>
            <w:pPr>
              <w:jc w:val="center"/>
              <w:rPr>
                <w:szCs w:val="21"/>
              </w:rPr>
            </w:pPr>
            <w:r>
              <w:rPr>
                <w:szCs w:val="21"/>
              </w:rPr>
              <w:t>振捣棒</w:t>
            </w:r>
          </w:p>
        </w:tc>
        <w:tc>
          <w:tcPr>
            <w:tcW w:w="478" w:type="pct"/>
            <w:vAlign w:val="center"/>
          </w:tcPr>
          <w:p>
            <w:pPr>
              <w:jc w:val="center"/>
              <w:rPr>
                <w:szCs w:val="21"/>
              </w:rPr>
            </w:pPr>
            <w:r>
              <w:rPr>
                <w:szCs w:val="21"/>
              </w:rPr>
              <w:t>80</w:t>
            </w:r>
          </w:p>
        </w:tc>
        <w:tc>
          <w:tcPr>
            <w:tcW w:w="478" w:type="pct"/>
            <w:vAlign w:val="center"/>
          </w:tcPr>
          <w:p>
            <w:pPr>
              <w:jc w:val="center"/>
              <w:rPr>
                <w:szCs w:val="21"/>
              </w:rPr>
            </w:pPr>
            <w:r>
              <w:rPr>
                <w:szCs w:val="21"/>
              </w:rPr>
              <w:t>72</w:t>
            </w:r>
          </w:p>
        </w:tc>
        <w:tc>
          <w:tcPr>
            <w:tcW w:w="478" w:type="pct"/>
            <w:vAlign w:val="center"/>
          </w:tcPr>
          <w:p>
            <w:pPr>
              <w:jc w:val="center"/>
              <w:rPr>
                <w:szCs w:val="21"/>
              </w:rPr>
            </w:pPr>
            <w:r>
              <w:rPr>
                <w:szCs w:val="21"/>
              </w:rPr>
              <w:t>65</w:t>
            </w:r>
          </w:p>
        </w:tc>
        <w:tc>
          <w:tcPr>
            <w:tcW w:w="478" w:type="pct"/>
            <w:vAlign w:val="center"/>
          </w:tcPr>
          <w:p>
            <w:pPr>
              <w:jc w:val="center"/>
              <w:rPr>
                <w:szCs w:val="21"/>
              </w:rPr>
            </w:pPr>
            <w:r>
              <w:rPr>
                <w:szCs w:val="21"/>
              </w:rPr>
              <w:t>57</w:t>
            </w:r>
          </w:p>
        </w:tc>
        <w:tc>
          <w:tcPr>
            <w:tcW w:w="478" w:type="pct"/>
            <w:vAlign w:val="center"/>
          </w:tcPr>
          <w:p>
            <w:pPr>
              <w:jc w:val="center"/>
              <w:rPr>
                <w:szCs w:val="21"/>
              </w:rPr>
            </w:pPr>
            <w:r>
              <w:rPr>
                <w:szCs w:val="21"/>
              </w:rPr>
              <w:t>55</w:t>
            </w:r>
          </w:p>
        </w:tc>
        <w:tc>
          <w:tcPr>
            <w:tcW w:w="478" w:type="pct"/>
            <w:vAlign w:val="center"/>
          </w:tcPr>
          <w:p>
            <w:pPr>
              <w:jc w:val="center"/>
              <w:rPr>
                <w:szCs w:val="21"/>
              </w:rPr>
            </w:pPr>
            <w:r>
              <w:rPr>
                <w:szCs w:val="21"/>
              </w:rPr>
              <w:t>47</w:t>
            </w:r>
          </w:p>
        </w:tc>
        <w:tc>
          <w:tcPr>
            <w:tcW w:w="478" w:type="pct"/>
            <w:vAlign w:val="center"/>
          </w:tcPr>
          <w:p>
            <w:pPr>
              <w:jc w:val="center"/>
              <w:rPr>
                <w:szCs w:val="21"/>
              </w:rPr>
            </w:pPr>
            <w:r>
              <w:rPr>
                <w:szCs w:val="21"/>
              </w:rPr>
              <w:t>43</w:t>
            </w:r>
          </w:p>
        </w:tc>
        <w:tc>
          <w:tcPr>
            <w:tcW w:w="478" w:type="pct"/>
            <w:vAlign w:val="center"/>
          </w:tcPr>
          <w:p>
            <w:pPr>
              <w:jc w:val="center"/>
              <w:rPr>
                <w:szCs w:val="21"/>
              </w:rPr>
            </w:pPr>
            <w:r>
              <w:rPr>
                <w:szCs w:val="21"/>
              </w:rPr>
              <w:t>39</w:t>
            </w:r>
          </w:p>
        </w:tc>
        <w:tc>
          <w:tcPr>
            <w:tcW w:w="478" w:type="pct"/>
            <w:vAlign w:val="center"/>
          </w:tcPr>
          <w:p>
            <w:pPr>
              <w:jc w:val="center"/>
              <w:rPr>
                <w:szCs w:val="21"/>
              </w:rPr>
            </w:pPr>
            <w:r>
              <w:rPr>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6" w:type="pct"/>
            <w:vAlign w:val="center"/>
          </w:tcPr>
          <w:p>
            <w:pPr>
              <w:jc w:val="center"/>
              <w:rPr>
                <w:szCs w:val="21"/>
              </w:rPr>
            </w:pPr>
            <w:r>
              <w:rPr>
                <w:szCs w:val="21"/>
              </w:rPr>
              <w:t>切割机</w:t>
            </w:r>
          </w:p>
        </w:tc>
        <w:tc>
          <w:tcPr>
            <w:tcW w:w="478" w:type="pct"/>
            <w:vAlign w:val="center"/>
          </w:tcPr>
          <w:p>
            <w:pPr>
              <w:jc w:val="center"/>
              <w:rPr>
                <w:szCs w:val="21"/>
              </w:rPr>
            </w:pPr>
            <w:r>
              <w:rPr>
                <w:szCs w:val="21"/>
              </w:rPr>
              <w:t>90</w:t>
            </w:r>
          </w:p>
        </w:tc>
        <w:tc>
          <w:tcPr>
            <w:tcW w:w="478" w:type="pct"/>
            <w:vAlign w:val="center"/>
          </w:tcPr>
          <w:p>
            <w:pPr>
              <w:jc w:val="center"/>
              <w:rPr>
                <w:szCs w:val="21"/>
              </w:rPr>
            </w:pPr>
            <w:r>
              <w:rPr>
                <w:szCs w:val="21"/>
              </w:rPr>
              <w:t>82</w:t>
            </w:r>
          </w:p>
        </w:tc>
        <w:tc>
          <w:tcPr>
            <w:tcW w:w="478" w:type="pct"/>
            <w:vAlign w:val="center"/>
          </w:tcPr>
          <w:p>
            <w:pPr>
              <w:jc w:val="center"/>
              <w:rPr>
                <w:szCs w:val="21"/>
              </w:rPr>
            </w:pPr>
            <w:r>
              <w:rPr>
                <w:szCs w:val="21"/>
              </w:rPr>
              <w:t>75</w:t>
            </w:r>
          </w:p>
        </w:tc>
        <w:tc>
          <w:tcPr>
            <w:tcW w:w="478" w:type="pct"/>
            <w:vAlign w:val="center"/>
          </w:tcPr>
          <w:p>
            <w:pPr>
              <w:jc w:val="center"/>
              <w:rPr>
                <w:szCs w:val="21"/>
              </w:rPr>
            </w:pPr>
            <w:r>
              <w:rPr>
                <w:szCs w:val="21"/>
              </w:rPr>
              <w:t>67</w:t>
            </w:r>
          </w:p>
        </w:tc>
        <w:tc>
          <w:tcPr>
            <w:tcW w:w="478" w:type="pct"/>
            <w:vAlign w:val="center"/>
          </w:tcPr>
          <w:p>
            <w:pPr>
              <w:jc w:val="center"/>
              <w:rPr>
                <w:szCs w:val="21"/>
              </w:rPr>
            </w:pPr>
            <w:r>
              <w:rPr>
                <w:szCs w:val="21"/>
              </w:rPr>
              <w:t>65</w:t>
            </w:r>
          </w:p>
        </w:tc>
        <w:tc>
          <w:tcPr>
            <w:tcW w:w="478" w:type="pct"/>
            <w:vAlign w:val="center"/>
          </w:tcPr>
          <w:p>
            <w:pPr>
              <w:jc w:val="center"/>
              <w:rPr>
                <w:szCs w:val="21"/>
              </w:rPr>
            </w:pPr>
            <w:r>
              <w:rPr>
                <w:szCs w:val="21"/>
              </w:rPr>
              <w:t>55</w:t>
            </w:r>
          </w:p>
        </w:tc>
        <w:tc>
          <w:tcPr>
            <w:tcW w:w="478" w:type="pct"/>
            <w:vAlign w:val="center"/>
          </w:tcPr>
          <w:p>
            <w:pPr>
              <w:jc w:val="center"/>
              <w:rPr>
                <w:szCs w:val="21"/>
              </w:rPr>
            </w:pPr>
            <w:r>
              <w:rPr>
                <w:szCs w:val="21"/>
              </w:rPr>
              <w:t>53</w:t>
            </w:r>
          </w:p>
        </w:tc>
        <w:tc>
          <w:tcPr>
            <w:tcW w:w="478" w:type="pct"/>
            <w:vAlign w:val="center"/>
          </w:tcPr>
          <w:p>
            <w:pPr>
              <w:jc w:val="center"/>
              <w:rPr>
                <w:szCs w:val="21"/>
              </w:rPr>
            </w:pPr>
            <w:r>
              <w:rPr>
                <w:szCs w:val="21"/>
              </w:rPr>
              <w:t>49</w:t>
            </w:r>
          </w:p>
        </w:tc>
        <w:tc>
          <w:tcPr>
            <w:tcW w:w="478" w:type="pct"/>
            <w:vAlign w:val="center"/>
          </w:tcPr>
          <w:p>
            <w:pPr>
              <w:jc w:val="center"/>
              <w:rPr>
                <w:szCs w:val="21"/>
              </w:rPr>
            </w:pPr>
            <w:r>
              <w:rPr>
                <w:szCs w:val="21"/>
              </w:rPr>
              <w:t>45</w:t>
            </w:r>
          </w:p>
        </w:tc>
      </w:tr>
    </w:tbl>
    <w:p>
      <w:pPr>
        <w:pStyle w:val="57"/>
        <w:keepNext/>
        <w:keepLines/>
        <w:spacing w:before="0" w:after="0" w:line="480" w:lineRule="exact"/>
        <w:ind w:firstLine="0" w:firstLineChars="0"/>
        <w:outlineLvl w:val="3"/>
        <w:rPr>
          <w:b/>
        </w:rPr>
      </w:pPr>
      <w:r>
        <w:rPr>
          <w:rFonts w:hint="eastAsia"/>
          <w:b/>
        </w:rPr>
        <w:t>5.1.2.2</w:t>
      </w:r>
      <w:r>
        <w:rPr>
          <w:rFonts w:ascii="宋体" w:hAnsi="宋体"/>
          <w:b/>
        </w:rPr>
        <w:t>施工期声环境影响分析</w:t>
      </w:r>
    </w:p>
    <w:p>
      <w:pPr>
        <w:spacing w:line="480" w:lineRule="exact"/>
        <w:ind w:firstLine="480" w:firstLineChars="200"/>
        <w:rPr>
          <w:sz w:val="24"/>
          <w:szCs w:val="24"/>
        </w:rPr>
      </w:pPr>
      <w:r>
        <w:rPr>
          <w:sz w:val="24"/>
          <w:szCs w:val="24"/>
        </w:rPr>
        <w:t>项目施工期噪声执行《建筑施工</w:t>
      </w:r>
      <w:r>
        <w:rPr>
          <w:rFonts w:hint="eastAsia"/>
          <w:sz w:val="24"/>
          <w:szCs w:val="24"/>
        </w:rPr>
        <w:t>场</w:t>
      </w:r>
      <w:r>
        <w:rPr>
          <w:sz w:val="24"/>
          <w:szCs w:val="24"/>
        </w:rPr>
        <w:t>界环境噪声排放标准》（GB12523-2011），见表</w:t>
      </w:r>
      <w:r>
        <w:rPr>
          <w:rFonts w:hint="eastAsia"/>
          <w:sz w:val="24"/>
          <w:szCs w:val="24"/>
        </w:rPr>
        <w:t>5.1-5</w:t>
      </w:r>
      <w:r>
        <w:rPr>
          <w:sz w:val="24"/>
          <w:szCs w:val="24"/>
        </w:rPr>
        <w:t>。从表</w:t>
      </w:r>
      <w:r>
        <w:rPr>
          <w:rFonts w:hint="eastAsia"/>
          <w:sz w:val="24"/>
          <w:szCs w:val="24"/>
        </w:rPr>
        <w:t>5.1-4</w:t>
      </w:r>
      <w:r>
        <w:rPr>
          <w:sz w:val="24"/>
          <w:szCs w:val="24"/>
        </w:rPr>
        <w:t>中可看出，土石方施工阶段推土机、装载机、挖掘机</w:t>
      </w:r>
      <w:r>
        <w:rPr>
          <w:rFonts w:hint="eastAsia"/>
          <w:sz w:val="24"/>
          <w:szCs w:val="24"/>
        </w:rPr>
        <w:t>、</w:t>
      </w:r>
      <w:r>
        <w:rPr>
          <w:sz w:val="24"/>
          <w:szCs w:val="24"/>
        </w:rPr>
        <w:t>混凝土振捣棒、切割机昼间噪声超标的情况出现在距声源</w:t>
      </w:r>
      <w:r>
        <w:rPr>
          <w:rFonts w:hint="eastAsia"/>
          <w:sz w:val="24"/>
          <w:szCs w:val="24"/>
        </w:rPr>
        <w:t>5</w:t>
      </w:r>
      <w:r>
        <w:rPr>
          <w:sz w:val="24"/>
          <w:szCs w:val="24"/>
        </w:rPr>
        <w:t>m</w:t>
      </w:r>
      <w:r>
        <w:rPr>
          <w:rFonts w:hint="eastAsia"/>
          <w:sz w:val="24"/>
          <w:szCs w:val="24"/>
        </w:rPr>
        <w:t>~20m</w:t>
      </w:r>
      <w:r>
        <w:rPr>
          <w:sz w:val="24"/>
          <w:szCs w:val="24"/>
        </w:rPr>
        <w:t>范围内，夜间施工噪声超标情况出现在</w:t>
      </w:r>
      <w:r>
        <w:rPr>
          <w:rFonts w:hint="eastAsia"/>
          <w:sz w:val="24"/>
          <w:szCs w:val="24"/>
        </w:rPr>
        <w:t>100</w:t>
      </w:r>
      <w:r>
        <w:rPr>
          <w:sz w:val="24"/>
          <w:szCs w:val="24"/>
        </w:rPr>
        <w:t>m范围内。</w:t>
      </w:r>
    </w:p>
    <w:p>
      <w:pPr>
        <w:overflowPunct w:val="0"/>
        <w:spacing w:line="480" w:lineRule="exact"/>
        <w:jc w:val="center"/>
        <w:rPr>
          <w:rFonts w:ascii="黑体" w:hAnsi="黑体" w:eastAsia="黑体"/>
          <w:bCs/>
          <w:sz w:val="24"/>
          <w:szCs w:val="24"/>
        </w:rPr>
      </w:pPr>
      <w:r>
        <w:rPr>
          <w:rFonts w:ascii="黑体" w:hAnsi="黑体" w:eastAsia="黑体"/>
          <w:bCs/>
          <w:sz w:val="24"/>
          <w:szCs w:val="24"/>
        </w:rPr>
        <w:t>表</w:t>
      </w:r>
      <w:r>
        <w:rPr>
          <w:rFonts w:hint="eastAsia" w:ascii="黑体" w:hAnsi="黑体" w:eastAsia="黑体"/>
          <w:bCs/>
          <w:sz w:val="24"/>
          <w:szCs w:val="24"/>
        </w:rPr>
        <w:t xml:space="preserve">5.1-5  </w:t>
      </w:r>
      <w:r>
        <w:rPr>
          <w:rFonts w:ascii="黑体" w:hAnsi="黑体" w:eastAsia="黑体"/>
          <w:bCs/>
          <w:sz w:val="24"/>
          <w:szCs w:val="24"/>
        </w:rPr>
        <w:t xml:space="preserve">建筑施工场界环境噪声排放限值 </w:t>
      </w:r>
      <w:r>
        <w:rPr>
          <w:rFonts w:hint="eastAsia" w:ascii="黑体" w:hAnsi="黑体" w:eastAsia="黑体"/>
          <w:bCs/>
          <w:sz w:val="24"/>
          <w:szCs w:val="24"/>
        </w:rPr>
        <w:t>（</w:t>
      </w:r>
      <w:r>
        <w:rPr>
          <w:rFonts w:ascii="黑体" w:hAnsi="黑体" w:eastAsia="黑体"/>
          <w:bCs/>
          <w:sz w:val="24"/>
          <w:szCs w:val="24"/>
        </w:rPr>
        <w:t>dB(A)</w:t>
      </w:r>
      <w:r>
        <w:rPr>
          <w:rFonts w:hint="eastAsia" w:ascii="黑体" w:hAnsi="黑体" w:eastAsia="黑体"/>
          <w:bCs/>
          <w:sz w:val="24"/>
          <w:szCs w:val="24"/>
        </w:rPr>
        <w:t>）</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5"/>
        <w:gridCol w:w="4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2475" w:type="pct"/>
            <w:vAlign w:val="center"/>
          </w:tcPr>
          <w:p>
            <w:pPr>
              <w:tabs>
                <w:tab w:val="left" w:pos="360"/>
                <w:tab w:val="left" w:pos="540"/>
              </w:tabs>
              <w:jc w:val="center"/>
              <w:rPr>
                <w:szCs w:val="21"/>
              </w:rPr>
            </w:pPr>
            <w:r>
              <w:rPr>
                <w:szCs w:val="21"/>
              </w:rPr>
              <w:t>昼间</w:t>
            </w:r>
          </w:p>
        </w:tc>
        <w:tc>
          <w:tcPr>
            <w:tcW w:w="2525" w:type="pct"/>
            <w:vAlign w:val="center"/>
          </w:tcPr>
          <w:p>
            <w:pPr>
              <w:tabs>
                <w:tab w:val="left" w:pos="360"/>
                <w:tab w:val="left" w:pos="540"/>
              </w:tabs>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75" w:type="pct"/>
            <w:vAlign w:val="center"/>
          </w:tcPr>
          <w:p>
            <w:pPr>
              <w:tabs>
                <w:tab w:val="left" w:pos="360"/>
                <w:tab w:val="left" w:pos="540"/>
              </w:tabs>
              <w:jc w:val="center"/>
              <w:rPr>
                <w:szCs w:val="21"/>
              </w:rPr>
            </w:pPr>
            <w:r>
              <w:rPr>
                <w:szCs w:val="21"/>
              </w:rPr>
              <w:t>70</w:t>
            </w:r>
          </w:p>
        </w:tc>
        <w:tc>
          <w:tcPr>
            <w:tcW w:w="2525" w:type="pct"/>
            <w:vAlign w:val="center"/>
          </w:tcPr>
          <w:p>
            <w:pPr>
              <w:tabs>
                <w:tab w:val="left" w:pos="360"/>
                <w:tab w:val="left" w:pos="540"/>
              </w:tabs>
              <w:jc w:val="center"/>
              <w:rPr>
                <w:szCs w:val="21"/>
              </w:rPr>
            </w:pPr>
            <w:r>
              <w:rPr>
                <w:szCs w:val="21"/>
              </w:rPr>
              <w:t>55</w:t>
            </w:r>
          </w:p>
        </w:tc>
      </w:tr>
    </w:tbl>
    <w:p>
      <w:pPr>
        <w:pStyle w:val="85"/>
        <w:spacing w:line="480" w:lineRule="exact"/>
        <w:ind w:firstLine="480"/>
        <w:rPr>
          <w:rFonts w:ascii="Times New Roman" w:hAnsi="Times New Roman" w:cs="Times New Roman"/>
          <w:sz w:val="24"/>
          <w:szCs w:val="24"/>
        </w:rPr>
      </w:pPr>
      <w:r>
        <w:rPr>
          <w:rFonts w:hint="eastAsia" w:ascii="Times New Roman" w:hAnsi="Times New Roman" w:cs="Times New Roman"/>
          <w:sz w:val="24"/>
          <w:szCs w:val="24"/>
        </w:rPr>
        <w:t>由表5.1-4可知，各施工机械</w:t>
      </w:r>
      <w:r>
        <w:rPr>
          <w:rFonts w:ascii="Times New Roman" w:hAnsi="Times New Roman" w:cs="Times New Roman"/>
          <w:sz w:val="24"/>
          <w:szCs w:val="24"/>
        </w:rPr>
        <w:t>噪声在经过距离衰减后</w:t>
      </w:r>
      <w:r>
        <w:rPr>
          <w:rFonts w:hint="eastAsia" w:ascii="Times New Roman" w:hAnsi="Times New Roman" w:cs="Times New Roman"/>
          <w:sz w:val="24"/>
          <w:szCs w:val="24"/>
        </w:rPr>
        <w:t>150m外的噪声值均能</w:t>
      </w:r>
      <w:r>
        <w:rPr>
          <w:rFonts w:ascii="Times New Roman" w:hAnsi="Times New Roman" w:cs="Times New Roman"/>
          <w:sz w:val="24"/>
          <w:szCs w:val="24"/>
        </w:rPr>
        <w:t>达到《声环境质量标准》（GB3096－2008）中的</w:t>
      </w:r>
      <w:r>
        <w:rPr>
          <w:rFonts w:hint="eastAsia" w:ascii="Times New Roman" w:hAnsi="Times New Roman" w:cs="Times New Roman"/>
          <w:sz w:val="24"/>
          <w:szCs w:val="24"/>
        </w:rPr>
        <w:t>2</w:t>
      </w:r>
      <w:r>
        <w:rPr>
          <w:rFonts w:ascii="Times New Roman" w:hAnsi="Times New Roman" w:cs="Times New Roman"/>
          <w:sz w:val="24"/>
          <w:szCs w:val="24"/>
        </w:rPr>
        <w:t>类昼间</w:t>
      </w:r>
      <w:r>
        <w:rPr>
          <w:rFonts w:hint="eastAsia" w:ascii="Times New Roman" w:hAnsi="Times New Roman" w:cs="Times New Roman"/>
          <w:sz w:val="24"/>
          <w:szCs w:val="24"/>
        </w:rPr>
        <w:t>和夜间标准限值。</w:t>
      </w:r>
      <w:r>
        <w:rPr>
          <w:rFonts w:ascii="Times New Roman" w:hAnsi="Times New Roman" w:cs="Times New Roman"/>
          <w:sz w:val="24"/>
          <w:szCs w:val="24"/>
        </w:rPr>
        <w:t>因此项目施工期噪声对周围敏感点影响较小。</w:t>
      </w:r>
      <w:r>
        <w:rPr>
          <w:rFonts w:hint="eastAsia" w:ascii="Times New Roman" w:hAnsi="Times New Roman" w:cs="Times New Roman"/>
          <w:sz w:val="24"/>
          <w:szCs w:val="24"/>
        </w:rPr>
        <w:t>距离本项目200</w:t>
      </w:r>
      <w:r>
        <w:rPr>
          <w:rFonts w:ascii="Times New Roman" w:hAnsi="Times New Roman" w:cs="Times New Roman"/>
          <w:sz w:val="24"/>
          <w:szCs w:val="24"/>
        </w:rPr>
        <w:t>m范围内无村庄和敏感点</w:t>
      </w:r>
      <w:r>
        <w:rPr>
          <w:rFonts w:hint="eastAsia" w:ascii="Times New Roman" w:hAnsi="Times New Roman" w:cs="Times New Roman"/>
          <w:sz w:val="24"/>
          <w:szCs w:val="24"/>
        </w:rPr>
        <w:t>，因此施工机械产生的噪声对本项目影响不大。</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评价建议施工单位</w:t>
      </w:r>
      <w:r>
        <w:rPr>
          <w:rFonts w:hint="eastAsia" w:ascii="Times New Roman" w:hAnsi="Times New Roman" w:cs="Times New Roman"/>
          <w:sz w:val="24"/>
          <w:szCs w:val="24"/>
        </w:rPr>
        <w:t>在施工作业期间内</w:t>
      </w:r>
      <w:r>
        <w:rPr>
          <w:rFonts w:ascii="Times New Roman" w:hAnsi="Times New Roman" w:cs="Times New Roman"/>
          <w:sz w:val="24"/>
          <w:szCs w:val="24"/>
        </w:rPr>
        <w:t>采取合理的施工方式，优先选用低噪声的施工设备，</w:t>
      </w:r>
      <w:r>
        <w:rPr>
          <w:rFonts w:hint="eastAsia" w:ascii="Times New Roman" w:hAnsi="Times New Roman" w:cs="Times New Roman"/>
          <w:sz w:val="24"/>
          <w:szCs w:val="24"/>
        </w:rPr>
        <w:t>合理安排施工设备的位置</w:t>
      </w:r>
      <w:r>
        <w:rPr>
          <w:rFonts w:ascii="Times New Roman" w:hAnsi="Times New Roman" w:cs="Times New Roman"/>
          <w:sz w:val="24"/>
          <w:szCs w:val="24"/>
        </w:rPr>
        <w:t>。</w:t>
      </w:r>
    </w:p>
    <w:p>
      <w:pPr>
        <w:spacing w:line="480" w:lineRule="exact"/>
        <w:ind w:firstLine="480" w:firstLineChars="200"/>
        <w:rPr>
          <w:sz w:val="24"/>
          <w:szCs w:val="24"/>
        </w:rPr>
      </w:pPr>
      <w:r>
        <w:rPr>
          <w:rFonts w:hint="eastAsia"/>
          <w:sz w:val="24"/>
          <w:szCs w:val="24"/>
        </w:rPr>
        <w:t>随着施工期的结束，项目施工过程中产生的机械噪声随之结束，因此</w:t>
      </w:r>
      <w:r>
        <w:rPr>
          <w:sz w:val="24"/>
          <w:szCs w:val="24"/>
        </w:rPr>
        <w:t>施工过程中对区域声环境的影响是暂时的，</w:t>
      </w:r>
      <w:r>
        <w:rPr>
          <w:rFonts w:hint="eastAsia"/>
          <w:sz w:val="24"/>
          <w:szCs w:val="24"/>
        </w:rPr>
        <w:t>对周围环境敏感点的影响很小。</w:t>
      </w:r>
    </w:p>
    <w:p>
      <w:pPr>
        <w:pStyle w:val="3"/>
        <w:spacing w:before="0" w:after="0" w:line="480" w:lineRule="exact"/>
        <w:rPr>
          <w:sz w:val="24"/>
          <w:szCs w:val="24"/>
        </w:rPr>
      </w:pPr>
      <w:r>
        <w:rPr>
          <w:rFonts w:hint="eastAsia"/>
          <w:sz w:val="24"/>
          <w:szCs w:val="24"/>
        </w:rPr>
        <w:t>5.1.3</w:t>
      </w:r>
      <w:r>
        <w:rPr>
          <w:rFonts w:hint="eastAsia"/>
          <w:color w:val="000000"/>
          <w:sz w:val="24"/>
          <w:szCs w:val="24"/>
        </w:rPr>
        <w:t>施工期水环境影响分析</w:t>
      </w:r>
    </w:p>
    <w:p>
      <w:pPr>
        <w:spacing w:line="480" w:lineRule="exact"/>
        <w:ind w:firstLine="480" w:firstLineChars="200"/>
        <w:rPr>
          <w:sz w:val="24"/>
          <w:szCs w:val="24"/>
        </w:rPr>
      </w:pPr>
      <w:r>
        <w:rPr>
          <w:rFonts w:hint="eastAsia"/>
          <w:color w:val="000000"/>
          <w:sz w:val="24"/>
          <w:szCs w:val="24"/>
        </w:rPr>
        <w:t>施工期</w:t>
      </w:r>
      <w:r>
        <w:rPr>
          <w:sz w:val="24"/>
          <w:szCs w:val="24"/>
        </w:rPr>
        <w:t>对水环境的影响主要为施工人员产生的生活污水。</w:t>
      </w:r>
    </w:p>
    <w:p>
      <w:pPr>
        <w:spacing w:line="480" w:lineRule="exact"/>
        <w:ind w:firstLine="480" w:firstLineChars="200"/>
        <w:rPr>
          <w:sz w:val="24"/>
          <w:szCs w:val="24"/>
        </w:rPr>
      </w:pPr>
      <w:r>
        <w:rPr>
          <w:sz w:val="24"/>
          <w:szCs w:val="24"/>
        </w:rPr>
        <w:t>本项目施工人员按照</w:t>
      </w:r>
      <w:r>
        <w:rPr>
          <w:rFonts w:hint="eastAsia"/>
          <w:sz w:val="24"/>
          <w:szCs w:val="24"/>
        </w:rPr>
        <w:t>4</w:t>
      </w:r>
      <w:r>
        <w:rPr>
          <w:sz w:val="24"/>
          <w:szCs w:val="24"/>
        </w:rPr>
        <w:t>0人计，人均用水量按</w:t>
      </w:r>
      <w:r>
        <w:rPr>
          <w:rFonts w:hint="eastAsia"/>
          <w:sz w:val="24"/>
          <w:szCs w:val="24"/>
        </w:rPr>
        <w:t>3</w:t>
      </w:r>
      <w:r>
        <w:rPr>
          <w:sz w:val="24"/>
          <w:szCs w:val="24"/>
        </w:rPr>
        <w:t>0L/d计，产污率为80%，则生活污水的产生量为</w:t>
      </w:r>
      <w:r>
        <w:rPr>
          <w:rFonts w:hint="eastAsia"/>
          <w:sz w:val="24"/>
          <w:szCs w:val="24"/>
        </w:rPr>
        <w:t>0.96</w:t>
      </w:r>
      <w:r>
        <w:rPr>
          <w:sz w:val="24"/>
          <w:szCs w:val="24"/>
        </w:rPr>
        <w:t>m</w:t>
      </w:r>
      <w:r>
        <w:rPr>
          <w:sz w:val="24"/>
          <w:szCs w:val="24"/>
          <w:vertAlign w:val="superscript"/>
        </w:rPr>
        <w:t>3</w:t>
      </w:r>
      <w:r>
        <w:rPr>
          <w:sz w:val="24"/>
          <w:szCs w:val="24"/>
        </w:rPr>
        <w:t>/d。</w:t>
      </w:r>
      <w:r>
        <w:rPr>
          <w:rFonts w:hint="eastAsia"/>
          <w:sz w:val="24"/>
          <w:szCs w:val="24"/>
        </w:rPr>
        <w:t>施工人员主要为附近村民，不在厂内食宿，</w:t>
      </w:r>
      <w:r>
        <w:rPr>
          <w:sz w:val="24"/>
          <w:szCs w:val="24"/>
        </w:rPr>
        <w:t>施工人员的生活污水</w:t>
      </w:r>
      <w:r>
        <w:rPr>
          <w:rFonts w:hint="eastAsia"/>
          <w:sz w:val="24"/>
          <w:szCs w:val="24"/>
        </w:rPr>
        <w:t>主要为施工人员的盥洗用水，该部分废水可直接泼洒，用于</w:t>
      </w:r>
      <w:r>
        <w:rPr>
          <w:sz w:val="24"/>
          <w:szCs w:val="24"/>
        </w:rPr>
        <w:t>防尘</w:t>
      </w:r>
      <w:r>
        <w:rPr>
          <w:rFonts w:hint="eastAsia"/>
          <w:sz w:val="24"/>
          <w:szCs w:val="24"/>
        </w:rPr>
        <w:t>或绿化用水</w:t>
      </w:r>
      <w:r>
        <w:rPr>
          <w:sz w:val="24"/>
          <w:szCs w:val="24"/>
        </w:rPr>
        <w:t>。</w:t>
      </w:r>
      <w:r>
        <w:rPr>
          <w:rFonts w:hint="eastAsia"/>
          <w:sz w:val="24"/>
          <w:szCs w:val="24"/>
        </w:rPr>
        <w:t>施工期生活废水对周围水环境影响较小。</w:t>
      </w:r>
    </w:p>
    <w:p>
      <w:pPr>
        <w:pStyle w:val="3"/>
        <w:spacing w:before="0" w:after="0" w:line="480" w:lineRule="exact"/>
        <w:rPr>
          <w:sz w:val="24"/>
          <w:szCs w:val="24"/>
        </w:rPr>
      </w:pPr>
      <w:r>
        <w:rPr>
          <w:rFonts w:hint="eastAsia"/>
          <w:sz w:val="24"/>
          <w:szCs w:val="24"/>
        </w:rPr>
        <w:t>5.1.4</w:t>
      </w:r>
      <w:r>
        <w:rPr>
          <w:rFonts w:hint="eastAsia"/>
          <w:color w:val="000000"/>
          <w:sz w:val="24"/>
          <w:szCs w:val="24"/>
        </w:rPr>
        <w:t>施工期固体废物影响分析</w:t>
      </w:r>
    </w:p>
    <w:p>
      <w:pPr>
        <w:spacing w:line="480" w:lineRule="exact"/>
        <w:ind w:firstLine="480" w:firstLineChars="200"/>
        <w:rPr>
          <w:sz w:val="24"/>
          <w:szCs w:val="24"/>
        </w:rPr>
      </w:pPr>
      <w:r>
        <w:rPr>
          <w:sz w:val="24"/>
          <w:szCs w:val="24"/>
        </w:rPr>
        <w:t>建设期的固体废物主要有</w:t>
      </w:r>
      <w:r>
        <w:rPr>
          <w:rFonts w:hint="eastAsia"/>
          <w:sz w:val="24"/>
          <w:szCs w:val="24"/>
        </w:rPr>
        <w:t>三</w:t>
      </w:r>
      <w:r>
        <w:rPr>
          <w:sz w:val="24"/>
          <w:szCs w:val="24"/>
        </w:rPr>
        <w:t>类：一是</w:t>
      </w:r>
      <w:r>
        <w:rPr>
          <w:rFonts w:hint="eastAsia"/>
          <w:sz w:val="24"/>
          <w:szCs w:val="24"/>
        </w:rPr>
        <w:t>项目拟选厂区废旧设备拆除搬迁产生的废钢、废铁等；二是反应池挖方产生的挖方；三是</w:t>
      </w:r>
      <w:r>
        <w:rPr>
          <w:sz w:val="24"/>
          <w:szCs w:val="24"/>
        </w:rPr>
        <w:t>施工人员的生活垃圾。</w:t>
      </w:r>
    </w:p>
    <w:p>
      <w:pPr>
        <w:spacing w:line="480" w:lineRule="exact"/>
        <w:ind w:firstLine="480" w:firstLineChars="200"/>
        <w:rPr>
          <w:sz w:val="24"/>
          <w:szCs w:val="24"/>
        </w:rPr>
      </w:pPr>
      <w:r>
        <w:rPr>
          <w:rFonts w:hint="eastAsia"/>
          <w:sz w:val="24"/>
          <w:szCs w:val="24"/>
        </w:rPr>
        <w:t>（1）施工过程中产生的废铁、废钢等，经收集后可外售至废物回收公司；</w:t>
      </w:r>
    </w:p>
    <w:p>
      <w:pPr>
        <w:spacing w:line="480" w:lineRule="exact"/>
        <w:ind w:firstLine="480" w:firstLineChars="200"/>
        <w:rPr>
          <w:sz w:val="24"/>
          <w:szCs w:val="24"/>
        </w:rPr>
      </w:pPr>
      <w:r>
        <w:rPr>
          <w:rFonts w:hint="eastAsia"/>
          <w:sz w:val="24"/>
          <w:szCs w:val="24"/>
        </w:rPr>
        <w:t>（2）项目施工过程中挖方较少，可回填用于厂区平整，无弃方产生；</w:t>
      </w:r>
    </w:p>
    <w:p>
      <w:pPr>
        <w:spacing w:line="480" w:lineRule="exact"/>
        <w:ind w:firstLine="480" w:firstLineChars="200"/>
        <w:rPr>
          <w:sz w:val="24"/>
          <w:szCs w:val="24"/>
        </w:rPr>
      </w:pPr>
      <w:r>
        <w:rPr>
          <w:rFonts w:hint="eastAsia"/>
          <w:sz w:val="24"/>
          <w:szCs w:val="24"/>
        </w:rPr>
        <w:t>（3）</w:t>
      </w:r>
      <w:r>
        <w:rPr>
          <w:sz w:val="24"/>
          <w:szCs w:val="24"/>
        </w:rPr>
        <w:t>生活垃圾以有机污染物为主，少量以无机污染物为主，随意堆放将影响周围环境。施工现场应设垃圾桶，将产生的生活垃圾收集，并运至环卫部门指定的地点交由环卫部门处置。</w:t>
      </w:r>
    </w:p>
    <w:p>
      <w:pPr>
        <w:pStyle w:val="3"/>
        <w:spacing w:before="0" w:after="0" w:line="480" w:lineRule="exact"/>
        <w:rPr>
          <w:sz w:val="24"/>
          <w:szCs w:val="24"/>
        </w:rPr>
      </w:pPr>
      <w:r>
        <w:rPr>
          <w:rFonts w:hint="eastAsia"/>
          <w:sz w:val="24"/>
          <w:szCs w:val="24"/>
        </w:rPr>
        <w:t>5.1.5</w:t>
      </w:r>
      <w:r>
        <w:rPr>
          <w:rFonts w:hint="eastAsia"/>
          <w:color w:val="000000"/>
          <w:sz w:val="24"/>
          <w:szCs w:val="24"/>
        </w:rPr>
        <w:t>施工期生态环境影响分析</w:t>
      </w:r>
    </w:p>
    <w:p>
      <w:pPr>
        <w:spacing w:line="480" w:lineRule="exact"/>
        <w:ind w:firstLine="480" w:firstLineChars="200"/>
        <w:rPr>
          <w:sz w:val="24"/>
          <w:szCs w:val="24"/>
        </w:rPr>
      </w:pPr>
      <w:r>
        <w:rPr>
          <w:rFonts w:hint="eastAsia"/>
          <w:sz w:val="24"/>
          <w:szCs w:val="24"/>
        </w:rPr>
        <w:t>本项目占地类型为工业用地，厂区</w:t>
      </w:r>
      <w:r>
        <w:rPr>
          <w:sz w:val="24"/>
          <w:szCs w:val="24"/>
        </w:rPr>
        <w:t>地形平坦，植被较单一，地面有裸露。</w:t>
      </w:r>
      <w:r>
        <w:rPr>
          <w:rFonts w:hint="eastAsia"/>
          <w:sz w:val="24"/>
          <w:szCs w:val="24"/>
        </w:rPr>
        <w:t>项目建设</w:t>
      </w:r>
      <w:r>
        <w:rPr>
          <w:sz w:val="24"/>
          <w:szCs w:val="24"/>
        </w:rPr>
        <w:t>对生态环境的影响主要表现</w:t>
      </w:r>
      <w:r>
        <w:rPr>
          <w:rFonts w:hint="eastAsia"/>
          <w:sz w:val="24"/>
          <w:szCs w:val="24"/>
        </w:rPr>
        <w:t>为</w:t>
      </w:r>
      <w:r>
        <w:rPr>
          <w:sz w:val="24"/>
          <w:szCs w:val="24"/>
        </w:rPr>
        <w:t>水土流失：</w:t>
      </w:r>
    </w:p>
    <w:p>
      <w:pPr>
        <w:spacing w:line="480" w:lineRule="exact"/>
        <w:ind w:firstLine="480" w:firstLineChars="200"/>
        <w:rPr>
          <w:sz w:val="24"/>
          <w:szCs w:val="24"/>
        </w:rPr>
      </w:pPr>
      <w:r>
        <w:rPr>
          <w:rFonts w:hint="eastAsia"/>
          <w:sz w:val="24"/>
          <w:szCs w:val="24"/>
        </w:rPr>
        <w:t>①</w:t>
      </w:r>
      <w:r>
        <w:rPr>
          <w:sz w:val="24"/>
          <w:szCs w:val="24"/>
        </w:rPr>
        <w:t>开挖地表，使原</w:t>
      </w:r>
      <w:r>
        <w:rPr>
          <w:rFonts w:hint="eastAsia"/>
          <w:sz w:val="24"/>
          <w:szCs w:val="24"/>
        </w:rPr>
        <w:t>有</w:t>
      </w:r>
      <w:r>
        <w:rPr>
          <w:sz w:val="24"/>
          <w:szCs w:val="24"/>
        </w:rPr>
        <w:t>地表植被、土壤结构</w:t>
      </w:r>
      <w:r>
        <w:rPr>
          <w:rFonts w:hint="eastAsia"/>
          <w:sz w:val="24"/>
          <w:szCs w:val="24"/>
        </w:rPr>
        <w:t>遭</w:t>
      </w:r>
      <w:r>
        <w:rPr>
          <w:sz w:val="24"/>
          <w:szCs w:val="24"/>
        </w:rPr>
        <w:t>到破坏，造成地表裸露，表层土抗蚀能力减弱，加剧水土流失；</w:t>
      </w:r>
    </w:p>
    <w:p>
      <w:pPr>
        <w:spacing w:line="480" w:lineRule="exact"/>
        <w:ind w:firstLine="480" w:firstLineChars="200"/>
        <w:rPr>
          <w:sz w:val="24"/>
          <w:szCs w:val="24"/>
        </w:rPr>
      </w:pPr>
      <w:r>
        <w:rPr>
          <w:rFonts w:hint="eastAsia"/>
          <w:sz w:val="24"/>
          <w:szCs w:val="24"/>
        </w:rPr>
        <w:t>②</w:t>
      </w:r>
      <w:r>
        <w:rPr>
          <w:sz w:val="24"/>
          <w:szCs w:val="24"/>
        </w:rPr>
        <w:t>土石方因受地形和运输条件限制，</w:t>
      </w:r>
      <w:r>
        <w:rPr>
          <w:rFonts w:hint="eastAsia"/>
          <w:sz w:val="24"/>
          <w:szCs w:val="24"/>
        </w:rPr>
        <w:t>不能及时运走时在场地内堆放</w:t>
      </w:r>
      <w:r>
        <w:rPr>
          <w:sz w:val="24"/>
          <w:szCs w:val="24"/>
        </w:rPr>
        <w:t>，由于结构疏松，空隙度增大，易产生水土流失；</w:t>
      </w:r>
    </w:p>
    <w:p>
      <w:pPr>
        <w:spacing w:line="480" w:lineRule="exact"/>
        <w:ind w:firstLine="480" w:firstLineChars="200"/>
        <w:rPr>
          <w:sz w:val="24"/>
          <w:szCs w:val="24"/>
        </w:rPr>
      </w:pPr>
      <w:r>
        <w:rPr>
          <w:sz w:val="24"/>
          <w:szCs w:val="24"/>
        </w:rPr>
        <w:t>为有效防止水土流失，</w:t>
      </w:r>
      <w:r>
        <w:rPr>
          <w:rFonts w:hint="eastAsia"/>
          <w:sz w:val="24"/>
          <w:szCs w:val="24"/>
        </w:rPr>
        <w:t>环评</w:t>
      </w:r>
      <w:r>
        <w:rPr>
          <w:sz w:val="24"/>
          <w:szCs w:val="24"/>
        </w:rPr>
        <w:t>建议采取以下防治措施：</w:t>
      </w:r>
    </w:p>
    <w:p>
      <w:pPr>
        <w:spacing w:line="480" w:lineRule="exact"/>
        <w:ind w:firstLine="480" w:firstLineChars="200"/>
        <w:rPr>
          <w:sz w:val="24"/>
          <w:szCs w:val="24"/>
        </w:rPr>
      </w:pPr>
      <w:r>
        <w:rPr>
          <w:rFonts w:hint="eastAsia"/>
          <w:sz w:val="24"/>
          <w:szCs w:val="24"/>
        </w:rPr>
        <w:t>①</w:t>
      </w:r>
      <w:r>
        <w:rPr>
          <w:sz w:val="24"/>
          <w:szCs w:val="24"/>
        </w:rPr>
        <w:t>根据需要增设必要的临时雨水排水沟道，夯实裸露地面，尽量减缓雨水对泥土的冲刷。</w:t>
      </w:r>
    </w:p>
    <w:p>
      <w:pPr>
        <w:spacing w:line="480" w:lineRule="exact"/>
        <w:ind w:firstLine="480" w:firstLineChars="200"/>
        <w:rPr>
          <w:sz w:val="24"/>
          <w:szCs w:val="24"/>
        </w:rPr>
      </w:pPr>
      <w:r>
        <w:rPr>
          <w:rFonts w:hint="eastAsia"/>
          <w:sz w:val="24"/>
          <w:szCs w:val="24"/>
        </w:rPr>
        <w:t>②</w:t>
      </w:r>
      <w:r>
        <w:rPr>
          <w:sz w:val="24"/>
          <w:szCs w:val="24"/>
        </w:rPr>
        <w:t>弃土和施工废料及时清运。</w:t>
      </w:r>
    </w:p>
    <w:p>
      <w:pPr>
        <w:spacing w:line="480" w:lineRule="exact"/>
        <w:ind w:firstLine="480" w:firstLineChars="200"/>
        <w:rPr>
          <w:sz w:val="24"/>
          <w:szCs w:val="24"/>
        </w:rPr>
      </w:pPr>
      <w:r>
        <w:rPr>
          <w:rFonts w:hint="eastAsia"/>
          <w:sz w:val="24"/>
          <w:szCs w:val="24"/>
        </w:rPr>
        <w:t>③</w:t>
      </w:r>
      <w:r>
        <w:rPr>
          <w:sz w:val="24"/>
          <w:szCs w:val="24"/>
        </w:rPr>
        <w:t>施工完成后及时进行路面硬化和绿化，搞好植被的恢复、再造，做到边坡稳定，岩石、表土不裸露。</w:t>
      </w:r>
    </w:p>
    <w:p>
      <w:pPr>
        <w:spacing w:line="480" w:lineRule="exact"/>
        <w:ind w:firstLine="480" w:firstLineChars="200"/>
        <w:rPr>
          <w:sz w:val="24"/>
          <w:szCs w:val="24"/>
        </w:rPr>
      </w:pPr>
      <w:r>
        <w:rPr>
          <w:rFonts w:hint="eastAsia"/>
          <w:sz w:val="24"/>
          <w:szCs w:val="24"/>
        </w:rPr>
        <w:t>④</w:t>
      </w:r>
      <w:r>
        <w:rPr>
          <w:sz w:val="24"/>
          <w:szCs w:val="24"/>
        </w:rPr>
        <w:t>控制施工作业时间，尽量避免在暴雨季节进行大规模的土石方开挖工作。</w:t>
      </w:r>
    </w:p>
    <w:p>
      <w:pPr>
        <w:spacing w:line="480" w:lineRule="exact"/>
        <w:ind w:firstLine="480" w:firstLineChars="200"/>
        <w:rPr>
          <w:sz w:val="24"/>
          <w:szCs w:val="24"/>
        </w:rPr>
      </w:pPr>
      <w:r>
        <w:rPr>
          <w:b/>
          <w:sz w:val="24"/>
          <w:szCs w:val="24"/>
        </w:rPr>
        <w:t>综上所述</w:t>
      </w:r>
      <w:r>
        <w:rPr>
          <w:sz w:val="24"/>
          <w:szCs w:val="24"/>
        </w:rPr>
        <w:t>，建设期间的影响属于非持久性的影响，期间采取相应的环保措施后不会对周围环境产生明显的影响</w:t>
      </w:r>
      <w:r>
        <w:rPr>
          <w:rFonts w:hint="eastAsia"/>
          <w:sz w:val="24"/>
          <w:szCs w:val="24"/>
        </w:rPr>
        <w:t>。</w:t>
      </w:r>
    </w:p>
    <w:p>
      <w:pPr>
        <w:pStyle w:val="2"/>
        <w:spacing w:before="156" w:beforeLines="50" w:after="0" w:line="480" w:lineRule="exact"/>
        <w:rPr>
          <w:rFonts w:ascii="Times New Roman" w:hAnsi="Times New Roman"/>
          <w:bCs w:val="0"/>
          <w:spacing w:val="4"/>
          <w:sz w:val="28"/>
          <w:szCs w:val="28"/>
        </w:rPr>
      </w:pPr>
      <w:bookmarkStart w:id="85" w:name="_Toc19105466"/>
      <w:r>
        <w:rPr>
          <w:rFonts w:hint="eastAsia" w:ascii="Times New Roman" w:hAnsi="Times New Roman"/>
          <w:bCs w:val="0"/>
          <w:spacing w:val="4"/>
          <w:sz w:val="28"/>
          <w:szCs w:val="28"/>
        </w:rPr>
        <w:t>5.2</w:t>
      </w:r>
      <w:r>
        <w:rPr>
          <w:rFonts w:hint="eastAsia"/>
          <w:sz w:val="28"/>
          <w:szCs w:val="28"/>
        </w:rPr>
        <w:t>运营期环境影响预测与评价</w:t>
      </w:r>
      <w:bookmarkEnd w:id="85"/>
    </w:p>
    <w:p>
      <w:pPr>
        <w:pStyle w:val="3"/>
        <w:spacing w:before="0" w:after="0" w:line="480" w:lineRule="exact"/>
        <w:rPr>
          <w:sz w:val="24"/>
          <w:szCs w:val="24"/>
        </w:rPr>
      </w:pPr>
      <w:r>
        <w:rPr>
          <w:rFonts w:hint="eastAsia"/>
          <w:sz w:val="24"/>
          <w:szCs w:val="24"/>
        </w:rPr>
        <w:t>5.2.1环境空气影响预测与评价</w:t>
      </w:r>
    </w:p>
    <w:p>
      <w:pPr>
        <w:pStyle w:val="57"/>
        <w:keepNext/>
        <w:keepLines/>
        <w:spacing w:before="0" w:after="0" w:line="480" w:lineRule="exact"/>
        <w:ind w:firstLine="0" w:firstLineChars="0"/>
        <w:outlineLvl w:val="3"/>
        <w:rPr>
          <w:b/>
        </w:rPr>
      </w:pPr>
      <w:r>
        <w:rPr>
          <w:rFonts w:hint="eastAsia"/>
          <w:b/>
        </w:rPr>
        <w:t>5.2.1.</w:t>
      </w:r>
      <w:r>
        <w:rPr>
          <w:b/>
        </w:rPr>
        <w:t>1</w:t>
      </w:r>
      <w:bookmarkStart w:id="86" w:name="_Hlk9001343"/>
      <w:r>
        <w:rPr>
          <w:rFonts w:hint="eastAsia" w:ascii="宋体" w:hAnsi="宋体"/>
          <w:b/>
        </w:rPr>
        <w:t>环境空气影响预测</w:t>
      </w:r>
      <w:bookmarkEnd w:id="86"/>
    </w:p>
    <w:p>
      <w:pPr>
        <w:spacing w:line="480" w:lineRule="exact"/>
        <w:rPr>
          <w:b/>
          <w:sz w:val="24"/>
          <w:szCs w:val="24"/>
        </w:rPr>
      </w:pPr>
      <w:r>
        <w:rPr>
          <w:rFonts w:hint="eastAsia"/>
          <w:b/>
          <w:sz w:val="24"/>
          <w:szCs w:val="24"/>
        </w:rPr>
        <w:t>1、评价因子筛选</w:t>
      </w:r>
    </w:p>
    <w:p>
      <w:pPr>
        <w:spacing w:line="480" w:lineRule="exact"/>
        <w:ind w:firstLine="480" w:firstLineChars="200"/>
        <w:rPr>
          <w:bCs/>
          <w:sz w:val="24"/>
          <w:szCs w:val="24"/>
        </w:rPr>
      </w:pPr>
      <w:r>
        <w:rPr>
          <w:bCs/>
          <w:sz w:val="24"/>
          <w:szCs w:val="24"/>
        </w:rPr>
        <w:t>（1）评价因子和评价标准筛选</w:t>
      </w:r>
    </w:p>
    <w:p>
      <w:pPr>
        <w:spacing w:line="480" w:lineRule="exact"/>
        <w:ind w:firstLine="480" w:firstLineChars="200"/>
        <w:rPr>
          <w:sz w:val="24"/>
          <w:szCs w:val="24"/>
        </w:rPr>
      </w:pPr>
      <w:bookmarkStart w:id="87" w:name="_Hlk9001350"/>
      <w:r>
        <w:rPr>
          <w:sz w:val="24"/>
          <w:szCs w:val="24"/>
        </w:rPr>
        <w:t>根据《环境影响评价技术导则 总纲》(HJ2.2-201</w:t>
      </w:r>
      <w:r>
        <w:rPr>
          <w:rFonts w:hint="eastAsia"/>
          <w:sz w:val="24"/>
          <w:szCs w:val="24"/>
        </w:rPr>
        <w:t>8</w:t>
      </w:r>
      <w:r>
        <w:rPr>
          <w:sz w:val="24"/>
          <w:szCs w:val="24"/>
        </w:rPr>
        <w:t>)，结合本项目的工程分析，本次评价因子选取</w:t>
      </w:r>
      <w:r>
        <w:rPr>
          <w:rFonts w:hint="eastAsia"/>
          <w:sz w:val="24"/>
          <w:szCs w:val="24"/>
        </w:rPr>
        <w:t>鸡舍、污水处理站、临时储粪房无组织排放的NH</w:t>
      </w:r>
      <w:r>
        <w:rPr>
          <w:rFonts w:hint="eastAsia"/>
          <w:sz w:val="24"/>
          <w:szCs w:val="24"/>
          <w:vertAlign w:val="subscript"/>
        </w:rPr>
        <w:t>3</w:t>
      </w:r>
      <w:r>
        <w:rPr>
          <w:rFonts w:hint="eastAsia"/>
          <w:sz w:val="24"/>
          <w:szCs w:val="24"/>
        </w:rPr>
        <w:t>和H</w:t>
      </w:r>
      <w:r>
        <w:rPr>
          <w:rFonts w:hint="eastAsia"/>
          <w:sz w:val="24"/>
          <w:szCs w:val="24"/>
          <w:vertAlign w:val="subscript"/>
        </w:rPr>
        <w:t>2</w:t>
      </w:r>
      <w:r>
        <w:rPr>
          <w:rFonts w:hint="eastAsia"/>
          <w:sz w:val="24"/>
          <w:szCs w:val="24"/>
        </w:rPr>
        <w:t>S，发酵罐有组织排放的NH</w:t>
      </w:r>
      <w:r>
        <w:rPr>
          <w:rFonts w:hint="eastAsia"/>
          <w:sz w:val="24"/>
          <w:szCs w:val="24"/>
          <w:vertAlign w:val="subscript"/>
        </w:rPr>
        <w:t>3</w:t>
      </w:r>
      <w:r>
        <w:rPr>
          <w:rFonts w:hint="eastAsia"/>
          <w:sz w:val="24"/>
          <w:szCs w:val="24"/>
        </w:rPr>
        <w:t>和H</w:t>
      </w:r>
      <w:r>
        <w:rPr>
          <w:rFonts w:hint="eastAsia"/>
          <w:sz w:val="24"/>
          <w:szCs w:val="24"/>
          <w:vertAlign w:val="subscript"/>
        </w:rPr>
        <w:t>2</w:t>
      </w:r>
      <w:r>
        <w:rPr>
          <w:rFonts w:hint="eastAsia"/>
          <w:sz w:val="24"/>
          <w:szCs w:val="24"/>
        </w:rPr>
        <w:t>S，以及燃液化天然气排放的烟尘、二氧化氮。</w:t>
      </w:r>
      <w:bookmarkEnd w:id="87"/>
    </w:p>
    <w:p>
      <w:pPr>
        <w:spacing w:line="480" w:lineRule="exact"/>
        <w:ind w:firstLine="480" w:firstLineChars="200"/>
        <w:rPr>
          <w:sz w:val="24"/>
          <w:szCs w:val="24"/>
        </w:rPr>
      </w:pPr>
      <w:r>
        <w:rPr>
          <w:rFonts w:hint="eastAsia"/>
          <w:bCs/>
          <w:sz w:val="24"/>
          <w:szCs w:val="24"/>
        </w:rPr>
        <w:t>本项目大气评价因子和评价标准见下表5.2-</w:t>
      </w:r>
      <w:r>
        <w:rPr>
          <w:bCs/>
          <w:sz w:val="24"/>
          <w:szCs w:val="24"/>
        </w:rPr>
        <w:t>1</w:t>
      </w:r>
      <w:r>
        <w:rPr>
          <w:rFonts w:hint="eastAsia"/>
          <w:bCs/>
          <w:sz w:val="24"/>
          <w:szCs w:val="24"/>
        </w:rPr>
        <w:t>。</w:t>
      </w:r>
    </w:p>
    <w:p>
      <w:pPr>
        <w:spacing w:line="480" w:lineRule="exact"/>
        <w:jc w:val="center"/>
        <w:rPr>
          <w:rFonts w:ascii="黑体" w:hAnsi="黑体" w:eastAsia="黑体"/>
          <w:sz w:val="24"/>
        </w:rPr>
      </w:pPr>
    </w:p>
    <w:p>
      <w:pPr>
        <w:spacing w:line="480" w:lineRule="exact"/>
        <w:jc w:val="center"/>
        <w:rPr>
          <w:rFonts w:ascii="黑体" w:hAnsi="黑体" w:eastAsia="黑体"/>
          <w:sz w:val="24"/>
        </w:rPr>
      </w:pPr>
    </w:p>
    <w:p>
      <w:pPr>
        <w:spacing w:line="480" w:lineRule="exact"/>
        <w:jc w:val="center"/>
        <w:rPr>
          <w:rFonts w:ascii="黑体" w:hAnsi="黑体" w:eastAsia="黑体"/>
          <w:sz w:val="24"/>
        </w:rPr>
      </w:pPr>
      <w:r>
        <w:rPr>
          <w:rFonts w:hint="eastAsia" w:ascii="黑体" w:hAnsi="黑体" w:eastAsia="黑体"/>
          <w:sz w:val="24"/>
        </w:rPr>
        <w:t>表</w:t>
      </w:r>
      <w:r>
        <w:rPr>
          <w:rFonts w:hint="eastAsia" w:ascii="黑体" w:hAnsi="黑体" w:eastAsia="黑体"/>
          <w:bCs/>
          <w:sz w:val="24"/>
        </w:rPr>
        <w:t>5.2-</w:t>
      </w:r>
      <w:r>
        <w:rPr>
          <w:rFonts w:ascii="黑体" w:hAnsi="黑体" w:eastAsia="黑体"/>
          <w:bCs/>
          <w:sz w:val="24"/>
        </w:rPr>
        <w:t>1</w:t>
      </w:r>
      <w:r>
        <w:rPr>
          <w:rFonts w:ascii="黑体" w:hAnsi="黑体" w:eastAsia="黑体"/>
          <w:sz w:val="24"/>
        </w:rPr>
        <w:t xml:space="preserve">  </w:t>
      </w:r>
      <w:r>
        <w:rPr>
          <w:rFonts w:hint="eastAsia" w:ascii="黑体" w:hAnsi="黑体" w:eastAsia="黑体"/>
          <w:sz w:val="24"/>
        </w:rPr>
        <w:t>本项目评价因子和评价标准表</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1292"/>
        <w:gridCol w:w="1866"/>
        <w:gridCol w:w="44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4" w:type="pct"/>
            <w:shd w:val="clear" w:color="FFFFFF" w:fill="FFFFFF"/>
            <w:vAlign w:val="center"/>
          </w:tcPr>
          <w:p>
            <w:pPr>
              <w:widowControl/>
              <w:jc w:val="center"/>
              <w:rPr>
                <w:kern w:val="0"/>
                <w:szCs w:val="21"/>
              </w:rPr>
            </w:pPr>
            <w:bookmarkStart w:id="88" w:name="_Hlk9001361"/>
            <w:r>
              <w:rPr>
                <w:kern w:val="0"/>
                <w:szCs w:val="21"/>
              </w:rPr>
              <w:t>评价因子</w:t>
            </w:r>
          </w:p>
        </w:tc>
        <w:tc>
          <w:tcPr>
            <w:tcW w:w="713" w:type="pct"/>
            <w:shd w:val="clear" w:color="FFFFFF" w:fill="FFFFFF"/>
            <w:vAlign w:val="center"/>
          </w:tcPr>
          <w:p>
            <w:pPr>
              <w:widowControl/>
              <w:jc w:val="center"/>
              <w:rPr>
                <w:kern w:val="0"/>
                <w:szCs w:val="21"/>
              </w:rPr>
            </w:pPr>
            <w:r>
              <w:rPr>
                <w:kern w:val="0"/>
                <w:szCs w:val="21"/>
              </w:rPr>
              <w:t>平均时段</w:t>
            </w:r>
          </w:p>
        </w:tc>
        <w:tc>
          <w:tcPr>
            <w:tcW w:w="1030" w:type="pct"/>
            <w:shd w:val="clear" w:color="FFFFFF" w:fill="FFFFFF"/>
            <w:vAlign w:val="center"/>
          </w:tcPr>
          <w:p>
            <w:pPr>
              <w:widowControl/>
              <w:jc w:val="center"/>
              <w:rPr>
                <w:kern w:val="0"/>
                <w:szCs w:val="21"/>
              </w:rPr>
            </w:pPr>
            <w:r>
              <w:rPr>
                <w:kern w:val="0"/>
                <w:szCs w:val="21"/>
              </w:rPr>
              <w:t>标准值（μg/m</w:t>
            </w:r>
            <w:r>
              <w:rPr>
                <w:kern w:val="0"/>
                <w:szCs w:val="21"/>
                <w:vertAlign w:val="superscript"/>
              </w:rPr>
              <w:t>3</w:t>
            </w:r>
            <w:r>
              <w:rPr>
                <w:kern w:val="0"/>
                <w:szCs w:val="21"/>
              </w:rPr>
              <w:t>）</w:t>
            </w:r>
          </w:p>
        </w:tc>
        <w:tc>
          <w:tcPr>
            <w:tcW w:w="2483" w:type="pct"/>
            <w:shd w:val="clear" w:color="FFFFFF" w:fill="FFFFFF"/>
            <w:vAlign w:val="center"/>
          </w:tcPr>
          <w:p>
            <w:pPr>
              <w:widowControl/>
              <w:jc w:val="center"/>
              <w:rPr>
                <w:kern w:val="0"/>
                <w:szCs w:val="21"/>
              </w:rPr>
            </w:pPr>
            <w:r>
              <w:rPr>
                <w:kern w:val="0"/>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4" w:type="pct"/>
            <w:shd w:val="clear" w:color="FFFFFF" w:fill="FFFFFF"/>
            <w:vAlign w:val="center"/>
          </w:tcPr>
          <w:p>
            <w:pPr>
              <w:widowControl/>
              <w:jc w:val="center"/>
              <w:rPr>
                <w:kern w:val="0"/>
                <w:szCs w:val="21"/>
              </w:rPr>
            </w:pPr>
            <w:r>
              <w:rPr>
                <w:rFonts w:hint="eastAsia"/>
                <w:kern w:val="0"/>
                <w:szCs w:val="21"/>
              </w:rPr>
              <w:t>PM</w:t>
            </w:r>
            <w:r>
              <w:rPr>
                <w:rFonts w:hint="eastAsia"/>
                <w:kern w:val="0"/>
                <w:szCs w:val="21"/>
                <w:vertAlign w:val="subscript"/>
              </w:rPr>
              <w:t>10</w:t>
            </w:r>
          </w:p>
        </w:tc>
        <w:tc>
          <w:tcPr>
            <w:tcW w:w="713" w:type="pct"/>
            <w:shd w:val="clear" w:color="FFFFFF" w:fill="FFFFFF"/>
            <w:vAlign w:val="center"/>
          </w:tcPr>
          <w:p>
            <w:pPr>
              <w:widowControl/>
              <w:jc w:val="center"/>
              <w:rPr>
                <w:kern w:val="0"/>
                <w:szCs w:val="21"/>
              </w:rPr>
            </w:pPr>
            <w:r>
              <w:rPr>
                <w:rFonts w:hint="eastAsia"/>
                <w:kern w:val="0"/>
                <w:szCs w:val="21"/>
              </w:rPr>
              <w:t>小时值</w:t>
            </w:r>
          </w:p>
        </w:tc>
        <w:tc>
          <w:tcPr>
            <w:tcW w:w="1030" w:type="pct"/>
            <w:shd w:val="clear" w:color="FFFFFF" w:fill="FFFFFF"/>
            <w:vAlign w:val="center"/>
          </w:tcPr>
          <w:p>
            <w:pPr>
              <w:widowControl/>
              <w:jc w:val="center"/>
              <w:rPr>
                <w:kern w:val="0"/>
                <w:szCs w:val="21"/>
              </w:rPr>
            </w:pPr>
            <w:r>
              <w:rPr>
                <w:rFonts w:hint="eastAsia"/>
                <w:kern w:val="0"/>
                <w:szCs w:val="21"/>
              </w:rPr>
              <w:t>450</w:t>
            </w:r>
          </w:p>
        </w:tc>
        <w:tc>
          <w:tcPr>
            <w:tcW w:w="2483" w:type="pct"/>
            <w:vMerge w:val="restart"/>
            <w:shd w:val="clear" w:color="FFFFFF" w:fill="FFFFFF"/>
            <w:vAlign w:val="center"/>
          </w:tcPr>
          <w:p>
            <w:pPr>
              <w:widowControl/>
              <w:jc w:val="center"/>
              <w:rPr>
                <w:kern w:val="0"/>
                <w:szCs w:val="21"/>
              </w:rPr>
            </w:pPr>
            <w:r>
              <w:rPr>
                <w:rFonts w:hint="eastAsia"/>
                <w:color w:val="000000"/>
                <w:szCs w:val="24"/>
              </w:rPr>
              <w:t>《环境空气质量标准》（</w:t>
            </w:r>
            <w:r>
              <w:rPr>
                <w:color w:val="000000"/>
                <w:szCs w:val="24"/>
              </w:rPr>
              <w:t>GB3095-2012</w:t>
            </w:r>
            <w:r>
              <w:rPr>
                <w:rFonts w:hint="eastAsia"/>
                <w:color w:val="000000"/>
                <w:szCs w:val="24"/>
              </w:rPr>
              <w:t>）及其修改单的二级标准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4" w:type="pct"/>
            <w:shd w:val="clear" w:color="FFFFFF" w:fill="FFFFFF"/>
            <w:vAlign w:val="center"/>
          </w:tcPr>
          <w:p>
            <w:pPr>
              <w:widowControl/>
              <w:jc w:val="center"/>
              <w:rPr>
                <w:kern w:val="0"/>
                <w:szCs w:val="21"/>
              </w:rPr>
            </w:pPr>
            <w:r>
              <w:rPr>
                <w:rFonts w:hint="eastAsia"/>
                <w:kern w:val="0"/>
                <w:szCs w:val="21"/>
              </w:rPr>
              <w:t>二氧化氮</w:t>
            </w:r>
          </w:p>
        </w:tc>
        <w:tc>
          <w:tcPr>
            <w:tcW w:w="713" w:type="pct"/>
            <w:shd w:val="clear" w:color="FFFFFF" w:fill="FFFFFF"/>
            <w:vAlign w:val="center"/>
          </w:tcPr>
          <w:p>
            <w:pPr>
              <w:widowControl/>
              <w:jc w:val="center"/>
              <w:rPr>
                <w:kern w:val="0"/>
                <w:szCs w:val="21"/>
              </w:rPr>
            </w:pPr>
            <w:r>
              <w:rPr>
                <w:rFonts w:hint="eastAsia"/>
                <w:kern w:val="0"/>
                <w:szCs w:val="21"/>
              </w:rPr>
              <w:t>小时值</w:t>
            </w:r>
          </w:p>
        </w:tc>
        <w:tc>
          <w:tcPr>
            <w:tcW w:w="1030" w:type="pct"/>
            <w:shd w:val="clear" w:color="FFFFFF" w:fill="FFFFFF"/>
            <w:vAlign w:val="center"/>
          </w:tcPr>
          <w:p>
            <w:pPr>
              <w:widowControl/>
              <w:jc w:val="center"/>
              <w:rPr>
                <w:kern w:val="0"/>
                <w:szCs w:val="21"/>
              </w:rPr>
            </w:pPr>
            <w:r>
              <w:rPr>
                <w:rFonts w:hint="eastAsia"/>
                <w:kern w:val="0"/>
                <w:szCs w:val="21"/>
              </w:rPr>
              <w:t>2</w:t>
            </w:r>
            <w:r>
              <w:rPr>
                <w:kern w:val="0"/>
                <w:szCs w:val="21"/>
              </w:rPr>
              <w:t>00</w:t>
            </w:r>
          </w:p>
        </w:tc>
        <w:tc>
          <w:tcPr>
            <w:tcW w:w="2483" w:type="pct"/>
            <w:vMerge w:val="continue"/>
            <w:shd w:val="clear" w:color="FFFFFF" w:fill="FFFFFF"/>
            <w:vAlign w:val="center"/>
          </w:tcPr>
          <w:p>
            <w:pPr>
              <w:widowControl/>
              <w:jc w:val="center"/>
              <w:rPr>
                <w:color w:val="000000"/>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4" w:type="pct"/>
            <w:shd w:val="clear" w:color="FFFFFF" w:fill="FFFFFF"/>
            <w:noWrap/>
            <w:vAlign w:val="center"/>
          </w:tcPr>
          <w:p>
            <w:pPr>
              <w:widowControl/>
              <w:jc w:val="center"/>
              <w:rPr>
                <w:kern w:val="0"/>
                <w:szCs w:val="21"/>
              </w:rPr>
            </w:pPr>
            <w:r>
              <w:rPr>
                <w:rFonts w:hint="eastAsia"/>
                <w:kern w:val="0"/>
                <w:szCs w:val="21"/>
              </w:rPr>
              <w:t>H</w:t>
            </w:r>
            <w:r>
              <w:rPr>
                <w:rFonts w:hint="eastAsia"/>
                <w:kern w:val="0"/>
                <w:szCs w:val="21"/>
                <w:vertAlign w:val="subscript"/>
              </w:rPr>
              <w:t>2</w:t>
            </w:r>
            <w:r>
              <w:rPr>
                <w:rFonts w:hint="eastAsia"/>
                <w:kern w:val="0"/>
                <w:szCs w:val="21"/>
              </w:rPr>
              <w:t>S</w:t>
            </w:r>
          </w:p>
        </w:tc>
        <w:tc>
          <w:tcPr>
            <w:tcW w:w="713" w:type="pct"/>
            <w:shd w:val="clear" w:color="FFFFFF" w:fill="FFFFFF"/>
            <w:noWrap/>
            <w:vAlign w:val="center"/>
          </w:tcPr>
          <w:p>
            <w:pPr>
              <w:widowControl/>
              <w:jc w:val="center"/>
              <w:rPr>
                <w:kern w:val="0"/>
                <w:szCs w:val="21"/>
              </w:rPr>
            </w:pPr>
            <w:r>
              <w:rPr>
                <w:kern w:val="0"/>
                <w:szCs w:val="21"/>
              </w:rPr>
              <w:t>小时值</w:t>
            </w:r>
          </w:p>
        </w:tc>
        <w:tc>
          <w:tcPr>
            <w:tcW w:w="1030" w:type="pct"/>
            <w:shd w:val="clear" w:color="FFFFFF" w:fill="FFFFFF"/>
            <w:noWrap/>
            <w:vAlign w:val="center"/>
          </w:tcPr>
          <w:p>
            <w:pPr>
              <w:widowControl/>
              <w:jc w:val="center"/>
              <w:rPr>
                <w:kern w:val="0"/>
                <w:szCs w:val="21"/>
              </w:rPr>
            </w:pPr>
            <w:r>
              <w:rPr>
                <w:rFonts w:hint="eastAsia"/>
                <w:kern w:val="0"/>
                <w:szCs w:val="21"/>
              </w:rPr>
              <w:t>10</w:t>
            </w:r>
          </w:p>
        </w:tc>
        <w:tc>
          <w:tcPr>
            <w:tcW w:w="2483" w:type="pct"/>
            <w:vMerge w:val="restart"/>
            <w:shd w:val="clear" w:color="FFFFFF" w:fill="FFFFFF"/>
            <w:noWrap/>
            <w:vAlign w:val="center"/>
          </w:tcPr>
          <w:p>
            <w:pPr>
              <w:widowControl/>
              <w:jc w:val="center"/>
              <w:rPr>
                <w:kern w:val="0"/>
                <w:szCs w:val="21"/>
              </w:rPr>
            </w:pPr>
            <w:r>
              <w:rPr>
                <w:rFonts w:hint="eastAsia"/>
                <w:kern w:val="0"/>
                <w:szCs w:val="21"/>
              </w:rPr>
              <w:t>《环境影响评价技术导则  大气环境》（HJ2.2-2018）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4" w:type="pct"/>
            <w:shd w:val="clear" w:color="FFFFFF" w:fill="FFFFFF"/>
            <w:noWrap/>
            <w:vAlign w:val="center"/>
          </w:tcPr>
          <w:p>
            <w:pPr>
              <w:widowControl/>
              <w:jc w:val="center"/>
              <w:rPr>
                <w:kern w:val="0"/>
                <w:szCs w:val="21"/>
              </w:rPr>
            </w:pPr>
            <w:r>
              <w:rPr>
                <w:rFonts w:hint="eastAsia"/>
                <w:kern w:val="0"/>
                <w:szCs w:val="21"/>
              </w:rPr>
              <w:t>NH</w:t>
            </w:r>
            <w:r>
              <w:rPr>
                <w:rFonts w:hint="eastAsia"/>
                <w:kern w:val="0"/>
                <w:szCs w:val="21"/>
                <w:vertAlign w:val="subscript"/>
              </w:rPr>
              <w:t>3</w:t>
            </w:r>
          </w:p>
        </w:tc>
        <w:tc>
          <w:tcPr>
            <w:tcW w:w="713" w:type="pct"/>
            <w:shd w:val="clear" w:color="FFFFFF" w:fill="FFFFFF"/>
            <w:noWrap/>
            <w:vAlign w:val="center"/>
          </w:tcPr>
          <w:p>
            <w:pPr>
              <w:widowControl/>
              <w:jc w:val="center"/>
              <w:rPr>
                <w:kern w:val="0"/>
                <w:szCs w:val="21"/>
              </w:rPr>
            </w:pPr>
            <w:r>
              <w:rPr>
                <w:kern w:val="0"/>
                <w:szCs w:val="21"/>
              </w:rPr>
              <w:t>小时值</w:t>
            </w:r>
          </w:p>
        </w:tc>
        <w:tc>
          <w:tcPr>
            <w:tcW w:w="1030" w:type="pct"/>
            <w:shd w:val="clear" w:color="FFFFFF" w:fill="FFFFFF"/>
            <w:noWrap/>
            <w:vAlign w:val="center"/>
          </w:tcPr>
          <w:p>
            <w:pPr>
              <w:widowControl/>
              <w:jc w:val="center"/>
              <w:rPr>
                <w:kern w:val="0"/>
                <w:szCs w:val="21"/>
              </w:rPr>
            </w:pPr>
            <w:r>
              <w:rPr>
                <w:rFonts w:hint="eastAsia"/>
                <w:kern w:val="0"/>
                <w:szCs w:val="21"/>
              </w:rPr>
              <w:t>200</w:t>
            </w:r>
          </w:p>
        </w:tc>
        <w:tc>
          <w:tcPr>
            <w:tcW w:w="2483" w:type="pct"/>
            <w:vMerge w:val="continue"/>
            <w:shd w:val="clear" w:color="FFFFFF" w:fill="FFFFFF"/>
            <w:noWrap/>
            <w:vAlign w:val="center"/>
          </w:tcPr>
          <w:p>
            <w:pPr>
              <w:widowControl/>
              <w:jc w:val="center"/>
              <w:rPr>
                <w:kern w:val="0"/>
                <w:szCs w:val="21"/>
              </w:rPr>
            </w:pPr>
          </w:p>
        </w:tc>
      </w:tr>
      <w:bookmarkEnd w:id="88"/>
    </w:tbl>
    <w:p>
      <w:pPr>
        <w:spacing w:line="480" w:lineRule="exact"/>
        <w:ind w:firstLine="504" w:firstLineChars="200"/>
        <w:rPr>
          <w:b/>
          <w:sz w:val="24"/>
          <w:szCs w:val="24"/>
        </w:rPr>
      </w:pPr>
      <w:r>
        <w:rPr>
          <w:bCs/>
          <w:spacing w:val="6"/>
          <w:sz w:val="24"/>
        </w:rPr>
        <w:t>（2）地形</w:t>
      </w:r>
    </w:p>
    <w:p>
      <w:pPr>
        <w:spacing w:line="480" w:lineRule="exact"/>
        <w:ind w:firstLine="480" w:firstLineChars="200"/>
        <w:rPr>
          <w:bCs/>
          <w:sz w:val="24"/>
          <w:szCs w:val="24"/>
        </w:rPr>
      </w:pPr>
      <w:r>
        <w:rPr>
          <w:rFonts w:hint="eastAsia"/>
          <w:bCs/>
          <w:sz w:val="24"/>
          <w:szCs w:val="24"/>
        </w:rPr>
        <w:t>本项目评价范围地形示意图如下：</w:t>
      </w:r>
    </w:p>
    <w:p>
      <w:pPr>
        <w:jc w:val="center"/>
        <w:rPr>
          <w:b/>
          <w:sz w:val="24"/>
          <w:szCs w:val="24"/>
        </w:rPr>
      </w:pPr>
      <w:r>
        <w:drawing>
          <wp:anchor distT="0" distB="0" distL="114300" distR="114300" simplePos="0" relativeHeight="251662336" behindDoc="0" locked="0" layoutInCell="1" allowOverlap="1">
            <wp:simplePos x="0" y="0"/>
            <wp:positionH relativeFrom="column">
              <wp:posOffset>4856480</wp:posOffset>
            </wp:positionH>
            <wp:positionV relativeFrom="paragraph">
              <wp:posOffset>198120</wp:posOffset>
            </wp:positionV>
            <wp:extent cx="271780" cy="359410"/>
            <wp:effectExtent l="0" t="0" r="0" b="0"/>
            <wp:wrapNone/>
            <wp:docPr id="4" name="图片 4" descr="指北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指北图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1780" cy="359410"/>
                    </a:xfrm>
                    <a:prstGeom prst="rect">
                      <a:avLst/>
                    </a:prstGeom>
                    <a:noFill/>
                  </pic:spPr>
                </pic:pic>
              </a:graphicData>
            </a:graphic>
          </wp:anchor>
        </w:drawing>
      </w:r>
      <w:r>
        <w:rPr>
          <w:b/>
          <w:sz w:val="24"/>
          <w:szCs w:val="24"/>
        </w:rPr>
        <w:drawing>
          <wp:inline distT="0" distB="0" distL="0" distR="0">
            <wp:extent cx="5219700" cy="5505450"/>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33"/>
                    <a:srcRect/>
                    <a:stretch>
                      <a:fillRect/>
                    </a:stretch>
                  </pic:blipFill>
                  <pic:spPr>
                    <a:xfrm>
                      <a:off x="0" y="0"/>
                      <a:ext cx="5219700" cy="5505450"/>
                    </a:xfrm>
                    <a:prstGeom prst="rect">
                      <a:avLst/>
                    </a:prstGeom>
                    <a:noFill/>
                    <a:ln w="9525">
                      <a:noFill/>
                      <a:miter lim="800000"/>
                      <a:headEnd/>
                      <a:tailEnd/>
                    </a:ln>
                  </pic:spPr>
                </pic:pic>
              </a:graphicData>
            </a:graphic>
          </wp:inline>
        </w:drawing>
      </w:r>
    </w:p>
    <w:p>
      <w:pPr>
        <w:spacing w:line="480" w:lineRule="exact"/>
        <w:jc w:val="center"/>
        <w:rPr>
          <w:rFonts w:ascii="黑体" w:hAnsi="黑体" w:eastAsia="黑体"/>
          <w:bCs/>
          <w:spacing w:val="6"/>
          <w:sz w:val="24"/>
        </w:rPr>
      </w:pPr>
      <w:r>
        <w:rPr>
          <w:rFonts w:ascii="黑体" w:hAnsi="黑体" w:eastAsia="黑体"/>
          <w:bCs/>
          <w:spacing w:val="6"/>
          <w:sz w:val="24"/>
        </w:rPr>
        <w:t>图</w:t>
      </w:r>
      <w:r>
        <w:rPr>
          <w:rFonts w:hint="eastAsia" w:ascii="黑体" w:hAnsi="黑体" w:eastAsia="黑体"/>
          <w:bCs/>
          <w:spacing w:val="6"/>
          <w:sz w:val="24"/>
        </w:rPr>
        <w:t>5.2-1  区域地形示意图</w:t>
      </w:r>
    </w:p>
    <w:p>
      <w:pPr>
        <w:spacing w:line="480" w:lineRule="atLeast"/>
        <w:ind w:firstLine="480"/>
        <w:rPr>
          <w:sz w:val="24"/>
        </w:rPr>
      </w:pPr>
      <w:r>
        <w:rPr>
          <w:sz w:val="24"/>
        </w:rPr>
        <w:t>（</w:t>
      </w:r>
      <w:r>
        <w:rPr>
          <w:rFonts w:hint="eastAsia"/>
          <w:sz w:val="24"/>
        </w:rPr>
        <w:t>3</w:t>
      </w:r>
      <w:r>
        <w:rPr>
          <w:sz w:val="24"/>
        </w:rPr>
        <w:t>）污染源参数</w:t>
      </w:r>
    </w:p>
    <w:p>
      <w:pPr>
        <w:spacing w:line="480" w:lineRule="exact"/>
        <w:ind w:firstLine="480" w:firstLineChars="200"/>
        <w:rPr>
          <w:sz w:val="24"/>
          <w:szCs w:val="24"/>
        </w:rPr>
      </w:pPr>
      <w:r>
        <w:rPr>
          <w:sz w:val="24"/>
          <w:szCs w:val="24"/>
        </w:rPr>
        <w:t>根据工程分析</w:t>
      </w:r>
      <w:r>
        <w:rPr>
          <w:rFonts w:hint="eastAsia"/>
          <w:sz w:val="24"/>
          <w:szCs w:val="24"/>
        </w:rPr>
        <w:t>，</w:t>
      </w:r>
      <w:r>
        <w:rPr>
          <w:sz w:val="24"/>
          <w:szCs w:val="24"/>
        </w:rPr>
        <w:t>项目点源、面源参数调查结果分别见表</w:t>
      </w:r>
      <w:r>
        <w:rPr>
          <w:rFonts w:hint="eastAsia"/>
          <w:sz w:val="24"/>
          <w:szCs w:val="24"/>
        </w:rPr>
        <w:t>5.2-2</w:t>
      </w:r>
      <w:r>
        <w:rPr>
          <w:sz w:val="24"/>
          <w:szCs w:val="24"/>
        </w:rPr>
        <w:t>、表</w:t>
      </w:r>
      <w:r>
        <w:rPr>
          <w:rFonts w:hint="eastAsia"/>
          <w:sz w:val="24"/>
          <w:szCs w:val="24"/>
        </w:rPr>
        <w:t>5.2-3</w:t>
      </w:r>
      <w:r>
        <w:rPr>
          <w:sz w:val="24"/>
          <w:szCs w:val="24"/>
        </w:rPr>
        <w:t>。</w:t>
      </w:r>
    </w:p>
    <w:p>
      <w:pPr>
        <w:spacing w:line="480" w:lineRule="exact"/>
        <w:ind w:firstLine="480" w:firstLineChars="200"/>
        <w:rPr>
          <w:sz w:val="24"/>
          <w:szCs w:val="24"/>
        </w:rPr>
      </w:pPr>
    </w:p>
    <w:p>
      <w:pPr>
        <w:spacing w:line="480" w:lineRule="exact"/>
        <w:rPr>
          <w:b/>
          <w:sz w:val="24"/>
          <w:szCs w:val="24"/>
        </w:rPr>
        <w:sectPr>
          <w:headerReference r:id="rId10" w:type="default"/>
          <w:pgSz w:w="11906" w:h="16838"/>
          <w:pgMar w:top="1418" w:right="1531" w:bottom="1418" w:left="1531" w:header="851" w:footer="992" w:gutter="0"/>
          <w:cols w:space="425" w:num="1"/>
          <w:docGrid w:type="linesAndChars" w:linePitch="312" w:charSpace="0"/>
        </w:sectPr>
      </w:pPr>
    </w:p>
    <w:p>
      <w:pPr>
        <w:spacing w:line="480" w:lineRule="exact"/>
        <w:jc w:val="center"/>
        <w:rPr>
          <w:rFonts w:ascii="黑体" w:hAnsi="黑体" w:eastAsia="黑体"/>
          <w:kern w:val="0"/>
          <w:sz w:val="24"/>
        </w:rPr>
      </w:pPr>
      <w:r>
        <w:rPr>
          <w:rFonts w:ascii="黑体" w:hAnsi="黑体" w:eastAsia="黑体"/>
          <w:kern w:val="0"/>
          <w:sz w:val="24"/>
        </w:rPr>
        <w:t>表5</w:t>
      </w:r>
      <w:r>
        <w:rPr>
          <w:rFonts w:hint="eastAsia" w:ascii="黑体" w:hAnsi="黑体" w:eastAsia="黑体"/>
          <w:kern w:val="0"/>
          <w:sz w:val="24"/>
        </w:rPr>
        <w:t>.2-2</w:t>
      </w:r>
      <w:r>
        <w:rPr>
          <w:rFonts w:ascii="黑体" w:hAnsi="黑体" w:eastAsia="黑体"/>
          <w:kern w:val="0"/>
          <w:sz w:val="24"/>
        </w:rPr>
        <w:t xml:space="preserve"> </w:t>
      </w:r>
      <w:r>
        <w:rPr>
          <w:rFonts w:hint="eastAsia" w:ascii="黑体" w:hAnsi="黑体" w:eastAsia="黑体"/>
          <w:kern w:val="0"/>
          <w:sz w:val="24"/>
        </w:rPr>
        <w:t xml:space="preserve"> </w:t>
      </w:r>
      <w:r>
        <w:rPr>
          <w:rFonts w:ascii="黑体" w:hAnsi="黑体" w:eastAsia="黑体"/>
          <w:kern w:val="0"/>
          <w:sz w:val="24"/>
        </w:rPr>
        <w:t xml:space="preserve"> 点源参数表</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32"/>
        <w:gridCol w:w="1615"/>
        <w:gridCol w:w="1076"/>
        <w:gridCol w:w="1072"/>
        <w:gridCol w:w="1077"/>
        <w:gridCol w:w="1074"/>
        <w:gridCol w:w="1075"/>
        <w:gridCol w:w="1083"/>
        <w:gridCol w:w="1075"/>
        <w:gridCol w:w="1080"/>
        <w:gridCol w:w="1073"/>
        <w:gridCol w:w="1081"/>
        <w:gridCol w:w="107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32" w:type="dxa"/>
            <w:vMerge w:val="restart"/>
            <w:vAlign w:val="center"/>
          </w:tcPr>
          <w:p>
            <w:pPr>
              <w:jc w:val="center"/>
              <w:rPr>
                <w:rFonts w:ascii="黑体" w:hAnsi="黑体" w:eastAsia="黑体"/>
                <w:b/>
                <w:kern w:val="0"/>
                <w:sz w:val="24"/>
              </w:rPr>
            </w:pPr>
            <w:r>
              <w:rPr>
                <w:rFonts w:hint="eastAsia" w:ascii="黑体" w:hAnsi="黑体" w:eastAsia="黑体"/>
                <w:b/>
                <w:kern w:val="0"/>
                <w:sz w:val="24"/>
              </w:rPr>
              <w:t>编号</w:t>
            </w:r>
          </w:p>
        </w:tc>
        <w:tc>
          <w:tcPr>
            <w:tcW w:w="1615" w:type="dxa"/>
            <w:vMerge w:val="restart"/>
            <w:vAlign w:val="center"/>
          </w:tcPr>
          <w:p>
            <w:pPr>
              <w:jc w:val="center"/>
              <w:rPr>
                <w:rFonts w:ascii="黑体" w:hAnsi="黑体" w:eastAsia="黑体"/>
                <w:b/>
                <w:kern w:val="0"/>
                <w:sz w:val="24"/>
              </w:rPr>
            </w:pPr>
            <w:r>
              <w:rPr>
                <w:b/>
                <w:szCs w:val="21"/>
              </w:rPr>
              <w:t>名称</w:t>
            </w:r>
          </w:p>
        </w:tc>
        <w:tc>
          <w:tcPr>
            <w:tcW w:w="2148" w:type="dxa"/>
            <w:gridSpan w:val="2"/>
            <w:vAlign w:val="center"/>
          </w:tcPr>
          <w:p>
            <w:pPr>
              <w:jc w:val="center"/>
              <w:rPr>
                <w:rFonts w:ascii="黑体" w:hAnsi="黑体" w:eastAsia="黑体"/>
                <w:kern w:val="0"/>
                <w:sz w:val="24"/>
              </w:rPr>
            </w:pPr>
            <w:r>
              <w:rPr>
                <w:b/>
                <w:szCs w:val="21"/>
              </w:rPr>
              <w:t>排气筒底部中心坐标/m</w:t>
            </w:r>
          </w:p>
        </w:tc>
        <w:tc>
          <w:tcPr>
            <w:tcW w:w="1077" w:type="dxa"/>
            <w:vMerge w:val="restart"/>
            <w:vAlign w:val="center"/>
          </w:tcPr>
          <w:p>
            <w:pPr>
              <w:spacing w:line="0" w:lineRule="atLeast"/>
              <w:jc w:val="center"/>
              <w:rPr>
                <w:b/>
                <w:szCs w:val="21"/>
              </w:rPr>
            </w:pPr>
            <w:r>
              <w:rPr>
                <w:b/>
                <w:szCs w:val="21"/>
              </w:rPr>
              <w:t>排气筒底部海拔高度/m</w:t>
            </w:r>
          </w:p>
        </w:tc>
        <w:tc>
          <w:tcPr>
            <w:tcW w:w="1074" w:type="dxa"/>
            <w:vMerge w:val="restart"/>
            <w:vAlign w:val="center"/>
          </w:tcPr>
          <w:p>
            <w:pPr>
              <w:spacing w:line="0" w:lineRule="atLeast"/>
              <w:jc w:val="center"/>
              <w:rPr>
                <w:b/>
                <w:szCs w:val="21"/>
              </w:rPr>
            </w:pPr>
            <w:r>
              <w:rPr>
                <w:b/>
                <w:szCs w:val="21"/>
              </w:rPr>
              <w:t>排气筒高度/m</w:t>
            </w:r>
          </w:p>
        </w:tc>
        <w:tc>
          <w:tcPr>
            <w:tcW w:w="1075" w:type="dxa"/>
            <w:vMerge w:val="restart"/>
            <w:vAlign w:val="center"/>
          </w:tcPr>
          <w:p>
            <w:pPr>
              <w:spacing w:line="0" w:lineRule="atLeast"/>
              <w:jc w:val="center"/>
              <w:rPr>
                <w:b/>
                <w:szCs w:val="21"/>
              </w:rPr>
            </w:pPr>
            <w:r>
              <w:rPr>
                <w:b/>
                <w:szCs w:val="21"/>
              </w:rPr>
              <w:t>排气筒出口内径/m</w:t>
            </w:r>
          </w:p>
        </w:tc>
        <w:tc>
          <w:tcPr>
            <w:tcW w:w="1083" w:type="dxa"/>
            <w:vMerge w:val="restart"/>
            <w:vAlign w:val="center"/>
          </w:tcPr>
          <w:p>
            <w:pPr>
              <w:spacing w:line="0" w:lineRule="atLeast"/>
              <w:jc w:val="center"/>
              <w:rPr>
                <w:b/>
                <w:szCs w:val="21"/>
              </w:rPr>
            </w:pPr>
            <w:r>
              <w:rPr>
                <w:b/>
                <w:szCs w:val="21"/>
              </w:rPr>
              <w:t>烟气流速/(m/s)</w:t>
            </w:r>
          </w:p>
        </w:tc>
        <w:tc>
          <w:tcPr>
            <w:tcW w:w="1075" w:type="dxa"/>
            <w:vMerge w:val="restart"/>
            <w:vAlign w:val="center"/>
          </w:tcPr>
          <w:p>
            <w:pPr>
              <w:spacing w:line="0" w:lineRule="atLeast"/>
              <w:jc w:val="center"/>
              <w:rPr>
                <w:b/>
                <w:szCs w:val="21"/>
              </w:rPr>
            </w:pPr>
            <w:r>
              <w:rPr>
                <w:b/>
                <w:szCs w:val="21"/>
              </w:rPr>
              <w:t>烟气温度/℃</w:t>
            </w:r>
          </w:p>
        </w:tc>
        <w:tc>
          <w:tcPr>
            <w:tcW w:w="1080" w:type="dxa"/>
            <w:vMerge w:val="restart"/>
            <w:vAlign w:val="center"/>
          </w:tcPr>
          <w:p>
            <w:pPr>
              <w:spacing w:line="0" w:lineRule="atLeast"/>
              <w:jc w:val="center"/>
              <w:rPr>
                <w:b/>
                <w:szCs w:val="21"/>
              </w:rPr>
            </w:pPr>
            <w:r>
              <w:rPr>
                <w:b/>
                <w:szCs w:val="21"/>
              </w:rPr>
              <w:t>年排放小时数/h</w:t>
            </w:r>
          </w:p>
        </w:tc>
        <w:tc>
          <w:tcPr>
            <w:tcW w:w="1073" w:type="dxa"/>
            <w:vMerge w:val="restart"/>
            <w:vAlign w:val="center"/>
          </w:tcPr>
          <w:p>
            <w:pPr>
              <w:spacing w:line="0" w:lineRule="atLeast"/>
              <w:jc w:val="center"/>
              <w:rPr>
                <w:b/>
                <w:szCs w:val="21"/>
              </w:rPr>
            </w:pPr>
            <w:r>
              <w:rPr>
                <w:b/>
                <w:szCs w:val="21"/>
              </w:rPr>
              <w:t>排放工况</w:t>
            </w:r>
          </w:p>
        </w:tc>
        <w:tc>
          <w:tcPr>
            <w:tcW w:w="2160" w:type="dxa"/>
            <w:gridSpan w:val="2"/>
            <w:vMerge w:val="restart"/>
            <w:vAlign w:val="center"/>
          </w:tcPr>
          <w:p>
            <w:pPr>
              <w:jc w:val="center"/>
              <w:rPr>
                <w:rFonts w:ascii="黑体" w:hAnsi="黑体" w:eastAsia="黑体"/>
                <w:kern w:val="0"/>
                <w:sz w:val="24"/>
              </w:rPr>
            </w:pPr>
            <w:r>
              <w:rPr>
                <w:b/>
                <w:szCs w:val="21"/>
              </w:rPr>
              <w:t>污染物排放速率/(kg/h)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32" w:type="dxa"/>
            <w:vMerge w:val="continue"/>
            <w:vAlign w:val="center"/>
          </w:tcPr>
          <w:p>
            <w:pPr>
              <w:jc w:val="center"/>
              <w:rPr>
                <w:rFonts w:ascii="黑体" w:hAnsi="黑体" w:eastAsia="黑体"/>
                <w:kern w:val="0"/>
                <w:sz w:val="24"/>
              </w:rPr>
            </w:pPr>
          </w:p>
        </w:tc>
        <w:tc>
          <w:tcPr>
            <w:tcW w:w="1615" w:type="dxa"/>
            <w:vMerge w:val="continue"/>
            <w:vAlign w:val="center"/>
          </w:tcPr>
          <w:p>
            <w:pPr>
              <w:jc w:val="center"/>
              <w:rPr>
                <w:rFonts w:ascii="黑体" w:hAnsi="黑体" w:eastAsia="黑体"/>
                <w:kern w:val="0"/>
                <w:sz w:val="24"/>
              </w:rPr>
            </w:pPr>
          </w:p>
        </w:tc>
        <w:tc>
          <w:tcPr>
            <w:tcW w:w="1076" w:type="dxa"/>
            <w:vAlign w:val="center"/>
          </w:tcPr>
          <w:p>
            <w:pPr>
              <w:widowControl/>
              <w:spacing w:line="0" w:lineRule="atLeast"/>
              <w:jc w:val="center"/>
              <w:rPr>
                <w:b/>
                <w:bCs/>
                <w:kern w:val="0"/>
                <w:szCs w:val="21"/>
              </w:rPr>
            </w:pPr>
            <w:r>
              <w:rPr>
                <w:b/>
                <w:bCs/>
                <w:kern w:val="0"/>
                <w:szCs w:val="21"/>
              </w:rPr>
              <w:t>X</w:t>
            </w:r>
          </w:p>
        </w:tc>
        <w:tc>
          <w:tcPr>
            <w:tcW w:w="1072" w:type="dxa"/>
            <w:vAlign w:val="center"/>
          </w:tcPr>
          <w:p>
            <w:pPr>
              <w:widowControl/>
              <w:spacing w:line="0" w:lineRule="atLeast"/>
              <w:jc w:val="center"/>
              <w:rPr>
                <w:b/>
                <w:bCs/>
                <w:kern w:val="0"/>
                <w:szCs w:val="21"/>
              </w:rPr>
            </w:pPr>
            <w:r>
              <w:rPr>
                <w:b/>
                <w:bCs/>
                <w:kern w:val="0"/>
                <w:szCs w:val="21"/>
              </w:rPr>
              <w:t>Y</w:t>
            </w:r>
          </w:p>
        </w:tc>
        <w:tc>
          <w:tcPr>
            <w:tcW w:w="1077" w:type="dxa"/>
            <w:vMerge w:val="continue"/>
            <w:vAlign w:val="center"/>
          </w:tcPr>
          <w:p>
            <w:pPr>
              <w:jc w:val="center"/>
              <w:rPr>
                <w:rFonts w:ascii="黑体" w:hAnsi="黑体" w:eastAsia="黑体"/>
                <w:kern w:val="0"/>
                <w:sz w:val="24"/>
              </w:rPr>
            </w:pPr>
          </w:p>
        </w:tc>
        <w:tc>
          <w:tcPr>
            <w:tcW w:w="1074" w:type="dxa"/>
            <w:vMerge w:val="continue"/>
            <w:vAlign w:val="center"/>
          </w:tcPr>
          <w:p>
            <w:pPr>
              <w:jc w:val="center"/>
              <w:rPr>
                <w:rFonts w:ascii="黑体" w:hAnsi="黑体" w:eastAsia="黑体"/>
                <w:kern w:val="0"/>
                <w:sz w:val="24"/>
              </w:rPr>
            </w:pPr>
          </w:p>
        </w:tc>
        <w:tc>
          <w:tcPr>
            <w:tcW w:w="1075" w:type="dxa"/>
            <w:vMerge w:val="continue"/>
            <w:vAlign w:val="center"/>
          </w:tcPr>
          <w:p>
            <w:pPr>
              <w:jc w:val="center"/>
              <w:rPr>
                <w:rFonts w:ascii="黑体" w:hAnsi="黑体" w:eastAsia="黑体"/>
                <w:kern w:val="0"/>
                <w:sz w:val="24"/>
              </w:rPr>
            </w:pPr>
          </w:p>
        </w:tc>
        <w:tc>
          <w:tcPr>
            <w:tcW w:w="1083" w:type="dxa"/>
            <w:vMerge w:val="continue"/>
            <w:vAlign w:val="center"/>
          </w:tcPr>
          <w:p>
            <w:pPr>
              <w:jc w:val="center"/>
              <w:rPr>
                <w:rFonts w:ascii="黑体" w:hAnsi="黑体" w:eastAsia="黑体"/>
                <w:kern w:val="0"/>
                <w:sz w:val="24"/>
              </w:rPr>
            </w:pPr>
          </w:p>
        </w:tc>
        <w:tc>
          <w:tcPr>
            <w:tcW w:w="1075" w:type="dxa"/>
            <w:vMerge w:val="continue"/>
            <w:vAlign w:val="center"/>
          </w:tcPr>
          <w:p>
            <w:pPr>
              <w:jc w:val="center"/>
              <w:rPr>
                <w:rFonts w:ascii="黑体" w:hAnsi="黑体" w:eastAsia="黑体"/>
                <w:kern w:val="0"/>
                <w:sz w:val="24"/>
              </w:rPr>
            </w:pPr>
          </w:p>
        </w:tc>
        <w:tc>
          <w:tcPr>
            <w:tcW w:w="1080" w:type="dxa"/>
            <w:vMerge w:val="continue"/>
            <w:vAlign w:val="center"/>
          </w:tcPr>
          <w:p>
            <w:pPr>
              <w:jc w:val="center"/>
              <w:rPr>
                <w:rFonts w:ascii="黑体" w:hAnsi="黑体" w:eastAsia="黑体"/>
                <w:kern w:val="0"/>
                <w:sz w:val="24"/>
              </w:rPr>
            </w:pPr>
          </w:p>
        </w:tc>
        <w:tc>
          <w:tcPr>
            <w:tcW w:w="1073" w:type="dxa"/>
            <w:vMerge w:val="continue"/>
            <w:vAlign w:val="center"/>
          </w:tcPr>
          <w:p>
            <w:pPr>
              <w:jc w:val="center"/>
              <w:rPr>
                <w:rFonts w:ascii="黑体" w:hAnsi="黑体" w:eastAsia="黑体"/>
                <w:kern w:val="0"/>
                <w:sz w:val="24"/>
              </w:rPr>
            </w:pPr>
          </w:p>
        </w:tc>
        <w:tc>
          <w:tcPr>
            <w:tcW w:w="2160" w:type="dxa"/>
            <w:gridSpan w:val="2"/>
            <w:vMerge w:val="continue"/>
            <w:vAlign w:val="center"/>
          </w:tcPr>
          <w:p>
            <w:pPr>
              <w:spacing w:line="0" w:lineRule="atLeast"/>
              <w:jc w:val="center"/>
              <w:rPr>
                <w:b/>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32" w:type="dxa"/>
            <w:vMerge w:val="restart"/>
            <w:vAlign w:val="center"/>
          </w:tcPr>
          <w:p>
            <w:pPr>
              <w:jc w:val="center"/>
              <w:rPr>
                <w:rFonts w:ascii="黑体" w:hAnsi="黑体" w:eastAsia="黑体"/>
                <w:kern w:val="0"/>
                <w:sz w:val="24"/>
              </w:rPr>
            </w:pPr>
            <w:r>
              <w:rPr>
                <w:rFonts w:hint="eastAsia" w:ascii="黑体" w:hAnsi="黑体" w:eastAsia="黑体"/>
                <w:kern w:val="0"/>
                <w:sz w:val="24"/>
              </w:rPr>
              <w:t>1</w:t>
            </w:r>
          </w:p>
        </w:tc>
        <w:tc>
          <w:tcPr>
            <w:tcW w:w="1615" w:type="dxa"/>
            <w:vMerge w:val="restart"/>
            <w:vAlign w:val="center"/>
          </w:tcPr>
          <w:p>
            <w:pPr>
              <w:jc w:val="center"/>
              <w:rPr>
                <w:rFonts w:ascii="黑体" w:hAnsi="黑体" w:eastAsia="黑体"/>
                <w:kern w:val="0"/>
                <w:sz w:val="24"/>
              </w:rPr>
            </w:pPr>
            <w:r>
              <w:rPr>
                <w:rFonts w:hint="eastAsia" w:ascii="黑体" w:hAnsi="黑体" w:eastAsia="黑体"/>
                <w:kern w:val="0"/>
                <w:sz w:val="24"/>
              </w:rPr>
              <w:t>燃气锅炉排气筒</w:t>
            </w:r>
          </w:p>
        </w:tc>
        <w:tc>
          <w:tcPr>
            <w:tcW w:w="1076" w:type="dxa"/>
            <w:vMerge w:val="restart"/>
            <w:vAlign w:val="center"/>
          </w:tcPr>
          <w:p>
            <w:pPr>
              <w:spacing w:line="0" w:lineRule="atLeast"/>
              <w:jc w:val="center"/>
              <w:rPr>
                <w:b/>
                <w:bCs/>
                <w:kern w:val="0"/>
                <w:szCs w:val="21"/>
              </w:rPr>
            </w:pPr>
            <w:r>
              <w:rPr>
                <w:rFonts w:hint="eastAsia"/>
                <w:szCs w:val="21"/>
              </w:rPr>
              <w:t>1</w:t>
            </w:r>
            <w:r>
              <w:rPr>
                <w:szCs w:val="21"/>
              </w:rPr>
              <w:t>21</w:t>
            </w:r>
          </w:p>
        </w:tc>
        <w:tc>
          <w:tcPr>
            <w:tcW w:w="1072" w:type="dxa"/>
            <w:vMerge w:val="restart"/>
            <w:vAlign w:val="center"/>
          </w:tcPr>
          <w:p>
            <w:pPr>
              <w:spacing w:line="0" w:lineRule="atLeast"/>
              <w:jc w:val="center"/>
              <w:rPr>
                <w:b/>
                <w:bCs/>
                <w:kern w:val="0"/>
                <w:szCs w:val="21"/>
              </w:rPr>
            </w:pPr>
            <w:r>
              <w:rPr>
                <w:rFonts w:hint="eastAsia"/>
                <w:szCs w:val="21"/>
              </w:rPr>
              <w:t>9</w:t>
            </w:r>
            <w:r>
              <w:rPr>
                <w:szCs w:val="21"/>
              </w:rPr>
              <w:t>4</w:t>
            </w:r>
          </w:p>
        </w:tc>
        <w:tc>
          <w:tcPr>
            <w:tcW w:w="1077" w:type="dxa"/>
            <w:vMerge w:val="restart"/>
            <w:vAlign w:val="center"/>
          </w:tcPr>
          <w:p>
            <w:pPr>
              <w:spacing w:line="0" w:lineRule="atLeast"/>
              <w:jc w:val="center"/>
              <w:rPr>
                <w:rFonts w:ascii="黑体" w:hAnsi="黑体" w:eastAsia="黑体"/>
                <w:kern w:val="0"/>
                <w:sz w:val="24"/>
              </w:rPr>
            </w:pPr>
            <w:r>
              <w:rPr>
                <w:rFonts w:hint="eastAsia"/>
                <w:szCs w:val="21"/>
              </w:rPr>
              <w:t>9</w:t>
            </w:r>
            <w:r>
              <w:rPr>
                <w:szCs w:val="21"/>
              </w:rPr>
              <w:t>06</w:t>
            </w:r>
          </w:p>
        </w:tc>
        <w:tc>
          <w:tcPr>
            <w:tcW w:w="1074" w:type="dxa"/>
            <w:vMerge w:val="restart"/>
            <w:vAlign w:val="center"/>
          </w:tcPr>
          <w:p>
            <w:pPr>
              <w:spacing w:line="0" w:lineRule="atLeast"/>
              <w:jc w:val="center"/>
              <w:rPr>
                <w:rFonts w:ascii="黑体" w:hAnsi="黑体" w:eastAsia="黑体"/>
                <w:kern w:val="0"/>
                <w:sz w:val="24"/>
              </w:rPr>
            </w:pPr>
            <w:r>
              <w:rPr>
                <w:szCs w:val="21"/>
              </w:rPr>
              <w:t>20</w:t>
            </w:r>
          </w:p>
        </w:tc>
        <w:tc>
          <w:tcPr>
            <w:tcW w:w="1075" w:type="dxa"/>
            <w:vMerge w:val="restart"/>
            <w:vAlign w:val="center"/>
          </w:tcPr>
          <w:p>
            <w:pPr>
              <w:spacing w:line="0" w:lineRule="atLeast"/>
              <w:jc w:val="center"/>
              <w:rPr>
                <w:rFonts w:ascii="黑体" w:hAnsi="黑体" w:eastAsia="黑体"/>
                <w:kern w:val="0"/>
                <w:sz w:val="24"/>
              </w:rPr>
            </w:pPr>
            <w:r>
              <w:rPr>
                <w:szCs w:val="21"/>
              </w:rPr>
              <w:t>0.3</w:t>
            </w:r>
          </w:p>
        </w:tc>
        <w:tc>
          <w:tcPr>
            <w:tcW w:w="1083" w:type="dxa"/>
            <w:vMerge w:val="restart"/>
            <w:vAlign w:val="center"/>
          </w:tcPr>
          <w:p>
            <w:pPr>
              <w:spacing w:line="0" w:lineRule="atLeast"/>
              <w:jc w:val="center"/>
              <w:rPr>
                <w:rFonts w:ascii="黑体" w:hAnsi="黑体" w:eastAsia="黑体"/>
                <w:kern w:val="0"/>
                <w:sz w:val="24"/>
              </w:rPr>
            </w:pPr>
            <w:r>
              <w:rPr>
                <w:szCs w:val="21"/>
              </w:rPr>
              <w:t>15.4</w:t>
            </w:r>
          </w:p>
        </w:tc>
        <w:tc>
          <w:tcPr>
            <w:tcW w:w="1075" w:type="dxa"/>
            <w:vMerge w:val="restart"/>
            <w:vAlign w:val="center"/>
          </w:tcPr>
          <w:p>
            <w:pPr>
              <w:spacing w:line="0" w:lineRule="atLeast"/>
              <w:jc w:val="center"/>
              <w:rPr>
                <w:rFonts w:ascii="黑体" w:hAnsi="黑体" w:eastAsia="黑体"/>
                <w:kern w:val="0"/>
                <w:sz w:val="24"/>
              </w:rPr>
            </w:pPr>
            <w:r>
              <w:rPr>
                <w:szCs w:val="21"/>
              </w:rPr>
              <w:t>80</w:t>
            </w:r>
          </w:p>
        </w:tc>
        <w:tc>
          <w:tcPr>
            <w:tcW w:w="1080" w:type="dxa"/>
            <w:vMerge w:val="restart"/>
            <w:vAlign w:val="center"/>
          </w:tcPr>
          <w:p>
            <w:pPr>
              <w:spacing w:line="0" w:lineRule="atLeast"/>
              <w:jc w:val="center"/>
              <w:rPr>
                <w:rFonts w:ascii="黑体" w:hAnsi="黑体" w:eastAsia="黑体"/>
                <w:kern w:val="0"/>
                <w:sz w:val="24"/>
              </w:rPr>
            </w:pPr>
            <w:r>
              <w:rPr>
                <w:rFonts w:hint="eastAsia"/>
                <w:szCs w:val="21"/>
              </w:rPr>
              <w:t>4800</w:t>
            </w:r>
          </w:p>
        </w:tc>
        <w:tc>
          <w:tcPr>
            <w:tcW w:w="1073" w:type="dxa"/>
            <w:vMerge w:val="restart"/>
            <w:vAlign w:val="center"/>
          </w:tcPr>
          <w:p>
            <w:pPr>
              <w:spacing w:line="0" w:lineRule="atLeast"/>
              <w:jc w:val="center"/>
              <w:rPr>
                <w:rFonts w:ascii="黑体" w:hAnsi="黑体" w:eastAsia="黑体"/>
                <w:kern w:val="0"/>
                <w:sz w:val="24"/>
              </w:rPr>
            </w:pPr>
            <w:r>
              <w:rPr>
                <w:szCs w:val="21"/>
              </w:rPr>
              <w:t>正常</w:t>
            </w:r>
          </w:p>
        </w:tc>
        <w:tc>
          <w:tcPr>
            <w:tcW w:w="1081" w:type="dxa"/>
            <w:vAlign w:val="center"/>
          </w:tcPr>
          <w:p>
            <w:pPr>
              <w:spacing w:line="0" w:lineRule="atLeast"/>
              <w:jc w:val="center"/>
              <w:rPr>
                <w:b/>
                <w:szCs w:val="21"/>
              </w:rPr>
            </w:pPr>
            <w:r>
              <w:rPr>
                <w:b/>
                <w:szCs w:val="21"/>
              </w:rPr>
              <w:t>PM</w:t>
            </w:r>
            <w:r>
              <w:rPr>
                <w:b/>
                <w:szCs w:val="21"/>
                <w:vertAlign w:val="subscript"/>
              </w:rPr>
              <w:t>10</w:t>
            </w:r>
          </w:p>
        </w:tc>
        <w:tc>
          <w:tcPr>
            <w:tcW w:w="1079" w:type="dxa"/>
            <w:vAlign w:val="center"/>
          </w:tcPr>
          <w:p>
            <w:pPr>
              <w:spacing w:line="0" w:lineRule="atLeast"/>
              <w:jc w:val="center"/>
              <w:rPr>
                <w:b/>
                <w:szCs w:val="21"/>
              </w:rPr>
            </w:pPr>
            <w:r>
              <w:rPr>
                <w:rFonts w:hint="eastAsia"/>
                <w:b/>
                <w:szCs w:val="21"/>
              </w:rPr>
              <w:t>N</w:t>
            </w:r>
            <w:r>
              <w:rPr>
                <w:b/>
                <w:szCs w:val="21"/>
              </w:rPr>
              <w:t>O</w:t>
            </w:r>
            <w:r>
              <w:rPr>
                <w:b/>
                <w:szCs w:val="21"/>
                <w:vertAlign w:val="subscript"/>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32" w:type="dxa"/>
            <w:vMerge w:val="continue"/>
            <w:vAlign w:val="center"/>
          </w:tcPr>
          <w:p>
            <w:pPr>
              <w:jc w:val="center"/>
              <w:rPr>
                <w:rFonts w:ascii="黑体" w:hAnsi="黑体" w:eastAsia="黑体"/>
                <w:kern w:val="0"/>
                <w:sz w:val="24"/>
              </w:rPr>
            </w:pPr>
          </w:p>
        </w:tc>
        <w:tc>
          <w:tcPr>
            <w:tcW w:w="1615" w:type="dxa"/>
            <w:vMerge w:val="continue"/>
            <w:vAlign w:val="center"/>
          </w:tcPr>
          <w:p>
            <w:pPr>
              <w:jc w:val="center"/>
              <w:rPr>
                <w:rFonts w:ascii="黑体" w:hAnsi="黑体" w:eastAsia="黑体"/>
                <w:kern w:val="0"/>
                <w:sz w:val="24"/>
              </w:rPr>
            </w:pPr>
          </w:p>
        </w:tc>
        <w:tc>
          <w:tcPr>
            <w:tcW w:w="1076" w:type="dxa"/>
            <w:vMerge w:val="continue"/>
            <w:vAlign w:val="center"/>
          </w:tcPr>
          <w:p>
            <w:pPr>
              <w:spacing w:line="0" w:lineRule="atLeast"/>
              <w:jc w:val="center"/>
              <w:rPr>
                <w:szCs w:val="21"/>
              </w:rPr>
            </w:pPr>
          </w:p>
        </w:tc>
        <w:tc>
          <w:tcPr>
            <w:tcW w:w="1072" w:type="dxa"/>
            <w:vMerge w:val="continue"/>
            <w:vAlign w:val="center"/>
          </w:tcPr>
          <w:p>
            <w:pPr>
              <w:spacing w:line="0" w:lineRule="atLeast"/>
              <w:jc w:val="center"/>
              <w:rPr>
                <w:szCs w:val="21"/>
              </w:rPr>
            </w:pPr>
          </w:p>
        </w:tc>
        <w:tc>
          <w:tcPr>
            <w:tcW w:w="1077" w:type="dxa"/>
            <w:vMerge w:val="continue"/>
            <w:vAlign w:val="center"/>
          </w:tcPr>
          <w:p>
            <w:pPr>
              <w:spacing w:line="0" w:lineRule="atLeast"/>
              <w:jc w:val="center"/>
              <w:rPr>
                <w:szCs w:val="21"/>
              </w:rPr>
            </w:pPr>
          </w:p>
        </w:tc>
        <w:tc>
          <w:tcPr>
            <w:tcW w:w="1074" w:type="dxa"/>
            <w:vMerge w:val="continue"/>
            <w:vAlign w:val="center"/>
          </w:tcPr>
          <w:p>
            <w:pPr>
              <w:spacing w:line="0" w:lineRule="atLeast"/>
              <w:jc w:val="center"/>
              <w:rPr>
                <w:szCs w:val="21"/>
              </w:rPr>
            </w:pPr>
          </w:p>
        </w:tc>
        <w:tc>
          <w:tcPr>
            <w:tcW w:w="1075" w:type="dxa"/>
            <w:vMerge w:val="continue"/>
            <w:vAlign w:val="center"/>
          </w:tcPr>
          <w:p>
            <w:pPr>
              <w:spacing w:line="0" w:lineRule="atLeast"/>
              <w:jc w:val="center"/>
              <w:rPr>
                <w:szCs w:val="21"/>
              </w:rPr>
            </w:pPr>
          </w:p>
        </w:tc>
        <w:tc>
          <w:tcPr>
            <w:tcW w:w="1083" w:type="dxa"/>
            <w:vMerge w:val="continue"/>
            <w:vAlign w:val="center"/>
          </w:tcPr>
          <w:p>
            <w:pPr>
              <w:spacing w:line="0" w:lineRule="atLeast"/>
              <w:jc w:val="center"/>
              <w:rPr>
                <w:szCs w:val="21"/>
              </w:rPr>
            </w:pPr>
          </w:p>
        </w:tc>
        <w:tc>
          <w:tcPr>
            <w:tcW w:w="1075" w:type="dxa"/>
            <w:vMerge w:val="continue"/>
            <w:vAlign w:val="center"/>
          </w:tcPr>
          <w:p>
            <w:pPr>
              <w:spacing w:line="0" w:lineRule="atLeast"/>
              <w:jc w:val="center"/>
              <w:rPr>
                <w:szCs w:val="21"/>
              </w:rPr>
            </w:pPr>
          </w:p>
        </w:tc>
        <w:tc>
          <w:tcPr>
            <w:tcW w:w="1080" w:type="dxa"/>
            <w:vMerge w:val="continue"/>
            <w:vAlign w:val="center"/>
          </w:tcPr>
          <w:p>
            <w:pPr>
              <w:spacing w:line="0" w:lineRule="atLeast"/>
              <w:jc w:val="center"/>
              <w:rPr>
                <w:szCs w:val="21"/>
              </w:rPr>
            </w:pPr>
          </w:p>
        </w:tc>
        <w:tc>
          <w:tcPr>
            <w:tcW w:w="1073" w:type="dxa"/>
            <w:vMerge w:val="continue"/>
            <w:vAlign w:val="center"/>
          </w:tcPr>
          <w:p>
            <w:pPr>
              <w:spacing w:line="0" w:lineRule="atLeast"/>
              <w:jc w:val="center"/>
              <w:rPr>
                <w:szCs w:val="21"/>
              </w:rPr>
            </w:pPr>
          </w:p>
        </w:tc>
        <w:tc>
          <w:tcPr>
            <w:tcW w:w="1081" w:type="dxa"/>
            <w:vAlign w:val="center"/>
          </w:tcPr>
          <w:p>
            <w:pPr>
              <w:jc w:val="center"/>
              <w:rPr>
                <w:rFonts w:eastAsia="黑体"/>
                <w:kern w:val="0"/>
                <w:szCs w:val="21"/>
              </w:rPr>
            </w:pPr>
            <w:r>
              <w:rPr>
                <w:rFonts w:hint="eastAsia" w:eastAsia="黑体"/>
                <w:kern w:val="0"/>
                <w:szCs w:val="21"/>
              </w:rPr>
              <w:t>0</w:t>
            </w:r>
            <w:r>
              <w:rPr>
                <w:rFonts w:eastAsia="黑体"/>
                <w:kern w:val="0"/>
                <w:szCs w:val="21"/>
              </w:rPr>
              <w:t>.025</w:t>
            </w:r>
          </w:p>
        </w:tc>
        <w:tc>
          <w:tcPr>
            <w:tcW w:w="1079" w:type="dxa"/>
            <w:vAlign w:val="center"/>
          </w:tcPr>
          <w:p>
            <w:pPr>
              <w:jc w:val="center"/>
              <w:rPr>
                <w:rFonts w:eastAsia="黑体"/>
                <w:kern w:val="0"/>
                <w:szCs w:val="21"/>
              </w:rPr>
            </w:pPr>
            <w:r>
              <w:rPr>
                <w:rFonts w:hint="eastAsia" w:eastAsia="黑体"/>
                <w:kern w:val="0"/>
                <w:szCs w:val="21"/>
              </w:rPr>
              <w:t>0</w:t>
            </w:r>
            <w:r>
              <w:rPr>
                <w:rFonts w:eastAsia="黑体"/>
                <w:kern w:val="0"/>
                <w:szCs w:val="21"/>
              </w:rPr>
              <w:t>.225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32" w:type="dxa"/>
            <w:vMerge w:val="restart"/>
            <w:vAlign w:val="center"/>
          </w:tcPr>
          <w:p>
            <w:pPr>
              <w:jc w:val="center"/>
              <w:rPr>
                <w:rFonts w:ascii="黑体" w:hAnsi="黑体" w:eastAsia="黑体"/>
                <w:kern w:val="0"/>
                <w:sz w:val="24"/>
              </w:rPr>
            </w:pPr>
            <w:r>
              <w:rPr>
                <w:rFonts w:hint="eastAsia" w:ascii="黑体" w:hAnsi="黑体" w:eastAsia="黑体"/>
                <w:kern w:val="0"/>
                <w:sz w:val="24"/>
              </w:rPr>
              <w:t>2</w:t>
            </w:r>
          </w:p>
        </w:tc>
        <w:tc>
          <w:tcPr>
            <w:tcW w:w="1615" w:type="dxa"/>
            <w:vMerge w:val="restart"/>
            <w:vAlign w:val="center"/>
          </w:tcPr>
          <w:p>
            <w:pPr>
              <w:jc w:val="center"/>
              <w:rPr>
                <w:rFonts w:ascii="黑体" w:hAnsi="黑体" w:eastAsia="黑体"/>
                <w:kern w:val="0"/>
                <w:sz w:val="24"/>
              </w:rPr>
            </w:pPr>
            <w:r>
              <w:rPr>
                <w:rFonts w:hint="eastAsia" w:ascii="黑体" w:hAnsi="黑体" w:eastAsia="黑体"/>
                <w:kern w:val="0"/>
                <w:sz w:val="24"/>
              </w:rPr>
              <w:t>发酵罐废气排气筒</w:t>
            </w:r>
          </w:p>
        </w:tc>
        <w:tc>
          <w:tcPr>
            <w:tcW w:w="1076" w:type="dxa"/>
            <w:vMerge w:val="restart"/>
            <w:vAlign w:val="center"/>
          </w:tcPr>
          <w:p>
            <w:pPr>
              <w:spacing w:line="0" w:lineRule="atLeast"/>
              <w:jc w:val="center"/>
              <w:rPr>
                <w:szCs w:val="21"/>
              </w:rPr>
            </w:pPr>
            <w:r>
              <w:rPr>
                <w:rFonts w:hint="eastAsia"/>
                <w:szCs w:val="21"/>
              </w:rPr>
              <w:t>7</w:t>
            </w:r>
            <w:r>
              <w:rPr>
                <w:szCs w:val="21"/>
              </w:rPr>
              <w:t>5</w:t>
            </w:r>
          </w:p>
        </w:tc>
        <w:tc>
          <w:tcPr>
            <w:tcW w:w="1072" w:type="dxa"/>
            <w:vMerge w:val="restart"/>
            <w:vAlign w:val="center"/>
          </w:tcPr>
          <w:p>
            <w:pPr>
              <w:spacing w:line="0" w:lineRule="atLeast"/>
              <w:jc w:val="center"/>
              <w:rPr>
                <w:szCs w:val="21"/>
              </w:rPr>
            </w:pPr>
            <w:r>
              <w:rPr>
                <w:rFonts w:hint="eastAsia"/>
                <w:szCs w:val="21"/>
              </w:rPr>
              <w:t>9</w:t>
            </w:r>
            <w:r>
              <w:rPr>
                <w:szCs w:val="21"/>
              </w:rPr>
              <w:t>5</w:t>
            </w:r>
          </w:p>
        </w:tc>
        <w:tc>
          <w:tcPr>
            <w:tcW w:w="1077" w:type="dxa"/>
            <w:vMerge w:val="restart"/>
            <w:vAlign w:val="center"/>
          </w:tcPr>
          <w:p>
            <w:pPr>
              <w:spacing w:line="0" w:lineRule="atLeast"/>
              <w:jc w:val="center"/>
              <w:rPr>
                <w:szCs w:val="21"/>
              </w:rPr>
            </w:pPr>
            <w:r>
              <w:rPr>
                <w:rFonts w:hint="eastAsia"/>
                <w:szCs w:val="21"/>
              </w:rPr>
              <w:t>90</w:t>
            </w:r>
            <w:r>
              <w:rPr>
                <w:szCs w:val="21"/>
              </w:rPr>
              <w:t>8</w:t>
            </w:r>
          </w:p>
        </w:tc>
        <w:tc>
          <w:tcPr>
            <w:tcW w:w="1074" w:type="dxa"/>
            <w:vMerge w:val="restart"/>
            <w:vAlign w:val="center"/>
          </w:tcPr>
          <w:p>
            <w:pPr>
              <w:spacing w:line="0" w:lineRule="atLeast"/>
              <w:jc w:val="center"/>
              <w:rPr>
                <w:szCs w:val="21"/>
              </w:rPr>
            </w:pPr>
            <w:r>
              <w:rPr>
                <w:szCs w:val="21"/>
              </w:rPr>
              <w:t>15</w:t>
            </w:r>
          </w:p>
        </w:tc>
        <w:tc>
          <w:tcPr>
            <w:tcW w:w="1075" w:type="dxa"/>
            <w:vMerge w:val="restart"/>
            <w:vAlign w:val="center"/>
          </w:tcPr>
          <w:p>
            <w:pPr>
              <w:spacing w:line="0" w:lineRule="atLeast"/>
              <w:jc w:val="center"/>
              <w:rPr>
                <w:szCs w:val="21"/>
              </w:rPr>
            </w:pPr>
            <w:r>
              <w:rPr>
                <w:rFonts w:hint="eastAsia"/>
                <w:szCs w:val="21"/>
              </w:rPr>
              <w:t>0.</w:t>
            </w:r>
            <w:r>
              <w:rPr>
                <w:szCs w:val="21"/>
              </w:rPr>
              <w:t>15</w:t>
            </w:r>
          </w:p>
        </w:tc>
        <w:tc>
          <w:tcPr>
            <w:tcW w:w="1083" w:type="dxa"/>
            <w:vMerge w:val="restart"/>
            <w:vAlign w:val="center"/>
          </w:tcPr>
          <w:p>
            <w:pPr>
              <w:spacing w:line="0" w:lineRule="atLeast"/>
              <w:jc w:val="center"/>
              <w:rPr>
                <w:szCs w:val="21"/>
              </w:rPr>
            </w:pPr>
            <w:r>
              <w:rPr>
                <w:rFonts w:hint="eastAsia"/>
                <w:szCs w:val="21"/>
              </w:rPr>
              <w:t>1</w:t>
            </w:r>
            <w:r>
              <w:rPr>
                <w:szCs w:val="21"/>
              </w:rPr>
              <w:t>8.6</w:t>
            </w:r>
          </w:p>
        </w:tc>
        <w:tc>
          <w:tcPr>
            <w:tcW w:w="1075" w:type="dxa"/>
            <w:vMerge w:val="restart"/>
            <w:vAlign w:val="center"/>
          </w:tcPr>
          <w:p>
            <w:pPr>
              <w:spacing w:line="0" w:lineRule="atLeast"/>
              <w:jc w:val="center"/>
              <w:rPr>
                <w:szCs w:val="21"/>
              </w:rPr>
            </w:pPr>
            <w:r>
              <w:rPr>
                <w:rFonts w:hint="eastAsia"/>
                <w:szCs w:val="21"/>
              </w:rPr>
              <w:t>50</w:t>
            </w:r>
          </w:p>
        </w:tc>
        <w:tc>
          <w:tcPr>
            <w:tcW w:w="1080" w:type="dxa"/>
            <w:vMerge w:val="restart"/>
            <w:vAlign w:val="center"/>
          </w:tcPr>
          <w:p>
            <w:pPr>
              <w:spacing w:line="0" w:lineRule="atLeast"/>
              <w:jc w:val="center"/>
              <w:rPr>
                <w:rFonts w:ascii="黑体" w:hAnsi="黑体" w:eastAsia="黑体"/>
                <w:kern w:val="0"/>
                <w:sz w:val="24"/>
              </w:rPr>
            </w:pPr>
            <w:r>
              <w:rPr>
                <w:rFonts w:hint="eastAsia"/>
                <w:szCs w:val="21"/>
              </w:rPr>
              <w:t>6480</w:t>
            </w:r>
          </w:p>
        </w:tc>
        <w:tc>
          <w:tcPr>
            <w:tcW w:w="1073" w:type="dxa"/>
            <w:vMerge w:val="restart"/>
            <w:vAlign w:val="center"/>
          </w:tcPr>
          <w:p>
            <w:pPr>
              <w:spacing w:line="0" w:lineRule="atLeast"/>
              <w:jc w:val="center"/>
              <w:rPr>
                <w:rFonts w:ascii="黑体" w:hAnsi="黑体" w:eastAsia="黑体"/>
                <w:kern w:val="0"/>
                <w:sz w:val="24"/>
              </w:rPr>
            </w:pPr>
            <w:r>
              <w:rPr>
                <w:szCs w:val="21"/>
              </w:rPr>
              <w:t>正常</w:t>
            </w:r>
          </w:p>
        </w:tc>
        <w:tc>
          <w:tcPr>
            <w:tcW w:w="1081" w:type="dxa"/>
            <w:vAlign w:val="center"/>
          </w:tcPr>
          <w:p>
            <w:pPr>
              <w:spacing w:line="0" w:lineRule="atLeast"/>
              <w:jc w:val="center"/>
              <w:rPr>
                <w:b/>
                <w:szCs w:val="18"/>
              </w:rPr>
            </w:pPr>
            <w:r>
              <w:rPr>
                <w:rFonts w:hint="eastAsia"/>
                <w:b/>
                <w:szCs w:val="18"/>
              </w:rPr>
              <w:t>NH</w:t>
            </w:r>
            <w:r>
              <w:rPr>
                <w:rFonts w:hint="eastAsia"/>
                <w:b/>
                <w:szCs w:val="18"/>
                <w:vertAlign w:val="subscript"/>
              </w:rPr>
              <w:t>3</w:t>
            </w:r>
          </w:p>
        </w:tc>
        <w:tc>
          <w:tcPr>
            <w:tcW w:w="1079" w:type="dxa"/>
            <w:vAlign w:val="center"/>
          </w:tcPr>
          <w:p>
            <w:pPr>
              <w:spacing w:line="0" w:lineRule="atLeast"/>
              <w:jc w:val="center"/>
              <w:rPr>
                <w:b/>
                <w:szCs w:val="18"/>
              </w:rPr>
            </w:pPr>
            <w:r>
              <w:rPr>
                <w:rFonts w:hint="eastAsia"/>
                <w:b/>
                <w:szCs w:val="18"/>
              </w:rPr>
              <w:t>H</w:t>
            </w:r>
            <w:r>
              <w:rPr>
                <w:rFonts w:hint="eastAsia"/>
                <w:b/>
                <w:szCs w:val="18"/>
                <w:vertAlign w:val="subscript"/>
              </w:rPr>
              <w:t>2</w:t>
            </w:r>
            <w:r>
              <w:rPr>
                <w:rFonts w:hint="eastAsia"/>
                <w:b/>
                <w:szCs w:val="18"/>
              </w:rPr>
              <w: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32" w:type="dxa"/>
            <w:vMerge w:val="continue"/>
            <w:vAlign w:val="center"/>
          </w:tcPr>
          <w:p>
            <w:pPr>
              <w:jc w:val="center"/>
              <w:rPr>
                <w:rFonts w:ascii="黑体" w:hAnsi="黑体" w:eastAsia="黑体"/>
                <w:kern w:val="0"/>
                <w:sz w:val="24"/>
              </w:rPr>
            </w:pPr>
          </w:p>
        </w:tc>
        <w:tc>
          <w:tcPr>
            <w:tcW w:w="1615" w:type="dxa"/>
            <w:vMerge w:val="continue"/>
            <w:vAlign w:val="center"/>
          </w:tcPr>
          <w:p>
            <w:pPr>
              <w:jc w:val="center"/>
              <w:rPr>
                <w:rFonts w:ascii="黑体" w:hAnsi="黑体" w:eastAsia="黑体"/>
                <w:kern w:val="0"/>
                <w:sz w:val="24"/>
              </w:rPr>
            </w:pPr>
          </w:p>
        </w:tc>
        <w:tc>
          <w:tcPr>
            <w:tcW w:w="1076" w:type="dxa"/>
            <w:vMerge w:val="continue"/>
            <w:vAlign w:val="center"/>
          </w:tcPr>
          <w:p>
            <w:pPr>
              <w:spacing w:line="0" w:lineRule="atLeast"/>
              <w:jc w:val="center"/>
              <w:rPr>
                <w:szCs w:val="21"/>
              </w:rPr>
            </w:pPr>
          </w:p>
        </w:tc>
        <w:tc>
          <w:tcPr>
            <w:tcW w:w="1072" w:type="dxa"/>
            <w:vMerge w:val="continue"/>
            <w:vAlign w:val="center"/>
          </w:tcPr>
          <w:p>
            <w:pPr>
              <w:spacing w:line="0" w:lineRule="atLeast"/>
              <w:jc w:val="center"/>
              <w:rPr>
                <w:szCs w:val="21"/>
              </w:rPr>
            </w:pPr>
          </w:p>
        </w:tc>
        <w:tc>
          <w:tcPr>
            <w:tcW w:w="1077" w:type="dxa"/>
            <w:vMerge w:val="continue"/>
            <w:vAlign w:val="center"/>
          </w:tcPr>
          <w:p>
            <w:pPr>
              <w:spacing w:line="0" w:lineRule="atLeast"/>
              <w:jc w:val="center"/>
              <w:rPr>
                <w:szCs w:val="21"/>
              </w:rPr>
            </w:pPr>
          </w:p>
        </w:tc>
        <w:tc>
          <w:tcPr>
            <w:tcW w:w="1074" w:type="dxa"/>
            <w:vMerge w:val="continue"/>
            <w:vAlign w:val="center"/>
          </w:tcPr>
          <w:p>
            <w:pPr>
              <w:spacing w:line="0" w:lineRule="atLeast"/>
              <w:jc w:val="center"/>
              <w:rPr>
                <w:szCs w:val="21"/>
              </w:rPr>
            </w:pPr>
          </w:p>
        </w:tc>
        <w:tc>
          <w:tcPr>
            <w:tcW w:w="1075" w:type="dxa"/>
            <w:vMerge w:val="continue"/>
            <w:vAlign w:val="center"/>
          </w:tcPr>
          <w:p>
            <w:pPr>
              <w:spacing w:line="0" w:lineRule="atLeast"/>
              <w:jc w:val="center"/>
              <w:rPr>
                <w:szCs w:val="21"/>
              </w:rPr>
            </w:pPr>
          </w:p>
        </w:tc>
        <w:tc>
          <w:tcPr>
            <w:tcW w:w="1083" w:type="dxa"/>
            <w:vMerge w:val="continue"/>
            <w:vAlign w:val="center"/>
          </w:tcPr>
          <w:p>
            <w:pPr>
              <w:spacing w:line="0" w:lineRule="atLeast"/>
              <w:jc w:val="center"/>
              <w:rPr>
                <w:szCs w:val="21"/>
              </w:rPr>
            </w:pPr>
          </w:p>
        </w:tc>
        <w:tc>
          <w:tcPr>
            <w:tcW w:w="1075" w:type="dxa"/>
            <w:vMerge w:val="continue"/>
            <w:vAlign w:val="center"/>
          </w:tcPr>
          <w:p>
            <w:pPr>
              <w:spacing w:line="0" w:lineRule="atLeast"/>
              <w:jc w:val="center"/>
              <w:rPr>
                <w:szCs w:val="21"/>
              </w:rPr>
            </w:pPr>
          </w:p>
        </w:tc>
        <w:tc>
          <w:tcPr>
            <w:tcW w:w="1080" w:type="dxa"/>
            <w:vMerge w:val="continue"/>
            <w:vAlign w:val="center"/>
          </w:tcPr>
          <w:p>
            <w:pPr>
              <w:spacing w:line="0" w:lineRule="atLeast"/>
              <w:jc w:val="center"/>
              <w:rPr>
                <w:szCs w:val="21"/>
              </w:rPr>
            </w:pPr>
          </w:p>
        </w:tc>
        <w:tc>
          <w:tcPr>
            <w:tcW w:w="1073" w:type="dxa"/>
            <w:vMerge w:val="continue"/>
            <w:vAlign w:val="center"/>
          </w:tcPr>
          <w:p>
            <w:pPr>
              <w:spacing w:line="0" w:lineRule="atLeast"/>
              <w:jc w:val="center"/>
              <w:rPr>
                <w:szCs w:val="21"/>
              </w:rPr>
            </w:pPr>
          </w:p>
        </w:tc>
        <w:tc>
          <w:tcPr>
            <w:tcW w:w="1081" w:type="dxa"/>
            <w:vAlign w:val="center"/>
          </w:tcPr>
          <w:p>
            <w:pPr>
              <w:jc w:val="center"/>
              <w:rPr>
                <w:rFonts w:eastAsia="黑体"/>
                <w:kern w:val="0"/>
                <w:szCs w:val="21"/>
              </w:rPr>
            </w:pPr>
            <w:r>
              <w:rPr>
                <w:rFonts w:hint="eastAsia" w:eastAsia="黑体"/>
                <w:kern w:val="0"/>
                <w:szCs w:val="21"/>
              </w:rPr>
              <w:t>0.0</w:t>
            </w:r>
            <w:r>
              <w:rPr>
                <w:rFonts w:eastAsia="黑体"/>
                <w:kern w:val="0"/>
                <w:szCs w:val="21"/>
              </w:rPr>
              <w:t>6</w:t>
            </w:r>
          </w:p>
        </w:tc>
        <w:tc>
          <w:tcPr>
            <w:tcW w:w="1079" w:type="dxa"/>
            <w:vAlign w:val="center"/>
          </w:tcPr>
          <w:p>
            <w:pPr>
              <w:jc w:val="center"/>
              <w:rPr>
                <w:rFonts w:eastAsia="黑体"/>
                <w:kern w:val="0"/>
                <w:szCs w:val="21"/>
              </w:rPr>
            </w:pPr>
            <w:r>
              <w:rPr>
                <w:rFonts w:hint="eastAsia" w:eastAsia="黑体"/>
                <w:kern w:val="0"/>
                <w:szCs w:val="21"/>
              </w:rPr>
              <w:t>0.00</w:t>
            </w:r>
            <w:r>
              <w:rPr>
                <w:rFonts w:eastAsia="黑体"/>
                <w:kern w:val="0"/>
                <w:szCs w:val="21"/>
              </w:rPr>
              <w:t>6</w:t>
            </w:r>
          </w:p>
        </w:tc>
      </w:tr>
    </w:tbl>
    <w:p>
      <w:pPr>
        <w:spacing w:line="480" w:lineRule="exact"/>
        <w:jc w:val="center"/>
        <w:rPr>
          <w:rFonts w:ascii="黑体" w:hAnsi="黑体" w:eastAsia="黑体"/>
          <w:kern w:val="0"/>
          <w:sz w:val="24"/>
        </w:rPr>
      </w:pPr>
      <w:r>
        <w:rPr>
          <w:rFonts w:ascii="黑体" w:hAnsi="黑体" w:eastAsia="黑体"/>
          <w:kern w:val="0"/>
          <w:sz w:val="24"/>
        </w:rPr>
        <w:t>表5</w:t>
      </w:r>
      <w:r>
        <w:rPr>
          <w:rFonts w:hint="eastAsia" w:ascii="黑体" w:hAnsi="黑体" w:eastAsia="黑体"/>
          <w:kern w:val="0"/>
          <w:sz w:val="24"/>
        </w:rPr>
        <w:t xml:space="preserve">.2-3 </w:t>
      </w:r>
      <w:r>
        <w:rPr>
          <w:rFonts w:ascii="黑体" w:hAnsi="黑体" w:eastAsia="黑体"/>
          <w:kern w:val="0"/>
          <w:sz w:val="24"/>
        </w:rPr>
        <w:t xml:space="preserve">  面源参数表</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43"/>
        <w:gridCol w:w="1939"/>
        <w:gridCol w:w="778"/>
        <w:gridCol w:w="831"/>
        <w:gridCol w:w="1170"/>
        <w:gridCol w:w="951"/>
        <w:gridCol w:w="1027"/>
        <w:gridCol w:w="1080"/>
        <w:gridCol w:w="1363"/>
        <w:gridCol w:w="1195"/>
        <w:gridCol w:w="879"/>
        <w:gridCol w:w="1184"/>
        <w:gridCol w:w="10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94" w:type="pct"/>
            <w:vMerge w:val="restart"/>
            <w:shd w:val="clear" w:color="000000" w:fill="FFFFFF"/>
            <w:vAlign w:val="center"/>
          </w:tcPr>
          <w:p>
            <w:pPr>
              <w:widowControl/>
              <w:jc w:val="center"/>
              <w:rPr>
                <w:b/>
                <w:bCs/>
                <w:kern w:val="0"/>
                <w:szCs w:val="18"/>
              </w:rPr>
            </w:pPr>
            <w:bookmarkStart w:id="89" w:name="_Hlk9001424"/>
            <w:r>
              <w:rPr>
                <w:b/>
                <w:bCs/>
                <w:kern w:val="0"/>
                <w:szCs w:val="18"/>
              </w:rPr>
              <w:t>编号</w:t>
            </w:r>
          </w:p>
        </w:tc>
        <w:tc>
          <w:tcPr>
            <w:tcW w:w="693" w:type="pct"/>
            <w:vMerge w:val="restart"/>
            <w:shd w:val="clear" w:color="000000" w:fill="FFFFFF"/>
            <w:vAlign w:val="center"/>
          </w:tcPr>
          <w:p>
            <w:pPr>
              <w:widowControl/>
              <w:jc w:val="center"/>
              <w:rPr>
                <w:b/>
                <w:bCs/>
                <w:kern w:val="0"/>
                <w:szCs w:val="18"/>
              </w:rPr>
            </w:pPr>
            <w:r>
              <w:rPr>
                <w:b/>
                <w:bCs/>
                <w:kern w:val="0"/>
                <w:szCs w:val="18"/>
              </w:rPr>
              <w:t>名称</w:t>
            </w:r>
          </w:p>
        </w:tc>
        <w:tc>
          <w:tcPr>
            <w:tcW w:w="575" w:type="pct"/>
            <w:gridSpan w:val="2"/>
            <w:shd w:val="clear" w:color="000000" w:fill="FFFFFF"/>
            <w:vAlign w:val="center"/>
          </w:tcPr>
          <w:p>
            <w:pPr>
              <w:widowControl/>
              <w:jc w:val="center"/>
              <w:rPr>
                <w:b/>
                <w:bCs/>
                <w:kern w:val="0"/>
                <w:szCs w:val="18"/>
              </w:rPr>
            </w:pPr>
            <w:r>
              <w:rPr>
                <w:b/>
                <w:bCs/>
                <w:kern w:val="0"/>
                <w:szCs w:val="18"/>
              </w:rPr>
              <w:t>面源</w:t>
            </w:r>
            <w:r>
              <w:rPr>
                <w:rFonts w:hint="eastAsia"/>
                <w:b/>
                <w:bCs/>
                <w:kern w:val="0"/>
                <w:szCs w:val="18"/>
              </w:rPr>
              <w:t>中心点</w:t>
            </w:r>
            <w:r>
              <w:rPr>
                <w:b/>
                <w:bCs/>
                <w:kern w:val="0"/>
                <w:szCs w:val="18"/>
              </w:rPr>
              <w:t>坐标</w:t>
            </w:r>
            <w:r>
              <w:rPr>
                <w:rFonts w:hint="eastAsia"/>
                <w:b/>
                <w:szCs w:val="18"/>
              </w:rPr>
              <w:t>/m</w:t>
            </w:r>
          </w:p>
        </w:tc>
        <w:tc>
          <w:tcPr>
            <w:tcW w:w="418" w:type="pct"/>
            <w:vMerge w:val="restart"/>
            <w:shd w:val="clear" w:color="000000" w:fill="FFFFFF"/>
            <w:vAlign w:val="center"/>
          </w:tcPr>
          <w:p>
            <w:pPr>
              <w:widowControl/>
              <w:jc w:val="center"/>
              <w:rPr>
                <w:b/>
                <w:bCs/>
                <w:kern w:val="0"/>
                <w:szCs w:val="18"/>
              </w:rPr>
            </w:pPr>
            <w:r>
              <w:rPr>
                <w:b/>
                <w:bCs/>
                <w:kern w:val="0"/>
                <w:szCs w:val="18"/>
              </w:rPr>
              <w:t>面源海拔高度/m</w:t>
            </w:r>
          </w:p>
        </w:tc>
        <w:tc>
          <w:tcPr>
            <w:tcW w:w="340" w:type="pct"/>
            <w:vMerge w:val="restart"/>
            <w:shd w:val="clear" w:color="000000" w:fill="FFFFFF"/>
            <w:vAlign w:val="center"/>
          </w:tcPr>
          <w:p>
            <w:pPr>
              <w:widowControl/>
              <w:jc w:val="center"/>
              <w:rPr>
                <w:b/>
                <w:bCs/>
                <w:kern w:val="0"/>
                <w:szCs w:val="18"/>
              </w:rPr>
            </w:pPr>
            <w:r>
              <w:rPr>
                <w:b/>
                <w:bCs/>
                <w:kern w:val="0"/>
                <w:szCs w:val="18"/>
              </w:rPr>
              <w:t>面源长度/m</w:t>
            </w:r>
          </w:p>
        </w:tc>
        <w:tc>
          <w:tcPr>
            <w:tcW w:w="367" w:type="pct"/>
            <w:vMerge w:val="restart"/>
            <w:shd w:val="clear" w:color="000000" w:fill="FFFFFF"/>
            <w:vAlign w:val="center"/>
          </w:tcPr>
          <w:p>
            <w:pPr>
              <w:widowControl/>
              <w:jc w:val="center"/>
              <w:rPr>
                <w:b/>
                <w:bCs/>
                <w:kern w:val="0"/>
                <w:szCs w:val="18"/>
              </w:rPr>
            </w:pPr>
            <w:r>
              <w:rPr>
                <w:b/>
                <w:bCs/>
                <w:kern w:val="0"/>
                <w:szCs w:val="18"/>
              </w:rPr>
              <w:t>面源宽度/m</w:t>
            </w:r>
          </w:p>
        </w:tc>
        <w:tc>
          <w:tcPr>
            <w:tcW w:w="386" w:type="pct"/>
            <w:vMerge w:val="restart"/>
            <w:shd w:val="clear" w:color="000000" w:fill="FFFFFF"/>
            <w:vAlign w:val="center"/>
          </w:tcPr>
          <w:p>
            <w:pPr>
              <w:widowControl/>
              <w:jc w:val="center"/>
              <w:rPr>
                <w:b/>
                <w:bCs/>
                <w:kern w:val="0"/>
                <w:szCs w:val="18"/>
              </w:rPr>
            </w:pPr>
            <w:r>
              <w:rPr>
                <w:b/>
                <w:bCs/>
                <w:kern w:val="0"/>
                <w:szCs w:val="18"/>
              </w:rPr>
              <w:t>与正北向夹角/°</w:t>
            </w:r>
          </w:p>
        </w:tc>
        <w:tc>
          <w:tcPr>
            <w:tcW w:w="487" w:type="pct"/>
            <w:vMerge w:val="restart"/>
            <w:shd w:val="clear" w:color="000000" w:fill="FFFFFF"/>
            <w:vAlign w:val="center"/>
          </w:tcPr>
          <w:p>
            <w:pPr>
              <w:widowControl/>
              <w:jc w:val="center"/>
              <w:rPr>
                <w:b/>
                <w:bCs/>
                <w:kern w:val="0"/>
                <w:szCs w:val="18"/>
              </w:rPr>
            </w:pPr>
            <w:r>
              <w:rPr>
                <w:b/>
                <w:bCs/>
                <w:kern w:val="0"/>
                <w:szCs w:val="18"/>
              </w:rPr>
              <w:t>面源有效排放高度/m</w:t>
            </w:r>
          </w:p>
        </w:tc>
        <w:tc>
          <w:tcPr>
            <w:tcW w:w="427" w:type="pct"/>
            <w:vMerge w:val="restart"/>
            <w:shd w:val="clear" w:color="000000" w:fill="FFFFFF"/>
            <w:vAlign w:val="center"/>
          </w:tcPr>
          <w:p>
            <w:pPr>
              <w:widowControl/>
              <w:jc w:val="center"/>
              <w:rPr>
                <w:b/>
                <w:bCs/>
                <w:kern w:val="0"/>
                <w:szCs w:val="18"/>
              </w:rPr>
            </w:pPr>
            <w:r>
              <w:rPr>
                <w:b/>
                <w:bCs/>
                <w:kern w:val="0"/>
                <w:szCs w:val="18"/>
              </w:rPr>
              <w:t>年排放小时数/h</w:t>
            </w:r>
          </w:p>
        </w:tc>
        <w:tc>
          <w:tcPr>
            <w:tcW w:w="314" w:type="pct"/>
            <w:vMerge w:val="restart"/>
            <w:shd w:val="clear" w:color="000000" w:fill="FFFFFF"/>
            <w:vAlign w:val="center"/>
          </w:tcPr>
          <w:p>
            <w:pPr>
              <w:widowControl/>
              <w:jc w:val="center"/>
              <w:rPr>
                <w:b/>
                <w:bCs/>
                <w:kern w:val="0"/>
                <w:szCs w:val="18"/>
              </w:rPr>
            </w:pPr>
            <w:r>
              <w:rPr>
                <w:b/>
                <w:bCs/>
                <w:kern w:val="0"/>
                <w:szCs w:val="18"/>
              </w:rPr>
              <w:t>排放工况</w:t>
            </w:r>
          </w:p>
        </w:tc>
        <w:tc>
          <w:tcPr>
            <w:tcW w:w="799" w:type="pct"/>
            <w:gridSpan w:val="2"/>
            <w:tcBorders>
              <w:right w:val="single" w:color="auto" w:sz="4" w:space="0"/>
            </w:tcBorders>
            <w:shd w:val="clear" w:color="000000" w:fill="FFFFFF"/>
            <w:vAlign w:val="center"/>
          </w:tcPr>
          <w:p>
            <w:pPr>
              <w:jc w:val="center"/>
              <w:rPr>
                <w:b/>
                <w:bCs/>
                <w:kern w:val="0"/>
                <w:szCs w:val="18"/>
              </w:rPr>
            </w:pPr>
            <w:r>
              <w:rPr>
                <w:b/>
                <w:bCs/>
                <w:kern w:val="0"/>
                <w:szCs w:val="18"/>
              </w:rPr>
              <w:t>污染物排放速率/（kg/h）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94" w:type="pct"/>
            <w:vMerge w:val="continue"/>
            <w:shd w:val="clear" w:color="auto" w:fill="auto"/>
            <w:vAlign w:val="center"/>
          </w:tcPr>
          <w:p>
            <w:pPr>
              <w:widowControl/>
              <w:jc w:val="center"/>
              <w:rPr>
                <w:b/>
                <w:bCs/>
                <w:kern w:val="0"/>
                <w:szCs w:val="18"/>
              </w:rPr>
            </w:pPr>
          </w:p>
        </w:tc>
        <w:tc>
          <w:tcPr>
            <w:tcW w:w="693" w:type="pct"/>
            <w:vMerge w:val="continue"/>
            <w:shd w:val="clear" w:color="auto" w:fill="auto"/>
            <w:vAlign w:val="center"/>
          </w:tcPr>
          <w:p>
            <w:pPr>
              <w:widowControl/>
              <w:jc w:val="center"/>
              <w:rPr>
                <w:b/>
                <w:bCs/>
                <w:kern w:val="0"/>
                <w:szCs w:val="18"/>
              </w:rPr>
            </w:pPr>
          </w:p>
        </w:tc>
        <w:tc>
          <w:tcPr>
            <w:tcW w:w="278" w:type="pct"/>
            <w:shd w:val="clear" w:color="000000" w:fill="FFFFFF"/>
            <w:vAlign w:val="center"/>
          </w:tcPr>
          <w:p>
            <w:pPr>
              <w:widowControl/>
              <w:jc w:val="center"/>
              <w:rPr>
                <w:b/>
                <w:bCs/>
                <w:kern w:val="0"/>
                <w:szCs w:val="18"/>
              </w:rPr>
            </w:pPr>
            <w:r>
              <w:rPr>
                <w:rFonts w:hint="eastAsia"/>
                <w:b/>
                <w:bCs/>
                <w:kern w:val="0"/>
                <w:szCs w:val="18"/>
              </w:rPr>
              <w:t>X</w:t>
            </w:r>
          </w:p>
        </w:tc>
        <w:tc>
          <w:tcPr>
            <w:tcW w:w="297" w:type="pct"/>
            <w:shd w:val="clear" w:color="000000" w:fill="FFFFFF"/>
            <w:vAlign w:val="center"/>
          </w:tcPr>
          <w:p>
            <w:pPr>
              <w:widowControl/>
              <w:jc w:val="center"/>
              <w:rPr>
                <w:b/>
                <w:bCs/>
                <w:kern w:val="0"/>
                <w:szCs w:val="18"/>
              </w:rPr>
            </w:pPr>
            <w:r>
              <w:rPr>
                <w:rFonts w:hint="eastAsia"/>
                <w:b/>
                <w:bCs/>
                <w:kern w:val="0"/>
                <w:szCs w:val="18"/>
              </w:rPr>
              <w:t>Y</w:t>
            </w:r>
          </w:p>
        </w:tc>
        <w:tc>
          <w:tcPr>
            <w:tcW w:w="418" w:type="pct"/>
            <w:vMerge w:val="continue"/>
            <w:shd w:val="clear" w:color="auto" w:fill="auto"/>
            <w:vAlign w:val="center"/>
          </w:tcPr>
          <w:p>
            <w:pPr>
              <w:widowControl/>
              <w:jc w:val="center"/>
              <w:rPr>
                <w:b/>
                <w:bCs/>
                <w:kern w:val="0"/>
                <w:szCs w:val="18"/>
              </w:rPr>
            </w:pPr>
          </w:p>
        </w:tc>
        <w:tc>
          <w:tcPr>
            <w:tcW w:w="340" w:type="pct"/>
            <w:vMerge w:val="continue"/>
            <w:shd w:val="clear" w:color="auto" w:fill="auto"/>
            <w:vAlign w:val="center"/>
          </w:tcPr>
          <w:p>
            <w:pPr>
              <w:widowControl/>
              <w:jc w:val="center"/>
              <w:rPr>
                <w:b/>
                <w:bCs/>
                <w:kern w:val="0"/>
                <w:szCs w:val="18"/>
              </w:rPr>
            </w:pPr>
          </w:p>
        </w:tc>
        <w:tc>
          <w:tcPr>
            <w:tcW w:w="367" w:type="pct"/>
            <w:vMerge w:val="continue"/>
            <w:shd w:val="clear" w:color="auto" w:fill="auto"/>
            <w:vAlign w:val="center"/>
          </w:tcPr>
          <w:p>
            <w:pPr>
              <w:widowControl/>
              <w:jc w:val="center"/>
              <w:rPr>
                <w:b/>
                <w:bCs/>
                <w:kern w:val="0"/>
                <w:szCs w:val="18"/>
              </w:rPr>
            </w:pPr>
          </w:p>
        </w:tc>
        <w:tc>
          <w:tcPr>
            <w:tcW w:w="386" w:type="pct"/>
            <w:vMerge w:val="continue"/>
            <w:shd w:val="clear" w:color="auto" w:fill="auto"/>
            <w:vAlign w:val="center"/>
          </w:tcPr>
          <w:p>
            <w:pPr>
              <w:widowControl/>
              <w:jc w:val="center"/>
              <w:rPr>
                <w:b/>
                <w:bCs/>
                <w:kern w:val="0"/>
                <w:szCs w:val="18"/>
              </w:rPr>
            </w:pPr>
          </w:p>
        </w:tc>
        <w:tc>
          <w:tcPr>
            <w:tcW w:w="487" w:type="pct"/>
            <w:vMerge w:val="continue"/>
            <w:shd w:val="clear" w:color="auto" w:fill="auto"/>
            <w:vAlign w:val="center"/>
          </w:tcPr>
          <w:p>
            <w:pPr>
              <w:widowControl/>
              <w:jc w:val="center"/>
              <w:rPr>
                <w:b/>
                <w:bCs/>
                <w:kern w:val="0"/>
                <w:szCs w:val="18"/>
              </w:rPr>
            </w:pPr>
          </w:p>
        </w:tc>
        <w:tc>
          <w:tcPr>
            <w:tcW w:w="427" w:type="pct"/>
            <w:vMerge w:val="continue"/>
            <w:shd w:val="clear" w:color="auto" w:fill="auto"/>
            <w:vAlign w:val="center"/>
          </w:tcPr>
          <w:p>
            <w:pPr>
              <w:widowControl/>
              <w:jc w:val="center"/>
              <w:rPr>
                <w:b/>
                <w:bCs/>
                <w:kern w:val="0"/>
                <w:szCs w:val="18"/>
              </w:rPr>
            </w:pPr>
          </w:p>
        </w:tc>
        <w:tc>
          <w:tcPr>
            <w:tcW w:w="314" w:type="pct"/>
            <w:vMerge w:val="continue"/>
            <w:shd w:val="clear" w:color="auto" w:fill="auto"/>
            <w:vAlign w:val="center"/>
          </w:tcPr>
          <w:p>
            <w:pPr>
              <w:widowControl/>
              <w:jc w:val="center"/>
              <w:rPr>
                <w:b/>
                <w:bCs/>
                <w:kern w:val="0"/>
                <w:szCs w:val="18"/>
              </w:rPr>
            </w:pPr>
          </w:p>
        </w:tc>
        <w:tc>
          <w:tcPr>
            <w:tcW w:w="423" w:type="pct"/>
            <w:tcBorders>
              <w:right w:val="single" w:color="auto" w:sz="4" w:space="0"/>
            </w:tcBorders>
            <w:shd w:val="clear" w:color="000000" w:fill="FFFFFF"/>
            <w:vAlign w:val="center"/>
          </w:tcPr>
          <w:p>
            <w:pPr>
              <w:spacing w:line="0" w:lineRule="atLeast"/>
              <w:jc w:val="center"/>
              <w:rPr>
                <w:b/>
                <w:szCs w:val="18"/>
              </w:rPr>
            </w:pPr>
            <w:r>
              <w:rPr>
                <w:rFonts w:hint="eastAsia"/>
                <w:b/>
                <w:szCs w:val="18"/>
              </w:rPr>
              <w:t>NH</w:t>
            </w:r>
            <w:r>
              <w:rPr>
                <w:rFonts w:hint="eastAsia"/>
                <w:b/>
                <w:szCs w:val="18"/>
                <w:vertAlign w:val="subscript"/>
              </w:rPr>
              <w:t>3</w:t>
            </w:r>
          </w:p>
        </w:tc>
        <w:tc>
          <w:tcPr>
            <w:tcW w:w="376" w:type="pct"/>
            <w:tcBorders>
              <w:left w:val="single" w:color="auto" w:sz="4" w:space="0"/>
              <w:right w:val="single" w:color="auto" w:sz="4" w:space="0"/>
            </w:tcBorders>
            <w:shd w:val="clear" w:color="000000" w:fill="FFFFFF"/>
            <w:vAlign w:val="center"/>
          </w:tcPr>
          <w:p>
            <w:pPr>
              <w:spacing w:line="0" w:lineRule="atLeast"/>
              <w:jc w:val="center"/>
              <w:rPr>
                <w:b/>
                <w:szCs w:val="18"/>
              </w:rPr>
            </w:pPr>
            <w:r>
              <w:rPr>
                <w:rFonts w:hint="eastAsia"/>
                <w:b/>
                <w:szCs w:val="18"/>
              </w:rPr>
              <w:t>H</w:t>
            </w:r>
            <w:r>
              <w:rPr>
                <w:rFonts w:hint="eastAsia"/>
                <w:b/>
                <w:szCs w:val="18"/>
                <w:vertAlign w:val="subscript"/>
              </w:rPr>
              <w:t>2</w:t>
            </w:r>
            <w:r>
              <w:rPr>
                <w:rFonts w:hint="eastAsia"/>
                <w:b/>
                <w:szCs w:val="18"/>
              </w:rPr>
              <w: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94" w:type="pct"/>
            <w:noWrap/>
            <w:vAlign w:val="center"/>
          </w:tcPr>
          <w:p>
            <w:pPr>
              <w:jc w:val="center"/>
              <w:rPr>
                <w:szCs w:val="18"/>
              </w:rPr>
            </w:pPr>
            <w:r>
              <w:rPr>
                <w:szCs w:val="18"/>
              </w:rPr>
              <w:t>1</w:t>
            </w:r>
          </w:p>
        </w:tc>
        <w:tc>
          <w:tcPr>
            <w:tcW w:w="693" w:type="pct"/>
            <w:noWrap/>
            <w:vAlign w:val="center"/>
          </w:tcPr>
          <w:p>
            <w:pPr>
              <w:jc w:val="center"/>
              <w:rPr>
                <w:szCs w:val="18"/>
              </w:rPr>
            </w:pPr>
            <w:r>
              <w:rPr>
                <w:rFonts w:hint="eastAsia"/>
                <w:szCs w:val="21"/>
              </w:rPr>
              <w:t>鸡舍</w:t>
            </w:r>
          </w:p>
        </w:tc>
        <w:tc>
          <w:tcPr>
            <w:tcW w:w="278" w:type="pct"/>
            <w:noWrap/>
            <w:vAlign w:val="center"/>
          </w:tcPr>
          <w:p>
            <w:pPr>
              <w:jc w:val="center"/>
              <w:rPr>
                <w:szCs w:val="18"/>
              </w:rPr>
            </w:pPr>
            <w:r>
              <w:rPr>
                <w:rFonts w:hint="eastAsia"/>
                <w:szCs w:val="18"/>
              </w:rPr>
              <w:t>8</w:t>
            </w:r>
            <w:r>
              <w:rPr>
                <w:szCs w:val="18"/>
              </w:rPr>
              <w:t>1</w:t>
            </w:r>
          </w:p>
        </w:tc>
        <w:tc>
          <w:tcPr>
            <w:tcW w:w="297" w:type="pct"/>
            <w:noWrap/>
            <w:vAlign w:val="center"/>
          </w:tcPr>
          <w:p>
            <w:pPr>
              <w:jc w:val="center"/>
              <w:rPr>
                <w:szCs w:val="18"/>
              </w:rPr>
            </w:pPr>
            <w:r>
              <w:rPr>
                <w:rFonts w:hint="eastAsia"/>
                <w:szCs w:val="18"/>
              </w:rPr>
              <w:t>2</w:t>
            </w:r>
            <w:r>
              <w:rPr>
                <w:szCs w:val="18"/>
              </w:rPr>
              <w:t>3</w:t>
            </w:r>
          </w:p>
        </w:tc>
        <w:tc>
          <w:tcPr>
            <w:tcW w:w="418" w:type="pct"/>
            <w:noWrap/>
            <w:vAlign w:val="center"/>
          </w:tcPr>
          <w:p>
            <w:pPr>
              <w:jc w:val="center"/>
              <w:rPr>
                <w:szCs w:val="18"/>
              </w:rPr>
            </w:pPr>
            <w:r>
              <w:rPr>
                <w:rFonts w:hint="eastAsia"/>
                <w:szCs w:val="18"/>
              </w:rPr>
              <w:t>9</w:t>
            </w:r>
            <w:r>
              <w:rPr>
                <w:szCs w:val="18"/>
              </w:rPr>
              <w:t>08</w:t>
            </w:r>
          </w:p>
        </w:tc>
        <w:tc>
          <w:tcPr>
            <w:tcW w:w="340" w:type="pct"/>
            <w:noWrap/>
            <w:vAlign w:val="center"/>
          </w:tcPr>
          <w:p>
            <w:pPr>
              <w:jc w:val="center"/>
              <w:rPr>
                <w:szCs w:val="18"/>
              </w:rPr>
            </w:pPr>
            <w:r>
              <w:rPr>
                <w:szCs w:val="18"/>
              </w:rPr>
              <w:t>85</w:t>
            </w:r>
          </w:p>
        </w:tc>
        <w:tc>
          <w:tcPr>
            <w:tcW w:w="367" w:type="pct"/>
            <w:noWrap/>
            <w:vAlign w:val="center"/>
          </w:tcPr>
          <w:p>
            <w:pPr>
              <w:jc w:val="center"/>
              <w:rPr>
                <w:szCs w:val="18"/>
              </w:rPr>
            </w:pPr>
            <w:r>
              <w:rPr>
                <w:szCs w:val="18"/>
              </w:rPr>
              <w:t>126</w:t>
            </w:r>
          </w:p>
        </w:tc>
        <w:tc>
          <w:tcPr>
            <w:tcW w:w="386" w:type="pct"/>
            <w:noWrap/>
            <w:vAlign w:val="center"/>
          </w:tcPr>
          <w:p>
            <w:pPr>
              <w:jc w:val="center"/>
              <w:rPr>
                <w:szCs w:val="18"/>
              </w:rPr>
            </w:pPr>
            <w:r>
              <w:rPr>
                <w:szCs w:val="18"/>
              </w:rPr>
              <w:t>-30</w:t>
            </w:r>
          </w:p>
        </w:tc>
        <w:tc>
          <w:tcPr>
            <w:tcW w:w="487" w:type="pct"/>
            <w:noWrap/>
            <w:vAlign w:val="center"/>
          </w:tcPr>
          <w:p>
            <w:pPr>
              <w:jc w:val="center"/>
              <w:rPr>
                <w:szCs w:val="18"/>
              </w:rPr>
            </w:pPr>
            <w:r>
              <w:rPr>
                <w:szCs w:val="18"/>
              </w:rPr>
              <w:t>15</w:t>
            </w:r>
          </w:p>
        </w:tc>
        <w:tc>
          <w:tcPr>
            <w:tcW w:w="427" w:type="pct"/>
            <w:noWrap/>
            <w:vAlign w:val="center"/>
          </w:tcPr>
          <w:p>
            <w:pPr>
              <w:jc w:val="center"/>
              <w:rPr>
                <w:szCs w:val="18"/>
              </w:rPr>
            </w:pPr>
            <w:r>
              <w:rPr>
                <w:rFonts w:hint="eastAsia"/>
                <w:szCs w:val="18"/>
              </w:rPr>
              <w:t>6480</w:t>
            </w:r>
          </w:p>
        </w:tc>
        <w:tc>
          <w:tcPr>
            <w:tcW w:w="314" w:type="pct"/>
            <w:noWrap/>
            <w:vAlign w:val="center"/>
          </w:tcPr>
          <w:p>
            <w:pPr>
              <w:jc w:val="center"/>
              <w:rPr>
                <w:szCs w:val="18"/>
              </w:rPr>
            </w:pPr>
            <w:r>
              <w:rPr>
                <w:szCs w:val="18"/>
              </w:rPr>
              <w:t>正常</w:t>
            </w:r>
          </w:p>
        </w:tc>
        <w:tc>
          <w:tcPr>
            <w:tcW w:w="423" w:type="pct"/>
            <w:noWrap/>
            <w:vAlign w:val="center"/>
          </w:tcPr>
          <w:p>
            <w:pPr>
              <w:jc w:val="center"/>
              <w:rPr>
                <w:szCs w:val="18"/>
              </w:rPr>
            </w:pPr>
            <w:r>
              <w:rPr>
                <w:rFonts w:hint="eastAsia"/>
                <w:szCs w:val="18"/>
              </w:rPr>
              <w:t>0.032</w:t>
            </w:r>
          </w:p>
        </w:tc>
        <w:tc>
          <w:tcPr>
            <w:tcW w:w="376" w:type="pct"/>
            <w:noWrap/>
            <w:vAlign w:val="center"/>
          </w:tcPr>
          <w:p>
            <w:pPr>
              <w:jc w:val="center"/>
              <w:rPr>
                <w:szCs w:val="18"/>
              </w:rPr>
            </w:pPr>
            <w:r>
              <w:rPr>
                <w:rFonts w:hint="eastAsia"/>
                <w:szCs w:val="18"/>
              </w:rPr>
              <w:t>0.0032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94" w:type="pct"/>
            <w:noWrap/>
            <w:vAlign w:val="center"/>
          </w:tcPr>
          <w:p>
            <w:pPr>
              <w:jc w:val="center"/>
              <w:rPr>
                <w:szCs w:val="18"/>
              </w:rPr>
            </w:pPr>
            <w:r>
              <w:rPr>
                <w:rFonts w:hint="eastAsia"/>
                <w:szCs w:val="18"/>
              </w:rPr>
              <w:t>2</w:t>
            </w:r>
          </w:p>
        </w:tc>
        <w:tc>
          <w:tcPr>
            <w:tcW w:w="693" w:type="pct"/>
            <w:noWrap/>
            <w:vAlign w:val="center"/>
          </w:tcPr>
          <w:p>
            <w:pPr>
              <w:jc w:val="center"/>
              <w:rPr>
                <w:szCs w:val="21"/>
              </w:rPr>
            </w:pPr>
            <w:r>
              <w:rPr>
                <w:rFonts w:hint="eastAsia"/>
                <w:szCs w:val="21"/>
              </w:rPr>
              <w:t>临时储粪房</w:t>
            </w:r>
          </w:p>
        </w:tc>
        <w:tc>
          <w:tcPr>
            <w:tcW w:w="278" w:type="pct"/>
            <w:noWrap/>
            <w:vAlign w:val="center"/>
          </w:tcPr>
          <w:p>
            <w:pPr>
              <w:jc w:val="center"/>
              <w:rPr>
                <w:szCs w:val="18"/>
              </w:rPr>
            </w:pPr>
            <w:r>
              <w:rPr>
                <w:rFonts w:hint="eastAsia"/>
                <w:szCs w:val="18"/>
              </w:rPr>
              <w:t>1</w:t>
            </w:r>
            <w:r>
              <w:rPr>
                <w:szCs w:val="18"/>
              </w:rPr>
              <w:t>09</w:t>
            </w:r>
          </w:p>
        </w:tc>
        <w:tc>
          <w:tcPr>
            <w:tcW w:w="297" w:type="pct"/>
            <w:noWrap/>
            <w:vAlign w:val="center"/>
          </w:tcPr>
          <w:p>
            <w:pPr>
              <w:jc w:val="center"/>
              <w:rPr>
                <w:szCs w:val="18"/>
              </w:rPr>
            </w:pPr>
            <w:r>
              <w:rPr>
                <w:rFonts w:hint="eastAsia"/>
                <w:szCs w:val="18"/>
              </w:rPr>
              <w:t>8</w:t>
            </w:r>
            <w:r>
              <w:rPr>
                <w:szCs w:val="18"/>
              </w:rPr>
              <w:t>2</w:t>
            </w:r>
          </w:p>
        </w:tc>
        <w:tc>
          <w:tcPr>
            <w:tcW w:w="418" w:type="pct"/>
            <w:noWrap/>
            <w:vAlign w:val="center"/>
          </w:tcPr>
          <w:p>
            <w:pPr>
              <w:jc w:val="center"/>
              <w:rPr>
                <w:szCs w:val="18"/>
              </w:rPr>
            </w:pPr>
            <w:r>
              <w:rPr>
                <w:rFonts w:hint="eastAsia"/>
                <w:szCs w:val="18"/>
              </w:rPr>
              <w:t>9</w:t>
            </w:r>
            <w:r>
              <w:rPr>
                <w:szCs w:val="18"/>
              </w:rPr>
              <w:t>08</w:t>
            </w:r>
          </w:p>
        </w:tc>
        <w:tc>
          <w:tcPr>
            <w:tcW w:w="340" w:type="pct"/>
            <w:noWrap/>
            <w:vAlign w:val="center"/>
          </w:tcPr>
          <w:p>
            <w:pPr>
              <w:jc w:val="center"/>
              <w:rPr>
                <w:szCs w:val="18"/>
              </w:rPr>
            </w:pPr>
            <w:r>
              <w:rPr>
                <w:rFonts w:hint="eastAsia"/>
                <w:szCs w:val="18"/>
              </w:rPr>
              <w:t>20</w:t>
            </w:r>
          </w:p>
        </w:tc>
        <w:tc>
          <w:tcPr>
            <w:tcW w:w="367" w:type="pct"/>
            <w:noWrap/>
            <w:vAlign w:val="center"/>
          </w:tcPr>
          <w:p>
            <w:pPr>
              <w:jc w:val="center"/>
              <w:rPr>
                <w:szCs w:val="18"/>
              </w:rPr>
            </w:pPr>
            <w:r>
              <w:rPr>
                <w:rFonts w:hint="eastAsia"/>
                <w:szCs w:val="18"/>
              </w:rPr>
              <w:t>10</w:t>
            </w:r>
          </w:p>
        </w:tc>
        <w:tc>
          <w:tcPr>
            <w:tcW w:w="386" w:type="pct"/>
            <w:noWrap/>
            <w:vAlign w:val="center"/>
          </w:tcPr>
          <w:p>
            <w:pPr>
              <w:jc w:val="center"/>
              <w:rPr>
                <w:szCs w:val="18"/>
              </w:rPr>
            </w:pPr>
            <w:r>
              <w:rPr>
                <w:rFonts w:hint="eastAsia"/>
                <w:szCs w:val="18"/>
              </w:rPr>
              <w:t>-</w:t>
            </w:r>
            <w:r>
              <w:rPr>
                <w:szCs w:val="18"/>
              </w:rPr>
              <w:t>30</w:t>
            </w:r>
          </w:p>
        </w:tc>
        <w:tc>
          <w:tcPr>
            <w:tcW w:w="487" w:type="pct"/>
            <w:noWrap/>
            <w:vAlign w:val="center"/>
          </w:tcPr>
          <w:p>
            <w:pPr>
              <w:jc w:val="center"/>
              <w:rPr>
                <w:szCs w:val="18"/>
              </w:rPr>
            </w:pPr>
            <w:r>
              <w:rPr>
                <w:rFonts w:hint="eastAsia"/>
                <w:szCs w:val="18"/>
              </w:rPr>
              <w:t>15</w:t>
            </w:r>
          </w:p>
        </w:tc>
        <w:tc>
          <w:tcPr>
            <w:tcW w:w="427" w:type="pct"/>
            <w:noWrap/>
            <w:vAlign w:val="center"/>
          </w:tcPr>
          <w:p>
            <w:pPr>
              <w:jc w:val="center"/>
              <w:rPr>
                <w:szCs w:val="18"/>
              </w:rPr>
            </w:pPr>
            <w:r>
              <w:rPr>
                <w:szCs w:val="18"/>
              </w:rPr>
              <w:t>840</w:t>
            </w:r>
          </w:p>
        </w:tc>
        <w:tc>
          <w:tcPr>
            <w:tcW w:w="314" w:type="pct"/>
            <w:noWrap/>
            <w:vAlign w:val="center"/>
          </w:tcPr>
          <w:p>
            <w:pPr>
              <w:jc w:val="center"/>
              <w:rPr>
                <w:szCs w:val="18"/>
              </w:rPr>
            </w:pPr>
            <w:r>
              <w:rPr>
                <w:szCs w:val="18"/>
              </w:rPr>
              <w:t>正常</w:t>
            </w:r>
          </w:p>
        </w:tc>
        <w:tc>
          <w:tcPr>
            <w:tcW w:w="423" w:type="pct"/>
            <w:noWrap/>
            <w:vAlign w:val="center"/>
          </w:tcPr>
          <w:p>
            <w:pPr>
              <w:jc w:val="center"/>
              <w:rPr>
                <w:szCs w:val="18"/>
              </w:rPr>
            </w:pPr>
            <w:r>
              <w:rPr>
                <w:rFonts w:hint="eastAsia"/>
                <w:szCs w:val="18"/>
              </w:rPr>
              <w:t>0.1</w:t>
            </w:r>
          </w:p>
        </w:tc>
        <w:tc>
          <w:tcPr>
            <w:tcW w:w="376" w:type="pct"/>
            <w:noWrap/>
            <w:vAlign w:val="center"/>
          </w:tcPr>
          <w:p>
            <w:pPr>
              <w:jc w:val="center"/>
              <w:rPr>
                <w:szCs w:val="18"/>
              </w:rPr>
            </w:pPr>
            <w:r>
              <w:rPr>
                <w:rFonts w:hint="eastAsia"/>
                <w:szCs w:val="18"/>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94" w:type="pct"/>
            <w:noWrap/>
            <w:vAlign w:val="center"/>
          </w:tcPr>
          <w:p>
            <w:pPr>
              <w:jc w:val="center"/>
              <w:rPr>
                <w:szCs w:val="18"/>
              </w:rPr>
            </w:pPr>
            <w:r>
              <w:rPr>
                <w:rFonts w:hint="eastAsia"/>
                <w:szCs w:val="18"/>
              </w:rPr>
              <w:t>3</w:t>
            </w:r>
          </w:p>
        </w:tc>
        <w:tc>
          <w:tcPr>
            <w:tcW w:w="693" w:type="pct"/>
            <w:noWrap/>
            <w:vAlign w:val="center"/>
          </w:tcPr>
          <w:p>
            <w:pPr>
              <w:jc w:val="center"/>
              <w:rPr>
                <w:szCs w:val="21"/>
              </w:rPr>
            </w:pPr>
            <w:r>
              <w:rPr>
                <w:rFonts w:hint="eastAsia"/>
                <w:szCs w:val="21"/>
              </w:rPr>
              <w:t>污水处理站</w:t>
            </w:r>
          </w:p>
        </w:tc>
        <w:tc>
          <w:tcPr>
            <w:tcW w:w="278" w:type="pct"/>
            <w:noWrap/>
            <w:vAlign w:val="center"/>
          </w:tcPr>
          <w:p>
            <w:pPr>
              <w:jc w:val="center"/>
              <w:rPr>
                <w:szCs w:val="18"/>
              </w:rPr>
            </w:pPr>
            <w:r>
              <w:rPr>
                <w:rFonts w:hint="eastAsia"/>
                <w:szCs w:val="18"/>
              </w:rPr>
              <w:t>8</w:t>
            </w:r>
            <w:r>
              <w:rPr>
                <w:szCs w:val="18"/>
              </w:rPr>
              <w:t>1</w:t>
            </w:r>
          </w:p>
        </w:tc>
        <w:tc>
          <w:tcPr>
            <w:tcW w:w="297" w:type="pct"/>
            <w:noWrap/>
            <w:vAlign w:val="center"/>
          </w:tcPr>
          <w:p>
            <w:pPr>
              <w:jc w:val="center"/>
              <w:rPr>
                <w:szCs w:val="18"/>
              </w:rPr>
            </w:pPr>
            <w:r>
              <w:rPr>
                <w:rFonts w:hint="eastAsia"/>
                <w:szCs w:val="18"/>
              </w:rPr>
              <w:t>-</w:t>
            </w:r>
            <w:r>
              <w:rPr>
                <w:szCs w:val="18"/>
              </w:rPr>
              <w:t>21</w:t>
            </w:r>
          </w:p>
        </w:tc>
        <w:tc>
          <w:tcPr>
            <w:tcW w:w="418" w:type="pct"/>
            <w:noWrap/>
            <w:vAlign w:val="center"/>
          </w:tcPr>
          <w:p>
            <w:pPr>
              <w:jc w:val="center"/>
              <w:rPr>
                <w:szCs w:val="18"/>
              </w:rPr>
            </w:pPr>
            <w:r>
              <w:rPr>
                <w:rFonts w:hint="eastAsia"/>
                <w:szCs w:val="18"/>
              </w:rPr>
              <w:t>9</w:t>
            </w:r>
            <w:r>
              <w:rPr>
                <w:szCs w:val="18"/>
              </w:rPr>
              <w:t>09</w:t>
            </w:r>
          </w:p>
        </w:tc>
        <w:tc>
          <w:tcPr>
            <w:tcW w:w="340" w:type="pct"/>
            <w:noWrap/>
            <w:vAlign w:val="center"/>
          </w:tcPr>
          <w:p>
            <w:pPr>
              <w:jc w:val="center"/>
              <w:rPr>
                <w:szCs w:val="18"/>
              </w:rPr>
            </w:pPr>
            <w:r>
              <w:rPr>
                <w:rFonts w:hint="eastAsia"/>
                <w:szCs w:val="18"/>
              </w:rPr>
              <w:t>5</w:t>
            </w:r>
          </w:p>
        </w:tc>
        <w:tc>
          <w:tcPr>
            <w:tcW w:w="367" w:type="pct"/>
            <w:noWrap/>
            <w:vAlign w:val="center"/>
          </w:tcPr>
          <w:p>
            <w:pPr>
              <w:jc w:val="center"/>
              <w:rPr>
                <w:szCs w:val="18"/>
              </w:rPr>
            </w:pPr>
            <w:r>
              <w:rPr>
                <w:rFonts w:hint="eastAsia"/>
                <w:szCs w:val="18"/>
              </w:rPr>
              <w:t>4</w:t>
            </w:r>
          </w:p>
        </w:tc>
        <w:tc>
          <w:tcPr>
            <w:tcW w:w="386" w:type="pct"/>
            <w:noWrap/>
            <w:vAlign w:val="center"/>
          </w:tcPr>
          <w:p>
            <w:pPr>
              <w:jc w:val="center"/>
              <w:rPr>
                <w:szCs w:val="18"/>
              </w:rPr>
            </w:pPr>
            <w:r>
              <w:rPr>
                <w:szCs w:val="18"/>
              </w:rPr>
              <w:t>-30</w:t>
            </w:r>
          </w:p>
        </w:tc>
        <w:tc>
          <w:tcPr>
            <w:tcW w:w="487" w:type="pct"/>
            <w:noWrap/>
            <w:vAlign w:val="center"/>
          </w:tcPr>
          <w:p>
            <w:pPr>
              <w:jc w:val="center"/>
              <w:rPr>
                <w:szCs w:val="18"/>
              </w:rPr>
            </w:pPr>
            <w:r>
              <w:rPr>
                <w:szCs w:val="18"/>
              </w:rPr>
              <w:t>15</w:t>
            </w:r>
          </w:p>
        </w:tc>
        <w:tc>
          <w:tcPr>
            <w:tcW w:w="427" w:type="pct"/>
            <w:noWrap/>
            <w:vAlign w:val="center"/>
          </w:tcPr>
          <w:p>
            <w:pPr>
              <w:jc w:val="center"/>
              <w:rPr>
                <w:szCs w:val="18"/>
              </w:rPr>
            </w:pPr>
            <w:r>
              <w:rPr>
                <w:rFonts w:hint="eastAsia"/>
                <w:szCs w:val="18"/>
              </w:rPr>
              <w:t>8640</w:t>
            </w:r>
          </w:p>
        </w:tc>
        <w:tc>
          <w:tcPr>
            <w:tcW w:w="314" w:type="pct"/>
            <w:noWrap/>
            <w:vAlign w:val="center"/>
          </w:tcPr>
          <w:p>
            <w:pPr>
              <w:jc w:val="center"/>
              <w:rPr>
                <w:szCs w:val="18"/>
              </w:rPr>
            </w:pPr>
            <w:r>
              <w:rPr>
                <w:rFonts w:hint="eastAsia"/>
                <w:szCs w:val="18"/>
              </w:rPr>
              <w:t>正常</w:t>
            </w:r>
          </w:p>
        </w:tc>
        <w:tc>
          <w:tcPr>
            <w:tcW w:w="423" w:type="pct"/>
            <w:noWrap/>
            <w:vAlign w:val="center"/>
          </w:tcPr>
          <w:p>
            <w:pPr>
              <w:jc w:val="center"/>
              <w:rPr>
                <w:szCs w:val="18"/>
              </w:rPr>
            </w:pPr>
            <w:r>
              <w:rPr>
                <w:rFonts w:hint="eastAsia"/>
                <w:szCs w:val="18"/>
              </w:rPr>
              <w:t>0.0</w:t>
            </w:r>
            <w:r>
              <w:rPr>
                <w:szCs w:val="18"/>
              </w:rPr>
              <w:t>05</w:t>
            </w:r>
            <w:r>
              <w:rPr>
                <w:rFonts w:hint="eastAsia"/>
                <w:szCs w:val="18"/>
              </w:rPr>
              <w:t>5</w:t>
            </w:r>
          </w:p>
        </w:tc>
        <w:tc>
          <w:tcPr>
            <w:tcW w:w="376" w:type="pct"/>
            <w:noWrap/>
            <w:vAlign w:val="center"/>
          </w:tcPr>
          <w:p>
            <w:pPr>
              <w:jc w:val="center"/>
              <w:rPr>
                <w:szCs w:val="18"/>
              </w:rPr>
            </w:pPr>
            <w:r>
              <w:rPr>
                <w:rFonts w:hint="eastAsia"/>
                <w:szCs w:val="18"/>
              </w:rPr>
              <w:t>0.000</w:t>
            </w:r>
            <w:r>
              <w:rPr>
                <w:szCs w:val="18"/>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94" w:type="pct"/>
            <w:noWrap/>
            <w:vAlign w:val="center"/>
          </w:tcPr>
          <w:p>
            <w:pPr>
              <w:jc w:val="center"/>
              <w:rPr>
                <w:rFonts w:hint="eastAsia"/>
                <w:szCs w:val="18"/>
              </w:rPr>
            </w:pPr>
          </w:p>
        </w:tc>
        <w:tc>
          <w:tcPr>
            <w:tcW w:w="693" w:type="pct"/>
            <w:noWrap/>
            <w:vAlign w:val="center"/>
          </w:tcPr>
          <w:p>
            <w:pPr>
              <w:jc w:val="center"/>
              <w:rPr>
                <w:rFonts w:hint="eastAsia"/>
                <w:szCs w:val="21"/>
              </w:rPr>
            </w:pPr>
          </w:p>
        </w:tc>
        <w:tc>
          <w:tcPr>
            <w:tcW w:w="278" w:type="pct"/>
            <w:noWrap/>
            <w:vAlign w:val="center"/>
          </w:tcPr>
          <w:p>
            <w:pPr>
              <w:jc w:val="center"/>
              <w:rPr>
                <w:rFonts w:hint="eastAsia"/>
                <w:szCs w:val="18"/>
              </w:rPr>
            </w:pPr>
          </w:p>
        </w:tc>
        <w:tc>
          <w:tcPr>
            <w:tcW w:w="297" w:type="pct"/>
            <w:noWrap/>
            <w:vAlign w:val="center"/>
          </w:tcPr>
          <w:p>
            <w:pPr>
              <w:jc w:val="center"/>
              <w:rPr>
                <w:rFonts w:hint="eastAsia"/>
                <w:szCs w:val="18"/>
              </w:rPr>
            </w:pPr>
          </w:p>
        </w:tc>
        <w:tc>
          <w:tcPr>
            <w:tcW w:w="418" w:type="pct"/>
            <w:noWrap/>
            <w:vAlign w:val="center"/>
          </w:tcPr>
          <w:p>
            <w:pPr>
              <w:jc w:val="center"/>
              <w:rPr>
                <w:rFonts w:hint="eastAsia"/>
                <w:szCs w:val="18"/>
              </w:rPr>
            </w:pPr>
          </w:p>
        </w:tc>
        <w:tc>
          <w:tcPr>
            <w:tcW w:w="340" w:type="pct"/>
            <w:noWrap/>
            <w:vAlign w:val="center"/>
          </w:tcPr>
          <w:p>
            <w:pPr>
              <w:jc w:val="center"/>
              <w:rPr>
                <w:rFonts w:hint="eastAsia"/>
                <w:szCs w:val="18"/>
              </w:rPr>
            </w:pPr>
          </w:p>
        </w:tc>
        <w:tc>
          <w:tcPr>
            <w:tcW w:w="367" w:type="pct"/>
            <w:noWrap/>
            <w:vAlign w:val="center"/>
          </w:tcPr>
          <w:p>
            <w:pPr>
              <w:jc w:val="center"/>
              <w:rPr>
                <w:rFonts w:hint="eastAsia"/>
                <w:szCs w:val="18"/>
              </w:rPr>
            </w:pPr>
          </w:p>
        </w:tc>
        <w:tc>
          <w:tcPr>
            <w:tcW w:w="386" w:type="pct"/>
            <w:noWrap/>
            <w:vAlign w:val="center"/>
          </w:tcPr>
          <w:p>
            <w:pPr>
              <w:jc w:val="center"/>
              <w:rPr>
                <w:szCs w:val="18"/>
              </w:rPr>
            </w:pPr>
          </w:p>
        </w:tc>
        <w:tc>
          <w:tcPr>
            <w:tcW w:w="487" w:type="pct"/>
            <w:noWrap/>
            <w:vAlign w:val="center"/>
          </w:tcPr>
          <w:p>
            <w:pPr>
              <w:jc w:val="center"/>
              <w:rPr>
                <w:szCs w:val="18"/>
              </w:rPr>
            </w:pPr>
          </w:p>
        </w:tc>
        <w:tc>
          <w:tcPr>
            <w:tcW w:w="427" w:type="pct"/>
            <w:noWrap/>
            <w:vAlign w:val="center"/>
          </w:tcPr>
          <w:p>
            <w:pPr>
              <w:jc w:val="center"/>
              <w:rPr>
                <w:rFonts w:hint="eastAsia"/>
                <w:szCs w:val="18"/>
              </w:rPr>
            </w:pPr>
          </w:p>
        </w:tc>
        <w:tc>
          <w:tcPr>
            <w:tcW w:w="314" w:type="pct"/>
            <w:noWrap/>
            <w:vAlign w:val="center"/>
          </w:tcPr>
          <w:p>
            <w:pPr>
              <w:jc w:val="center"/>
              <w:rPr>
                <w:rFonts w:hint="eastAsia"/>
                <w:szCs w:val="18"/>
              </w:rPr>
            </w:pPr>
          </w:p>
        </w:tc>
        <w:tc>
          <w:tcPr>
            <w:tcW w:w="423" w:type="pct"/>
            <w:noWrap/>
            <w:vAlign w:val="center"/>
          </w:tcPr>
          <w:p>
            <w:pPr>
              <w:jc w:val="center"/>
              <w:rPr>
                <w:rFonts w:hint="eastAsia"/>
                <w:szCs w:val="18"/>
              </w:rPr>
            </w:pPr>
          </w:p>
        </w:tc>
        <w:tc>
          <w:tcPr>
            <w:tcW w:w="376" w:type="pct"/>
            <w:noWrap/>
            <w:vAlign w:val="center"/>
          </w:tcPr>
          <w:p>
            <w:pPr>
              <w:jc w:val="center"/>
              <w:rPr>
                <w:rFonts w:hint="eastAsia"/>
                <w:szCs w:val="18"/>
              </w:rPr>
            </w:pPr>
          </w:p>
        </w:tc>
      </w:tr>
      <w:bookmarkEnd w:id="89"/>
    </w:tbl>
    <w:p>
      <w:pPr>
        <w:spacing w:line="480" w:lineRule="exact"/>
        <w:rPr>
          <w:b/>
          <w:sz w:val="24"/>
          <w:szCs w:val="24"/>
        </w:rPr>
      </w:pPr>
    </w:p>
    <w:p>
      <w:pPr>
        <w:spacing w:line="480" w:lineRule="exact"/>
        <w:rPr>
          <w:b/>
          <w:sz w:val="24"/>
          <w:szCs w:val="24"/>
        </w:rPr>
      </w:pPr>
    </w:p>
    <w:p>
      <w:pPr>
        <w:spacing w:line="480" w:lineRule="exact"/>
        <w:rPr>
          <w:b/>
          <w:sz w:val="24"/>
          <w:szCs w:val="24"/>
        </w:rPr>
        <w:sectPr>
          <w:pgSz w:w="16838" w:h="11906" w:orient="landscape"/>
          <w:pgMar w:top="1588" w:right="1531" w:bottom="1588" w:left="1531" w:header="851" w:footer="992" w:gutter="0"/>
          <w:cols w:space="425" w:num="1"/>
          <w:docGrid w:type="linesAndChars" w:linePitch="312" w:charSpace="0"/>
        </w:sectPr>
      </w:pPr>
    </w:p>
    <w:p>
      <w:pPr>
        <w:spacing w:line="480" w:lineRule="exact"/>
        <w:ind w:firstLine="504" w:firstLineChars="200"/>
        <w:rPr>
          <w:bCs/>
          <w:spacing w:val="6"/>
          <w:sz w:val="24"/>
        </w:rPr>
      </w:pPr>
      <w:r>
        <w:rPr>
          <w:rFonts w:hint="eastAsia"/>
          <w:bCs/>
          <w:spacing w:val="6"/>
          <w:sz w:val="24"/>
        </w:rPr>
        <w:t>（4）估算模型参数</w:t>
      </w:r>
    </w:p>
    <w:p>
      <w:pPr>
        <w:spacing w:line="480" w:lineRule="exact"/>
        <w:ind w:firstLine="504" w:firstLineChars="200"/>
        <w:rPr>
          <w:bCs/>
          <w:spacing w:val="6"/>
          <w:sz w:val="24"/>
        </w:rPr>
      </w:pPr>
      <w:r>
        <w:rPr>
          <w:bCs/>
          <w:spacing w:val="6"/>
          <w:sz w:val="24"/>
        </w:rPr>
        <w:t>本次评价估算模型参数见下表</w:t>
      </w:r>
      <w:r>
        <w:rPr>
          <w:rFonts w:hint="eastAsia"/>
          <w:bCs/>
          <w:spacing w:val="6"/>
          <w:sz w:val="24"/>
        </w:rPr>
        <w:t>5.2-4</w:t>
      </w:r>
      <w:r>
        <w:rPr>
          <w:bCs/>
          <w:spacing w:val="6"/>
          <w:sz w:val="24"/>
        </w:rPr>
        <w:t>。</w:t>
      </w:r>
    </w:p>
    <w:p>
      <w:pPr>
        <w:spacing w:line="480" w:lineRule="exact"/>
        <w:jc w:val="center"/>
        <w:rPr>
          <w:rFonts w:ascii="黑体" w:hAnsi="黑体" w:eastAsia="黑体"/>
          <w:bCs/>
          <w:spacing w:val="6"/>
          <w:sz w:val="24"/>
        </w:rPr>
      </w:pPr>
      <w:r>
        <w:rPr>
          <w:rFonts w:hint="eastAsia" w:ascii="黑体" w:hAnsi="黑体" w:eastAsia="黑体"/>
          <w:bCs/>
          <w:spacing w:val="6"/>
          <w:sz w:val="24"/>
        </w:rPr>
        <w:t>表5.2-4  估算模型参数表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8"/>
        <w:gridCol w:w="3021"/>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jc w:val="center"/>
              <w:rPr>
                <w:bCs/>
                <w:spacing w:val="6"/>
              </w:rPr>
            </w:pPr>
            <w:r>
              <w:rPr>
                <w:bCs/>
                <w:spacing w:val="6"/>
              </w:rPr>
              <w:t>参数</w:t>
            </w:r>
          </w:p>
        </w:tc>
        <w:tc>
          <w:tcPr>
            <w:tcW w:w="1667" w:type="pct"/>
            <w:vAlign w:val="center"/>
          </w:tcPr>
          <w:p>
            <w:pPr>
              <w:jc w:val="center"/>
              <w:rPr>
                <w:bCs/>
                <w:spacing w:val="6"/>
              </w:rPr>
            </w:pPr>
          </w:p>
        </w:tc>
        <w:tc>
          <w:tcPr>
            <w:tcW w:w="1667" w:type="pct"/>
            <w:vAlign w:val="center"/>
          </w:tcPr>
          <w:p>
            <w:pPr>
              <w:jc w:val="center"/>
              <w:rPr>
                <w:bCs/>
                <w:spacing w:val="6"/>
              </w:rPr>
            </w:pPr>
            <w:r>
              <w:rPr>
                <w:bCs/>
                <w:spacing w:val="6"/>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pPr>
              <w:jc w:val="center"/>
              <w:rPr>
                <w:bCs/>
                <w:spacing w:val="6"/>
              </w:rPr>
            </w:pPr>
            <w:r>
              <w:rPr>
                <w:bCs/>
                <w:spacing w:val="6"/>
              </w:rPr>
              <w:t>城市/农村选项</w:t>
            </w:r>
          </w:p>
        </w:tc>
        <w:tc>
          <w:tcPr>
            <w:tcW w:w="1667" w:type="pct"/>
            <w:vAlign w:val="center"/>
          </w:tcPr>
          <w:p>
            <w:pPr>
              <w:jc w:val="center"/>
              <w:rPr>
                <w:bCs/>
                <w:spacing w:val="6"/>
              </w:rPr>
            </w:pPr>
            <w:r>
              <w:rPr>
                <w:bCs/>
                <w:spacing w:val="6"/>
              </w:rPr>
              <w:t>城市/农村</w:t>
            </w:r>
          </w:p>
        </w:tc>
        <w:tc>
          <w:tcPr>
            <w:tcW w:w="1667" w:type="pct"/>
            <w:vAlign w:val="center"/>
          </w:tcPr>
          <w:p>
            <w:pPr>
              <w:jc w:val="center"/>
              <w:rPr>
                <w:bCs/>
                <w:spacing w:val="6"/>
              </w:rPr>
            </w:pPr>
            <w:r>
              <w:rPr>
                <w:bCs/>
                <w:spacing w:val="6"/>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pPr>
              <w:jc w:val="center"/>
              <w:rPr>
                <w:bCs/>
                <w:spacing w:val="6"/>
              </w:rPr>
            </w:pPr>
          </w:p>
        </w:tc>
        <w:tc>
          <w:tcPr>
            <w:tcW w:w="1667" w:type="pct"/>
            <w:vAlign w:val="center"/>
          </w:tcPr>
          <w:p>
            <w:pPr>
              <w:jc w:val="center"/>
              <w:rPr>
                <w:bCs/>
                <w:spacing w:val="6"/>
              </w:rPr>
            </w:pPr>
            <w:r>
              <w:rPr>
                <w:bCs/>
                <w:spacing w:val="6"/>
              </w:rPr>
              <w:t>人口数（城市选项时）</w:t>
            </w:r>
          </w:p>
        </w:tc>
        <w:tc>
          <w:tcPr>
            <w:tcW w:w="1667" w:type="pct"/>
            <w:vAlign w:val="center"/>
          </w:tcPr>
          <w:p>
            <w:pPr>
              <w:jc w:val="center"/>
              <w:rPr>
                <w:bCs/>
                <w:spacing w:val="6"/>
              </w:rPr>
            </w:pPr>
            <w:r>
              <w:rPr>
                <w:bCs/>
                <w:spacing w:val="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gridSpan w:val="2"/>
            <w:vAlign w:val="center"/>
          </w:tcPr>
          <w:p>
            <w:pPr>
              <w:jc w:val="center"/>
              <w:rPr>
                <w:bCs/>
                <w:spacing w:val="6"/>
              </w:rPr>
            </w:pPr>
            <w:r>
              <w:rPr>
                <w:bCs/>
                <w:spacing w:val="6"/>
              </w:rPr>
              <w:t>最高环境温度（</w:t>
            </w:r>
            <w:r>
              <w:rPr>
                <w:rFonts w:hint="eastAsia" w:ascii="宋体" w:hAnsi="宋体"/>
                <w:bCs/>
                <w:spacing w:val="6"/>
              </w:rPr>
              <w:t>℃）</w:t>
            </w:r>
          </w:p>
        </w:tc>
        <w:tc>
          <w:tcPr>
            <w:tcW w:w="1667" w:type="pct"/>
            <w:vAlign w:val="center"/>
          </w:tcPr>
          <w:p>
            <w:pPr>
              <w:jc w:val="center"/>
              <w:rPr>
                <w:bCs/>
                <w:spacing w:val="6"/>
              </w:rPr>
            </w:pPr>
            <w:r>
              <w:rPr>
                <w:rFonts w:hint="eastAsia"/>
                <w:bCs/>
                <w:spacing w:val="6"/>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gridSpan w:val="2"/>
            <w:vAlign w:val="center"/>
          </w:tcPr>
          <w:p>
            <w:pPr>
              <w:jc w:val="center"/>
              <w:rPr>
                <w:bCs/>
                <w:spacing w:val="6"/>
              </w:rPr>
            </w:pPr>
            <w:r>
              <w:rPr>
                <w:bCs/>
                <w:spacing w:val="6"/>
              </w:rPr>
              <w:t>最低环境温度（</w:t>
            </w:r>
            <w:r>
              <w:rPr>
                <w:rFonts w:hint="eastAsia" w:ascii="宋体" w:hAnsi="宋体"/>
                <w:bCs/>
                <w:spacing w:val="6"/>
              </w:rPr>
              <w:t>℃）</w:t>
            </w:r>
          </w:p>
        </w:tc>
        <w:tc>
          <w:tcPr>
            <w:tcW w:w="1667" w:type="pct"/>
            <w:vAlign w:val="center"/>
          </w:tcPr>
          <w:p>
            <w:pPr>
              <w:jc w:val="center"/>
              <w:rPr>
                <w:bCs/>
                <w:spacing w:val="6"/>
              </w:rPr>
            </w:pPr>
            <w:r>
              <w:rPr>
                <w:bCs/>
                <w:spacing w:val="6"/>
              </w:rPr>
              <w:t>-</w:t>
            </w:r>
            <w:r>
              <w:rPr>
                <w:rFonts w:hint="eastAsia"/>
                <w:bCs/>
                <w:spacing w:val="6"/>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gridSpan w:val="2"/>
            <w:vAlign w:val="center"/>
          </w:tcPr>
          <w:p>
            <w:pPr>
              <w:jc w:val="center"/>
              <w:rPr>
                <w:bCs/>
                <w:spacing w:val="6"/>
              </w:rPr>
            </w:pPr>
            <w:r>
              <w:rPr>
                <w:bCs/>
                <w:spacing w:val="6"/>
              </w:rPr>
              <w:t>土地利用类型</w:t>
            </w:r>
          </w:p>
        </w:tc>
        <w:tc>
          <w:tcPr>
            <w:tcW w:w="1667" w:type="pct"/>
            <w:vAlign w:val="center"/>
          </w:tcPr>
          <w:p>
            <w:pPr>
              <w:jc w:val="center"/>
              <w:rPr>
                <w:bCs/>
                <w:spacing w:val="6"/>
              </w:rPr>
            </w:pPr>
            <w:r>
              <w:rPr>
                <w:bCs/>
                <w:spacing w:val="6"/>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gridSpan w:val="2"/>
            <w:vAlign w:val="center"/>
          </w:tcPr>
          <w:p>
            <w:pPr>
              <w:jc w:val="center"/>
              <w:rPr>
                <w:bCs/>
                <w:spacing w:val="6"/>
              </w:rPr>
            </w:pPr>
            <w:r>
              <w:rPr>
                <w:bCs/>
                <w:spacing w:val="6"/>
              </w:rPr>
              <w:t>区域湿度条件</w:t>
            </w:r>
          </w:p>
        </w:tc>
        <w:tc>
          <w:tcPr>
            <w:tcW w:w="1667" w:type="pct"/>
            <w:vAlign w:val="center"/>
          </w:tcPr>
          <w:p>
            <w:pPr>
              <w:jc w:val="center"/>
              <w:rPr>
                <w:bCs/>
                <w:spacing w:val="6"/>
              </w:rPr>
            </w:pPr>
            <w:r>
              <w:rPr>
                <w:bCs/>
                <w:spacing w:val="6"/>
              </w:rPr>
              <w:t>中等湿度气候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pPr>
              <w:jc w:val="center"/>
              <w:rPr>
                <w:bCs/>
                <w:spacing w:val="6"/>
              </w:rPr>
            </w:pPr>
            <w:r>
              <w:rPr>
                <w:bCs/>
                <w:spacing w:val="6"/>
              </w:rPr>
              <w:t>是否考虑地形</w:t>
            </w:r>
          </w:p>
        </w:tc>
        <w:tc>
          <w:tcPr>
            <w:tcW w:w="1667" w:type="pct"/>
            <w:vAlign w:val="center"/>
          </w:tcPr>
          <w:p>
            <w:pPr>
              <w:jc w:val="center"/>
              <w:rPr>
                <w:bCs/>
                <w:spacing w:val="6"/>
              </w:rPr>
            </w:pPr>
            <w:r>
              <w:rPr>
                <w:bCs/>
                <w:spacing w:val="6"/>
              </w:rPr>
              <w:t>考虑地形</w:t>
            </w:r>
          </w:p>
        </w:tc>
        <w:tc>
          <w:tcPr>
            <w:tcW w:w="1667" w:type="pct"/>
            <w:vAlign w:val="center"/>
          </w:tcPr>
          <w:p>
            <w:pPr>
              <w:jc w:val="center"/>
              <w:rPr>
                <w:bCs/>
                <w:spacing w:val="6"/>
              </w:rPr>
            </w:pPr>
            <w:r>
              <w:rPr>
                <w:bCs/>
                <w:spacing w:val="6"/>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pPr>
              <w:jc w:val="center"/>
              <w:rPr>
                <w:bCs/>
                <w:spacing w:val="6"/>
              </w:rPr>
            </w:pPr>
          </w:p>
        </w:tc>
        <w:tc>
          <w:tcPr>
            <w:tcW w:w="1667" w:type="pct"/>
            <w:vAlign w:val="center"/>
          </w:tcPr>
          <w:p>
            <w:pPr>
              <w:jc w:val="center"/>
              <w:rPr>
                <w:bCs/>
                <w:spacing w:val="6"/>
              </w:rPr>
            </w:pPr>
            <w:r>
              <w:rPr>
                <w:bCs/>
                <w:spacing w:val="6"/>
              </w:rPr>
              <w:t>地形数据分辨率（m）</w:t>
            </w:r>
          </w:p>
        </w:tc>
        <w:tc>
          <w:tcPr>
            <w:tcW w:w="1667" w:type="pct"/>
            <w:vAlign w:val="center"/>
          </w:tcPr>
          <w:p>
            <w:pPr>
              <w:jc w:val="center"/>
              <w:rPr>
                <w:bCs/>
                <w:spacing w:val="6"/>
              </w:rPr>
            </w:pPr>
            <w:r>
              <w:rPr>
                <w:bCs/>
                <w:spacing w:val="6"/>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pPr>
              <w:jc w:val="center"/>
              <w:rPr>
                <w:bCs/>
                <w:spacing w:val="6"/>
              </w:rPr>
            </w:pPr>
            <w:r>
              <w:rPr>
                <w:bCs/>
                <w:spacing w:val="6"/>
              </w:rPr>
              <w:t>是否考虑岸线熏烟</w:t>
            </w:r>
          </w:p>
        </w:tc>
        <w:tc>
          <w:tcPr>
            <w:tcW w:w="1667" w:type="pct"/>
            <w:vAlign w:val="center"/>
          </w:tcPr>
          <w:p>
            <w:pPr>
              <w:jc w:val="center"/>
              <w:rPr>
                <w:bCs/>
                <w:spacing w:val="6"/>
              </w:rPr>
            </w:pPr>
            <w:r>
              <w:rPr>
                <w:bCs/>
                <w:spacing w:val="6"/>
              </w:rPr>
              <w:t>考虑岸线熏烟</w:t>
            </w:r>
          </w:p>
        </w:tc>
        <w:tc>
          <w:tcPr>
            <w:tcW w:w="1667" w:type="pct"/>
            <w:vAlign w:val="center"/>
          </w:tcPr>
          <w:p>
            <w:pPr>
              <w:jc w:val="center"/>
              <w:rPr>
                <w:bCs/>
                <w:spacing w:val="6"/>
              </w:rPr>
            </w:pPr>
            <w:r>
              <w:rPr>
                <w:bCs/>
                <w:spacing w:val="6"/>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pPr>
              <w:jc w:val="center"/>
              <w:rPr>
                <w:bCs/>
                <w:spacing w:val="6"/>
              </w:rPr>
            </w:pPr>
          </w:p>
        </w:tc>
        <w:tc>
          <w:tcPr>
            <w:tcW w:w="1667" w:type="pct"/>
            <w:vAlign w:val="center"/>
          </w:tcPr>
          <w:p>
            <w:pPr>
              <w:jc w:val="center"/>
              <w:rPr>
                <w:bCs/>
                <w:spacing w:val="6"/>
              </w:rPr>
            </w:pPr>
            <w:r>
              <w:rPr>
                <w:bCs/>
                <w:spacing w:val="6"/>
              </w:rPr>
              <w:t>岸线距离（km）</w:t>
            </w:r>
          </w:p>
        </w:tc>
        <w:tc>
          <w:tcPr>
            <w:tcW w:w="1667" w:type="pct"/>
            <w:vAlign w:val="center"/>
          </w:tcPr>
          <w:p>
            <w:pPr>
              <w:jc w:val="center"/>
              <w:rPr>
                <w:bCs/>
                <w:spacing w:val="6"/>
              </w:rPr>
            </w:pPr>
            <w:r>
              <w:rPr>
                <w:bCs/>
                <w:spacing w:val="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pPr>
              <w:jc w:val="center"/>
              <w:rPr>
                <w:bCs/>
                <w:spacing w:val="6"/>
              </w:rPr>
            </w:pPr>
          </w:p>
        </w:tc>
        <w:tc>
          <w:tcPr>
            <w:tcW w:w="1667" w:type="pct"/>
            <w:vAlign w:val="center"/>
          </w:tcPr>
          <w:p>
            <w:pPr>
              <w:jc w:val="center"/>
              <w:rPr>
                <w:bCs/>
                <w:spacing w:val="6"/>
              </w:rPr>
            </w:pPr>
            <w:r>
              <w:rPr>
                <w:bCs/>
                <w:spacing w:val="6"/>
              </w:rPr>
              <w:t>岸线方向（</w:t>
            </w:r>
            <w:r>
              <w:rPr>
                <w:rFonts w:hint="eastAsia" w:ascii="宋体" w:hAnsi="宋体"/>
                <w:bCs/>
                <w:spacing w:val="6"/>
              </w:rPr>
              <w:t>°）</w:t>
            </w:r>
          </w:p>
        </w:tc>
        <w:tc>
          <w:tcPr>
            <w:tcW w:w="1667" w:type="pct"/>
            <w:vAlign w:val="center"/>
          </w:tcPr>
          <w:p>
            <w:pPr>
              <w:jc w:val="center"/>
              <w:rPr>
                <w:bCs/>
                <w:spacing w:val="6"/>
              </w:rPr>
            </w:pPr>
            <w:r>
              <w:rPr>
                <w:bCs/>
                <w:spacing w:val="6"/>
              </w:rPr>
              <w:t>--</w:t>
            </w:r>
          </w:p>
        </w:tc>
      </w:tr>
    </w:tbl>
    <w:p>
      <w:pPr>
        <w:spacing w:line="480" w:lineRule="exact"/>
        <w:ind w:firstLine="482"/>
        <w:rPr>
          <w:bCs/>
          <w:spacing w:val="6"/>
          <w:sz w:val="24"/>
        </w:rPr>
      </w:pPr>
      <w:r>
        <w:rPr>
          <w:rFonts w:hint="eastAsia"/>
          <w:bCs/>
          <w:spacing w:val="6"/>
          <w:sz w:val="24"/>
        </w:rPr>
        <w:t>（5）主要污染源估算模型计算结果</w:t>
      </w:r>
    </w:p>
    <w:p>
      <w:pPr>
        <w:spacing w:line="480" w:lineRule="exact"/>
        <w:ind w:firstLine="482"/>
        <w:rPr>
          <w:bCs/>
          <w:spacing w:val="6"/>
          <w:sz w:val="24"/>
        </w:rPr>
      </w:pPr>
      <w:r>
        <w:rPr>
          <w:rFonts w:hint="eastAsia"/>
          <w:bCs/>
          <w:spacing w:val="6"/>
          <w:sz w:val="24"/>
        </w:rPr>
        <w:t>本次评价估算模型计算结果见下表5.2-5。</w:t>
      </w:r>
    </w:p>
    <w:p>
      <w:pPr>
        <w:spacing w:line="480" w:lineRule="exact"/>
        <w:jc w:val="center"/>
        <w:rPr>
          <w:rFonts w:ascii="黑体" w:hAnsi="黑体" w:eastAsia="黑体"/>
          <w:bCs/>
          <w:spacing w:val="6"/>
          <w:sz w:val="24"/>
        </w:rPr>
      </w:pPr>
      <w:r>
        <w:rPr>
          <w:rFonts w:hint="eastAsia" w:ascii="黑体" w:hAnsi="黑体" w:eastAsia="黑体"/>
          <w:bCs/>
          <w:spacing w:val="6"/>
          <w:sz w:val="24"/>
        </w:rPr>
        <w:t>表5.2-</w:t>
      </w:r>
      <w:r>
        <w:rPr>
          <w:rFonts w:ascii="黑体" w:hAnsi="黑体" w:eastAsia="黑体"/>
          <w:bCs/>
          <w:spacing w:val="6"/>
          <w:sz w:val="24"/>
        </w:rPr>
        <w:t>5</w:t>
      </w:r>
      <w:r>
        <w:rPr>
          <w:rFonts w:hint="eastAsia" w:ascii="黑体" w:hAnsi="黑体" w:eastAsia="黑体"/>
          <w:bCs/>
          <w:spacing w:val="6"/>
          <w:sz w:val="24"/>
        </w:rPr>
        <w:t>a  燃气锅炉废气点源估算模型计算结果</w:t>
      </w:r>
    </w:p>
    <w:tbl>
      <w:tblPr>
        <w:tblStyle w:val="31"/>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861"/>
        <w:gridCol w:w="1862"/>
        <w:gridCol w:w="1861"/>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Merge w:val="restart"/>
            <w:vAlign w:val="center"/>
          </w:tcPr>
          <w:p>
            <w:pPr>
              <w:jc w:val="center"/>
              <w:rPr>
                <w:bCs/>
                <w:spacing w:val="6"/>
                <w:szCs w:val="21"/>
              </w:rPr>
            </w:pPr>
            <w:r>
              <w:rPr>
                <w:bCs/>
                <w:spacing w:val="6"/>
                <w:szCs w:val="21"/>
              </w:rPr>
              <w:t>下风向距离（m）</w:t>
            </w:r>
          </w:p>
        </w:tc>
        <w:tc>
          <w:tcPr>
            <w:tcW w:w="3723" w:type="dxa"/>
            <w:gridSpan w:val="2"/>
            <w:vAlign w:val="center"/>
          </w:tcPr>
          <w:p>
            <w:pPr>
              <w:jc w:val="center"/>
              <w:rPr>
                <w:bCs/>
                <w:spacing w:val="6"/>
                <w:szCs w:val="21"/>
              </w:rPr>
            </w:pPr>
            <w:r>
              <w:rPr>
                <w:rFonts w:hint="eastAsia"/>
                <w:bCs/>
                <w:spacing w:val="6"/>
                <w:szCs w:val="21"/>
              </w:rPr>
              <w:t>P</w:t>
            </w:r>
            <w:r>
              <w:rPr>
                <w:bCs/>
                <w:spacing w:val="6"/>
                <w:szCs w:val="21"/>
              </w:rPr>
              <w:t>M</w:t>
            </w:r>
            <w:r>
              <w:rPr>
                <w:bCs/>
                <w:spacing w:val="6"/>
                <w:szCs w:val="21"/>
                <w:vertAlign w:val="subscript"/>
              </w:rPr>
              <w:t>10</w:t>
            </w:r>
          </w:p>
        </w:tc>
        <w:tc>
          <w:tcPr>
            <w:tcW w:w="3728" w:type="dxa"/>
            <w:gridSpan w:val="2"/>
            <w:vAlign w:val="center"/>
          </w:tcPr>
          <w:p>
            <w:pPr>
              <w:jc w:val="center"/>
              <w:rPr>
                <w:bCs/>
                <w:spacing w:val="6"/>
                <w:szCs w:val="21"/>
              </w:rPr>
            </w:pPr>
            <w:r>
              <w:rPr>
                <w:rFonts w:hint="eastAsia"/>
                <w:bCs/>
                <w:spacing w:val="6"/>
                <w:szCs w:val="21"/>
              </w:rPr>
              <w:t>二氧化氮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Merge w:val="continue"/>
            <w:vAlign w:val="center"/>
          </w:tcPr>
          <w:p>
            <w:pPr>
              <w:jc w:val="center"/>
              <w:rPr>
                <w:bCs/>
                <w:spacing w:val="6"/>
                <w:szCs w:val="21"/>
              </w:rPr>
            </w:pPr>
          </w:p>
        </w:tc>
        <w:tc>
          <w:tcPr>
            <w:tcW w:w="1861" w:type="dxa"/>
            <w:vAlign w:val="center"/>
          </w:tcPr>
          <w:p>
            <w:pPr>
              <w:jc w:val="center"/>
              <w:rPr>
                <w:bCs/>
                <w:spacing w:val="6"/>
                <w:szCs w:val="21"/>
              </w:rPr>
            </w:pPr>
            <w:r>
              <w:rPr>
                <w:bCs/>
                <w:spacing w:val="6"/>
                <w:szCs w:val="21"/>
              </w:rPr>
              <w:t>预测质量浓度</w:t>
            </w:r>
            <w:r>
              <w:rPr>
                <w:kern w:val="0"/>
                <w:szCs w:val="21"/>
              </w:rPr>
              <w:t>（mg/m</w:t>
            </w:r>
            <w:r>
              <w:rPr>
                <w:kern w:val="0"/>
                <w:szCs w:val="21"/>
                <w:vertAlign w:val="superscript"/>
              </w:rPr>
              <w:t>3</w:t>
            </w:r>
            <w:r>
              <w:rPr>
                <w:kern w:val="0"/>
                <w:szCs w:val="21"/>
              </w:rPr>
              <w:t>）</w:t>
            </w:r>
          </w:p>
        </w:tc>
        <w:tc>
          <w:tcPr>
            <w:tcW w:w="1862" w:type="dxa"/>
            <w:vAlign w:val="center"/>
          </w:tcPr>
          <w:p>
            <w:pPr>
              <w:jc w:val="center"/>
              <w:rPr>
                <w:bCs/>
                <w:spacing w:val="6"/>
                <w:szCs w:val="21"/>
              </w:rPr>
            </w:pPr>
            <w:r>
              <w:rPr>
                <w:bCs/>
                <w:spacing w:val="6"/>
                <w:szCs w:val="21"/>
              </w:rPr>
              <w:t>占标率（%）</w:t>
            </w:r>
          </w:p>
        </w:tc>
        <w:tc>
          <w:tcPr>
            <w:tcW w:w="1861" w:type="dxa"/>
            <w:vAlign w:val="center"/>
          </w:tcPr>
          <w:p>
            <w:pPr>
              <w:jc w:val="center"/>
              <w:rPr>
                <w:bCs/>
                <w:spacing w:val="6"/>
                <w:szCs w:val="21"/>
              </w:rPr>
            </w:pPr>
            <w:r>
              <w:rPr>
                <w:bCs/>
                <w:spacing w:val="6"/>
                <w:szCs w:val="21"/>
              </w:rPr>
              <w:t>预测质量浓度</w:t>
            </w:r>
            <w:r>
              <w:rPr>
                <w:kern w:val="0"/>
                <w:szCs w:val="21"/>
              </w:rPr>
              <w:t>（mg/m</w:t>
            </w:r>
            <w:r>
              <w:rPr>
                <w:kern w:val="0"/>
                <w:szCs w:val="21"/>
                <w:vertAlign w:val="superscript"/>
              </w:rPr>
              <w:t>3</w:t>
            </w:r>
            <w:r>
              <w:rPr>
                <w:kern w:val="0"/>
                <w:szCs w:val="21"/>
              </w:rPr>
              <w:t>）</w:t>
            </w:r>
          </w:p>
        </w:tc>
        <w:tc>
          <w:tcPr>
            <w:tcW w:w="1867" w:type="dxa"/>
            <w:vAlign w:val="center"/>
          </w:tcPr>
          <w:p>
            <w:pPr>
              <w:jc w:val="center"/>
              <w:rPr>
                <w:bCs/>
                <w:spacing w:val="6"/>
                <w:szCs w:val="21"/>
              </w:rPr>
            </w:pPr>
            <w:r>
              <w:rPr>
                <w:bCs/>
                <w:spacing w:val="6"/>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10</w:t>
            </w:r>
          </w:p>
        </w:tc>
        <w:tc>
          <w:tcPr>
            <w:tcW w:w="1861" w:type="dxa"/>
            <w:vAlign w:val="bottom"/>
          </w:tcPr>
          <w:p>
            <w:pPr>
              <w:widowControl/>
              <w:jc w:val="center"/>
              <w:rPr>
                <w:rFonts w:eastAsia="等线"/>
                <w:color w:val="000000"/>
                <w:szCs w:val="21"/>
              </w:rPr>
            </w:pPr>
            <w:r>
              <w:rPr>
                <w:rFonts w:eastAsia="等线"/>
                <w:color w:val="000000"/>
                <w:szCs w:val="21"/>
              </w:rPr>
              <w:t>0.00000</w:t>
            </w:r>
          </w:p>
        </w:tc>
        <w:tc>
          <w:tcPr>
            <w:tcW w:w="1862" w:type="dxa"/>
            <w:vAlign w:val="bottom"/>
          </w:tcPr>
          <w:p>
            <w:pPr>
              <w:widowControl/>
              <w:jc w:val="center"/>
              <w:rPr>
                <w:rFonts w:eastAsia="等线"/>
                <w:color w:val="000000"/>
                <w:szCs w:val="21"/>
              </w:rPr>
            </w:pPr>
            <w:r>
              <w:rPr>
                <w:rFonts w:eastAsia="等线"/>
                <w:color w:val="000000"/>
                <w:szCs w:val="21"/>
              </w:rPr>
              <w:t>0.00</w:t>
            </w:r>
          </w:p>
        </w:tc>
        <w:tc>
          <w:tcPr>
            <w:tcW w:w="1861" w:type="dxa"/>
            <w:vAlign w:val="bottom"/>
          </w:tcPr>
          <w:p>
            <w:pPr>
              <w:widowControl/>
              <w:jc w:val="center"/>
              <w:rPr>
                <w:rFonts w:eastAsia="等线"/>
                <w:color w:val="000000"/>
                <w:szCs w:val="21"/>
              </w:rPr>
            </w:pPr>
            <w:r>
              <w:rPr>
                <w:rFonts w:eastAsia="等线"/>
                <w:color w:val="000000"/>
                <w:szCs w:val="21"/>
              </w:rPr>
              <w:t>0.00001</w:t>
            </w:r>
          </w:p>
        </w:tc>
        <w:tc>
          <w:tcPr>
            <w:tcW w:w="1867" w:type="dxa"/>
            <w:vAlign w:val="bottom"/>
          </w:tcPr>
          <w:p>
            <w:pPr>
              <w:widowControl/>
              <w:jc w:val="center"/>
              <w:rPr>
                <w:rFonts w:eastAsia="等线"/>
                <w:color w:val="000000"/>
                <w:szCs w:val="21"/>
              </w:rPr>
            </w:pPr>
            <w:r>
              <w:rPr>
                <w:rFonts w:eastAsia="等线"/>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color w:val="000000"/>
                <w:kern w:val="0"/>
                <w:szCs w:val="21"/>
              </w:rPr>
            </w:pPr>
            <w:r>
              <w:rPr>
                <w:color w:val="000000"/>
                <w:kern w:val="0"/>
                <w:szCs w:val="21"/>
              </w:rPr>
              <w:t>50</w:t>
            </w:r>
          </w:p>
        </w:tc>
        <w:tc>
          <w:tcPr>
            <w:tcW w:w="1861" w:type="dxa"/>
            <w:vAlign w:val="bottom"/>
          </w:tcPr>
          <w:p>
            <w:pPr>
              <w:jc w:val="center"/>
              <w:rPr>
                <w:rFonts w:eastAsia="等线"/>
                <w:color w:val="000000"/>
                <w:szCs w:val="21"/>
              </w:rPr>
            </w:pPr>
            <w:r>
              <w:rPr>
                <w:rFonts w:eastAsia="等线"/>
                <w:color w:val="000000"/>
                <w:szCs w:val="21"/>
              </w:rPr>
              <w:t>0.00042</w:t>
            </w:r>
          </w:p>
        </w:tc>
        <w:tc>
          <w:tcPr>
            <w:tcW w:w="1862" w:type="dxa"/>
            <w:vAlign w:val="bottom"/>
          </w:tcPr>
          <w:p>
            <w:pPr>
              <w:jc w:val="center"/>
              <w:rPr>
                <w:rFonts w:eastAsia="等线"/>
                <w:color w:val="000000"/>
                <w:szCs w:val="21"/>
              </w:rPr>
            </w:pPr>
            <w:r>
              <w:rPr>
                <w:rFonts w:eastAsia="等线"/>
                <w:color w:val="000000"/>
                <w:szCs w:val="21"/>
              </w:rPr>
              <w:t>0.09</w:t>
            </w:r>
          </w:p>
        </w:tc>
        <w:tc>
          <w:tcPr>
            <w:tcW w:w="1861" w:type="dxa"/>
            <w:vAlign w:val="bottom"/>
          </w:tcPr>
          <w:p>
            <w:pPr>
              <w:jc w:val="center"/>
              <w:rPr>
                <w:rFonts w:eastAsia="等线"/>
                <w:color w:val="000000"/>
                <w:szCs w:val="21"/>
              </w:rPr>
            </w:pPr>
            <w:r>
              <w:rPr>
                <w:rFonts w:eastAsia="等线"/>
                <w:color w:val="000000"/>
                <w:szCs w:val="21"/>
              </w:rPr>
              <w:t>0.00376</w:t>
            </w:r>
          </w:p>
        </w:tc>
        <w:tc>
          <w:tcPr>
            <w:tcW w:w="1867" w:type="dxa"/>
            <w:vAlign w:val="bottom"/>
          </w:tcPr>
          <w:p>
            <w:pPr>
              <w:jc w:val="center"/>
              <w:rPr>
                <w:rFonts w:eastAsia="等线"/>
                <w:color w:val="000000"/>
                <w:szCs w:val="21"/>
              </w:rPr>
            </w:pPr>
            <w:r>
              <w:rPr>
                <w:rFonts w:eastAsia="等线"/>
                <w:color w:val="000000"/>
                <w:szCs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shd w:val="clear" w:color="auto" w:fill="auto"/>
            <w:vAlign w:val="center"/>
          </w:tcPr>
          <w:p>
            <w:pPr>
              <w:widowControl/>
              <w:jc w:val="center"/>
              <w:textAlignment w:val="center"/>
              <w:rPr>
                <w:color w:val="000000"/>
                <w:kern w:val="0"/>
                <w:szCs w:val="21"/>
              </w:rPr>
            </w:pPr>
            <w:r>
              <w:rPr>
                <w:color w:val="000000"/>
                <w:kern w:val="0"/>
                <w:szCs w:val="21"/>
              </w:rPr>
              <w:t>100</w:t>
            </w:r>
          </w:p>
        </w:tc>
        <w:tc>
          <w:tcPr>
            <w:tcW w:w="1861" w:type="dxa"/>
            <w:shd w:val="clear" w:color="auto" w:fill="auto"/>
            <w:vAlign w:val="bottom"/>
          </w:tcPr>
          <w:p>
            <w:pPr>
              <w:jc w:val="center"/>
              <w:rPr>
                <w:rFonts w:eastAsia="等线"/>
                <w:color w:val="000000"/>
                <w:szCs w:val="21"/>
              </w:rPr>
            </w:pPr>
            <w:r>
              <w:rPr>
                <w:rFonts w:eastAsia="等线"/>
                <w:color w:val="000000"/>
                <w:szCs w:val="21"/>
              </w:rPr>
              <w:t>0.00056</w:t>
            </w:r>
          </w:p>
        </w:tc>
        <w:tc>
          <w:tcPr>
            <w:tcW w:w="1862" w:type="dxa"/>
            <w:shd w:val="clear" w:color="auto" w:fill="auto"/>
            <w:vAlign w:val="bottom"/>
          </w:tcPr>
          <w:p>
            <w:pPr>
              <w:jc w:val="center"/>
              <w:rPr>
                <w:rFonts w:eastAsia="等线"/>
                <w:color w:val="000000"/>
                <w:szCs w:val="21"/>
              </w:rPr>
            </w:pPr>
            <w:r>
              <w:rPr>
                <w:rFonts w:eastAsia="等线"/>
                <w:color w:val="000000"/>
                <w:szCs w:val="21"/>
              </w:rPr>
              <w:t>0.12</w:t>
            </w:r>
          </w:p>
        </w:tc>
        <w:tc>
          <w:tcPr>
            <w:tcW w:w="1861" w:type="dxa"/>
            <w:shd w:val="clear" w:color="auto" w:fill="auto"/>
            <w:vAlign w:val="bottom"/>
          </w:tcPr>
          <w:p>
            <w:pPr>
              <w:jc w:val="center"/>
              <w:rPr>
                <w:rFonts w:eastAsia="等线"/>
                <w:color w:val="000000"/>
                <w:szCs w:val="21"/>
              </w:rPr>
            </w:pPr>
            <w:r>
              <w:rPr>
                <w:rFonts w:eastAsia="等线"/>
                <w:color w:val="000000"/>
                <w:szCs w:val="21"/>
              </w:rPr>
              <w:t>0.00499</w:t>
            </w:r>
          </w:p>
        </w:tc>
        <w:tc>
          <w:tcPr>
            <w:tcW w:w="1867" w:type="dxa"/>
            <w:shd w:val="clear" w:color="auto" w:fill="auto"/>
            <w:vAlign w:val="bottom"/>
          </w:tcPr>
          <w:p>
            <w:pPr>
              <w:jc w:val="center"/>
              <w:rPr>
                <w:rFonts w:eastAsia="等线"/>
                <w:color w:val="000000"/>
                <w:szCs w:val="21"/>
              </w:rPr>
            </w:pPr>
            <w:r>
              <w:rPr>
                <w:rFonts w:eastAsia="等线"/>
                <w:color w:val="000000"/>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shd w:val="clear" w:color="auto" w:fill="auto"/>
            <w:vAlign w:val="center"/>
          </w:tcPr>
          <w:p>
            <w:pPr>
              <w:widowControl/>
              <w:jc w:val="center"/>
              <w:textAlignment w:val="center"/>
              <w:rPr>
                <w:szCs w:val="21"/>
              </w:rPr>
            </w:pPr>
            <w:r>
              <w:rPr>
                <w:color w:val="000000"/>
                <w:kern w:val="0"/>
                <w:szCs w:val="21"/>
              </w:rPr>
              <w:t>200</w:t>
            </w:r>
          </w:p>
        </w:tc>
        <w:tc>
          <w:tcPr>
            <w:tcW w:w="1861" w:type="dxa"/>
            <w:shd w:val="clear" w:color="auto" w:fill="auto"/>
            <w:vAlign w:val="bottom"/>
          </w:tcPr>
          <w:p>
            <w:pPr>
              <w:jc w:val="center"/>
              <w:rPr>
                <w:rFonts w:eastAsia="等线"/>
                <w:color w:val="000000"/>
                <w:szCs w:val="21"/>
              </w:rPr>
            </w:pPr>
            <w:r>
              <w:rPr>
                <w:rFonts w:eastAsia="等线"/>
                <w:color w:val="000000"/>
                <w:szCs w:val="21"/>
              </w:rPr>
              <w:t>0.00046</w:t>
            </w:r>
          </w:p>
        </w:tc>
        <w:tc>
          <w:tcPr>
            <w:tcW w:w="1862" w:type="dxa"/>
            <w:shd w:val="clear" w:color="auto" w:fill="auto"/>
            <w:vAlign w:val="bottom"/>
          </w:tcPr>
          <w:p>
            <w:pPr>
              <w:jc w:val="center"/>
              <w:rPr>
                <w:rFonts w:eastAsia="等线"/>
                <w:color w:val="000000"/>
                <w:szCs w:val="21"/>
              </w:rPr>
            </w:pPr>
            <w:r>
              <w:rPr>
                <w:rFonts w:eastAsia="等线"/>
                <w:color w:val="000000"/>
                <w:szCs w:val="21"/>
              </w:rPr>
              <w:t>0.10</w:t>
            </w:r>
          </w:p>
        </w:tc>
        <w:tc>
          <w:tcPr>
            <w:tcW w:w="1861" w:type="dxa"/>
            <w:shd w:val="clear" w:color="auto" w:fill="auto"/>
            <w:vAlign w:val="bottom"/>
          </w:tcPr>
          <w:p>
            <w:pPr>
              <w:jc w:val="center"/>
              <w:rPr>
                <w:rFonts w:eastAsia="等线"/>
                <w:color w:val="000000"/>
                <w:szCs w:val="21"/>
              </w:rPr>
            </w:pPr>
            <w:r>
              <w:rPr>
                <w:rFonts w:eastAsia="等线"/>
                <w:color w:val="000000"/>
                <w:szCs w:val="21"/>
              </w:rPr>
              <w:t>0.00412</w:t>
            </w:r>
          </w:p>
        </w:tc>
        <w:tc>
          <w:tcPr>
            <w:tcW w:w="1867" w:type="dxa"/>
            <w:shd w:val="clear" w:color="auto" w:fill="auto"/>
            <w:vAlign w:val="bottom"/>
          </w:tcPr>
          <w:p>
            <w:pPr>
              <w:jc w:val="center"/>
              <w:rPr>
                <w:rFonts w:eastAsia="等线"/>
                <w:color w:val="000000"/>
                <w:szCs w:val="21"/>
              </w:rPr>
            </w:pPr>
            <w:r>
              <w:rPr>
                <w:rFonts w:eastAsia="等线"/>
                <w:color w:val="000000"/>
                <w:szCs w:val="2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shd w:val="clear" w:color="auto" w:fill="auto"/>
            <w:vAlign w:val="center"/>
          </w:tcPr>
          <w:p>
            <w:pPr>
              <w:widowControl/>
              <w:jc w:val="center"/>
              <w:textAlignment w:val="center"/>
              <w:rPr>
                <w:szCs w:val="21"/>
              </w:rPr>
            </w:pPr>
            <w:r>
              <w:rPr>
                <w:color w:val="000000"/>
                <w:kern w:val="0"/>
                <w:szCs w:val="21"/>
              </w:rPr>
              <w:t>300</w:t>
            </w:r>
          </w:p>
        </w:tc>
        <w:tc>
          <w:tcPr>
            <w:tcW w:w="1861" w:type="dxa"/>
            <w:shd w:val="clear" w:color="auto" w:fill="auto"/>
            <w:vAlign w:val="bottom"/>
          </w:tcPr>
          <w:p>
            <w:pPr>
              <w:jc w:val="center"/>
              <w:rPr>
                <w:rFonts w:eastAsia="等线"/>
                <w:color w:val="000000"/>
                <w:szCs w:val="21"/>
              </w:rPr>
            </w:pPr>
            <w:r>
              <w:rPr>
                <w:rFonts w:eastAsia="等线"/>
                <w:color w:val="000000"/>
                <w:szCs w:val="21"/>
              </w:rPr>
              <w:t>0.00043</w:t>
            </w:r>
          </w:p>
        </w:tc>
        <w:tc>
          <w:tcPr>
            <w:tcW w:w="1862" w:type="dxa"/>
            <w:shd w:val="clear" w:color="auto" w:fill="auto"/>
            <w:vAlign w:val="bottom"/>
          </w:tcPr>
          <w:p>
            <w:pPr>
              <w:jc w:val="center"/>
              <w:rPr>
                <w:rFonts w:eastAsia="等线"/>
                <w:color w:val="000000"/>
                <w:szCs w:val="21"/>
              </w:rPr>
            </w:pPr>
            <w:r>
              <w:rPr>
                <w:rFonts w:eastAsia="等线"/>
                <w:color w:val="000000"/>
                <w:szCs w:val="21"/>
              </w:rPr>
              <w:t>0.10</w:t>
            </w:r>
          </w:p>
        </w:tc>
        <w:tc>
          <w:tcPr>
            <w:tcW w:w="1861" w:type="dxa"/>
            <w:shd w:val="clear" w:color="auto" w:fill="auto"/>
            <w:vAlign w:val="bottom"/>
          </w:tcPr>
          <w:p>
            <w:pPr>
              <w:jc w:val="center"/>
              <w:rPr>
                <w:rFonts w:eastAsia="等线"/>
                <w:color w:val="000000"/>
                <w:szCs w:val="21"/>
              </w:rPr>
            </w:pPr>
            <w:r>
              <w:rPr>
                <w:rFonts w:eastAsia="等线"/>
                <w:color w:val="000000"/>
                <w:szCs w:val="21"/>
              </w:rPr>
              <w:t>0.00390</w:t>
            </w:r>
          </w:p>
        </w:tc>
        <w:tc>
          <w:tcPr>
            <w:tcW w:w="1867" w:type="dxa"/>
            <w:shd w:val="clear" w:color="auto" w:fill="auto"/>
            <w:vAlign w:val="bottom"/>
          </w:tcPr>
          <w:p>
            <w:pPr>
              <w:jc w:val="center"/>
              <w:rPr>
                <w:rFonts w:eastAsia="等线"/>
                <w:color w:val="000000"/>
                <w:szCs w:val="21"/>
              </w:rPr>
            </w:pPr>
            <w:r>
              <w:rPr>
                <w:rFonts w:eastAsia="等线"/>
                <w:color w:val="000000"/>
                <w:szCs w:val="21"/>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400</w:t>
            </w:r>
          </w:p>
        </w:tc>
        <w:tc>
          <w:tcPr>
            <w:tcW w:w="1861" w:type="dxa"/>
            <w:vAlign w:val="bottom"/>
          </w:tcPr>
          <w:p>
            <w:pPr>
              <w:jc w:val="center"/>
              <w:rPr>
                <w:rFonts w:eastAsia="等线"/>
                <w:color w:val="000000"/>
                <w:szCs w:val="21"/>
              </w:rPr>
            </w:pPr>
            <w:r>
              <w:rPr>
                <w:rFonts w:eastAsia="等线"/>
                <w:color w:val="000000"/>
                <w:szCs w:val="21"/>
              </w:rPr>
              <w:t>0.00039</w:t>
            </w:r>
          </w:p>
        </w:tc>
        <w:tc>
          <w:tcPr>
            <w:tcW w:w="1862" w:type="dxa"/>
            <w:vAlign w:val="bottom"/>
          </w:tcPr>
          <w:p>
            <w:pPr>
              <w:jc w:val="center"/>
              <w:rPr>
                <w:rFonts w:eastAsia="等线"/>
                <w:color w:val="000000"/>
                <w:szCs w:val="21"/>
              </w:rPr>
            </w:pPr>
            <w:r>
              <w:rPr>
                <w:rFonts w:eastAsia="等线"/>
                <w:color w:val="000000"/>
                <w:szCs w:val="21"/>
              </w:rPr>
              <w:t>0.09</w:t>
            </w:r>
          </w:p>
        </w:tc>
        <w:tc>
          <w:tcPr>
            <w:tcW w:w="1861" w:type="dxa"/>
            <w:vAlign w:val="bottom"/>
          </w:tcPr>
          <w:p>
            <w:pPr>
              <w:jc w:val="center"/>
              <w:rPr>
                <w:rFonts w:eastAsia="等线"/>
                <w:color w:val="000000"/>
                <w:szCs w:val="21"/>
              </w:rPr>
            </w:pPr>
            <w:r>
              <w:rPr>
                <w:rFonts w:eastAsia="等线"/>
                <w:color w:val="000000"/>
                <w:szCs w:val="21"/>
              </w:rPr>
              <w:t>0.00346</w:t>
            </w:r>
          </w:p>
        </w:tc>
        <w:tc>
          <w:tcPr>
            <w:tcW w:w="1867" w:type="dxa"/>
            <w:vAlign w:val="bottom"/>
          </w:tcPr>
          <w:p>
            <w:pPr>
              <w:jc w:val="center"/>
              <w:rPr>
                <w:rFonts w:eastAsia="等线"/>
                <w:color w:val="000000"/>
                <w:szCs w:val="21"/>
              </w:rPr>
            </w:pPr>
            <w:r>
              <w:rPr>
                <w:rFonts w:eastAsia="等线"/>
                <w:color w:val="000000"/>
                <w:szCs w:val="21"/>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500</w:t>
            </w:r>
          </w:p>
        </w:tc>
        <w:tc>
          <w:tcPr>
            <w:tcW w:w="1861" w:type="dxa"/>
            <w:vAlign w:val="bottom"/>
          </w:tcPr>
          <w:p>
            <w:pPr>
              <w:jc w:val="center"/>
              <w:rPr>
                <w:rFonts w:eastAsia="等线"/>
                <w:color w:val="000000"/>
                <w:szCs w:val="21"/>
              </w:rPr>
            </w:pPr>
            <w:r>
              <w:rPr>
                <w:rFonts w:eastAsia="等线"/>
                <w:color w:val="000000"/>
                <w:szCs w:val="21"/>
              </w:rPr>
              <w:t>0.00042</w:t>
            </w:r>
          </w:p>
        </w:tc>
        <w:tc>
          <w:tcPr>
            <w:tcW w:w="1862" w:type="dxa"/>
            <w:vAlign w:val="bottom"/>
          </w:tcPr>
          <w:p>
            <w:pPr>
              <w:jc w:val="center"/>
              <w:rPr>
                <w:rFonts w:eastAsia="等线"/>
                <w:color w:val="000000"/>
                <w:szCs w:val="21"/>
              </w:rPr>
            </w:pPr>
            <w:r>
              <w:rPr>
                <w:rFonts w:eastAsia="等线"/>
                <w:color w:val="000000"/>
                <w:szCs w:val="21"/>
              </w:rPr>
              <w:t>0.09</w:t>
            </w:r>
          </w:p>
        </w:tc>
        <w:tc>
          <w:tcPr>
            <w:tcW w:w="1861" w:type="dxa"/>
            <w:vAlign w:val="bottom"/>
          </w:tcPr>
          <w:p>
            <w:pPr>
              <w:jc w:val="center"/>
              <w:rPr>
                <w:rFonts w:eastAsia="等线"/>
                <w:color w:val="000000"/>
                <w:szCs w:val="21"/>
              </w:rPr>
            </w:pPr>
            <w:r>
              <w:rPr>
                <w:rFonts w:eastAsia="等线"/>
                <w:color w:val="000000"/>
                <w:szCs w:val="21"/>
              </w:rPr>
              <w:t>0.00377</w:t>
            </w:r>
          </w:p>
        </w:tc>
        <w:tc>
          <w:tcPr>
            <w:tcW w:w="1867" w:type="dxa"/>
            <w:vAlign w:val="bottom"/>
          </w:tcPr>
          <w:p>
            <w:pPr>
              <w:jc w:val="center"/>
              <w:rPr>
                <w:rFonts w:eastAsia="等线"/>
                <w:color w:val="000000"/>
                <w:szCs w:val="21"/>
              </w:rPr>
            </w:pPr>
            <w:r>
              <w:rPr>
                <w:rFonts w:eastAsia="等线"/>
                <w:color w:val="000000"/>
                <w:szCs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600</w:t>
            </w:r>
          </w:p>
        </w:tc>
        <w:tc>
          <w:tcPr>
            <w:tcW w:w="1861" w:type="dxa"/>
            <w:vAlign w:val="bottom"/>
          </w:tcPr>
          <w:p>
            <w:pPr>
              <w:jc w:val="center"/>
              <w:rPr>
                <w:rFonts w:eastAsia="等线"/>
                <w:color w:val="000000"/>
                <w:szCs w:val="21"/>
              </w:rPr>
            </w:pPr>
            <w:r>
              <w:rPr>
                <w:rFonts w:eastAsia="等线"/>
                <w:color w:val="000000"/>
                <w:szCs w:val="21"/>
              </w:rPr>
              <w:t>0.00099</w:t>
            </w:r>
          </w:p>
        </w:tc>
        <w:tc>
          <w:tcPr>
            <w:tcW w:w="1862" w:type="dxa"/>
            <w:vAlign w:val="bottom"/>
          </w:tcPr>
          <w:p>
            <w:pPr>
              <w:jc w:val="center"/>
              <w:rPr>
                <w:rFonts w:eastAsia="等线"/>
                <w:color w:val="000000"/>
                <w:szCs w:val="21"/>
              </w:rPr>
            </w:pPr>
            <w:r>
              <w:rPr>
                <w:rFonts w:eastAsia="等线"/>
                <w:color w:val="000000"/>
                <w:szCs w:val="21"/>
              </w:rPr>
              <w:t>0.22</w:t>
            </w:r>
          </w:p>
        </w:tc>
        <w:tc>
          <w:tcPr>
            <w:tcW w:w="1861" w:type="dxa"/>
            <w:vAlign w:val="bottom"/>
          </w:tcPr>
          <w:p>
            <w:pPr>
              <w:jc w:val="center"/>
              <w:rPr>
                <w:rFonts w:eastAsia="等线"/>
                <w:color w:val="000000"/>
                <w:szCs w:val="21"/>
              </w:rPr>
            </w:pPr>
            <w:r>
              <w:rPr>
                <w:rFonts w:eastAsia="等线"/>
                <w:color w:val="000000"/>
                <w:szCs w:val="21"/>
              </w:rPr>
              <w:t>0.00886</w:t>
            </w:r>
          </w:p>
        </w:tc>
        <w:tc>
          <w:tcPr>
            <w:tcW w:w="1867" w:type="dxa"/>
            <w:vAlign w:val="bottom"/>
          </w:tcPr>
          <w:p>
            <w:pPr>
              <w:jc w:val="center"/>
              <w:rPr>
                <w:rFonts w:eastAsia="等线"/>
                <w:color w:val="000000"/>
                <w:szCs w:val="21"/>
              </w:rPr>
            </w:pPr>
            <w:r>
              <w:rPr>
                <w:rFonts w:eastAsia="等线"/>
                <w:color w:val="000000"/>
                <w:szCs w:val="21"/>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700</w:t>
            </w:r>
          </w:p>
        </w:tc>
        <w:tc>
          <w:tcPr>
            <w:tcW w:w="1861" w:type="dxa"/>
            <w:vAlign w:val="bottom"/>
          </w:tcPr>
          <w:p>
            <w:pPr>
              <w:jc w:val="center"/>
              <w:rPr>
                <w:rFonts w:eastAsia="等线"/>
                <w:color w:val="000000"/>
                <w:szCs w:val="21"/>
              </w:rPr>
            </w:pPr>
            <w:r>
              <w:rPr>
                <w:rFonts w:eastAsia="等线"/>
                <w:color w:val="000000"/>
                <w:szCs w:val="21"/>
              </w:rPr>
              <w:t>0.00140</w:t>
            </w:r>
          </w:p>
        </w:tc>
        <w:tc>
          <w:tcPr>
            <w:tcW w:w="1862" w:type="dxa"/>
            <w:vAlign w:val="bottom"/>
          </w:tcPr>
          <w:p>
            <w:pPr>
              <w:jc w:val="center"/>
              <w:rPr>
                <w:rFonts w:eastAsia="等线"/>
                <w:color w:val="000000"/>
                <w:szCs w:val="21"/>
              </w:rPr>
            </w:pPr>
            <w:r>
              <w:rPr>
                <w:rFonts w:eastAsia="等线"/>
                <w:color w:val="000000"/>
                <w:szCs w:val="21"/>
              </w:rPr>
              <w:t>0.31</w:t>
            </w:r>
          </w:p>
        </w:tc>
        <w:tc>
          <w:tcPr>
            <w:tcW w:w="1861" w:type="dxa"/>
            <w:vAlign w:val="bottom"/>
          </w:tcPr>
          <w:p>
            <w:pPr>
              <w:jc w:val="center"/>
              <w:rPr>
                <w:rFonts w:eastAsia="等线"/>
                <w:color w:val="000000"/>
                <w:szCs w:val="21"/>
              </w:rPr>
            </w:pPr>
            <w:r>
              <w:rPr>
                <w:rFonts w:eastAsia="等线"/>
                <w:color w:val="000000"/>
                <w:szCs w:val="21"/>
              </w:rPr>
              <w:t>0.01260</w:t>
            </w:r>
          </w:p>
        </w:tc>
        <w:tc>
          <w:tcPr>
            <w:tcW w:w="1867" w:type="dxa"/>
            <w:vAlign w:val="bottom"/>
          </w:tcPr>
          <w:p>
            <w:pPr>
              <w:jc w:val="center"/>
              <w:rPr>
                <w:rFonts w:eastAsia="等线"/>
                <w:color w:val="000000"/>
                <w:szCs w:val="21"/>
              </w:rPr>
            </w:pPr>
            <w:r>
              <w:rPr>
                <w:rFonts w:eastAsia="等线"/>
                <w:color w:val="000000"/>
                <w:szCs w:val="21"/>
              </w:rPr>
              <w:t>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800</w:t>
            </w:r>
          </w:p>
        </w:tc>
        <w:tc>
          <w:tcPr>
            <w:tcW w:w="1861" w:type="dxa"/>
            <w:vAlign w:val="bottom"/>
          </w:tcPr>
          <w:p>
            <w:pPr>
              <w:jc w:val="center"/>
              <w:rPr>
                <w:rFonts w:eastAsia="等线"/>
                <w:color w:val="000000"/>
                <w:szCs w:val="21"/>
              </w:rPr>
            </w:pPr>
            <w:r>
              <w:rPr>
                <w:rFonts w:eastAsia="等线"/>
                <w:color w:val="000000"/>
                <w:szCs w:val="21"/>
              </w:rPr>
              <w:t>0.00096</w:t>
            </w:r>
          </w:p>
        </w:tc>
        <w:tc>
          <w:tcPr>
            <w:tcW w:w="1862" w:type="dxa"/>
            <w:vAlign w:val="bottom"/>
          </w:tcPr>
          <w:p>
            <w:pPr>
              <w:jc w:val="center"/>
              <w:rPr>
                <w:rFonts w:eastAsia="等线"/>
                <w:color w:val="000000"/>
                <w:szCs w:val="21"/>
              </w:rPr>
            </w:pPr>
            <w:r>
              <w:rPr>
                <w:rFonts w:eastAsia="等线"/>
                <w:color w:val="000000"/>
                <w:szCs w:val="21"/>
              </w:rPr>
              <w:t>0.21</w:t>
            </w:r>
          </w:p>
        </w:tc>
        <w:tc>
          <w:tcPr>
            <w:tcW w:w="1861" w:type="dxa"/>
            <w:vAlign w:val="bottom"/>
          </w:tcPr>
          <w:p>
            <w:pPr>
              <w:jc w:val="center"/>
              <w:rPr>
                <w:rFonts w:eastAsia="等线"/>
                <w:color w:val="000000"/>
                <w:szCs w:val="21"/>
              </w:rPr>
            </w:pPr>
            <w:r>
              <w:rPr>
                <w:rFonts w:eastAsia="等线"/>
                <w:color w:val="000000"/>
                <w:szCs w:val="21"/>
              </w:rPr>
              <w:t>0.00867</w:t>
            </w:r>
          </w:p>
        </w:tc>
        <w:tc>
          <w:tcPr>
            <w:tcW w:w="1867" w:type="dxa"/>
            <w:vAlign w:val="bottom"/>
          </w:tcPr>
          <w:p>
            <w:pPr>
              <w:jc w:val="center"/>
              <w:rPr>
                <w:rFonts w:eastAsia="等线"/>
                <w:color w:val="000000"/>
                <w:szCs w:val="21"/>
              </w:rPr>
            </w:pPr>
            <w:r>
              <w:rPr>
                <w:rFonts w:eastAsia="等线"/>
                <w:color w:val="000000"/>
                <w:szCs w:val="21"/>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900</w:t>
            </w:r>
          </w:p>
        </w:tc>
        <w:tc>
          <w:tcPr>
            <w:tcW w:w="1861" w:type="dxa"/>
            <w:vAlign w:val="bottom"/>
          </w:tcPr>
          <w:p>
            <w:pPr>
              <w:jc w:val="center"/>
              <w:rPr>
                <w:rFonts w:eastAsia="等线"/>
                <w:color w:val="000000"/>
                <w:szCs w:val="21"/>
              </w:rPr>
            </w:pPr>
            <w:r>
              <w:rPr>
                <w:rFonts w:eastAsia="等线"/>
                <w:color w:val="000000"/>
                <w:szCs w:val="21"/>
              </w:rPr>
              <w:t>0.00134</w:t>
            </w:r>
          </w:p>
        </w:tc>
        <w:tc>
          <w:tcPr>
            <w:tcW w:w="1862" w:type="dxa"/>
            <w:vAlign w:val="bottom"/>
          </w:tcPr>
          <w:p>
            <w:pPr>
              <w:jc w:val="center"/>
              <w:rPr>
                <w:rFonts w:eastAsia="等线"/>
                <w:color w:val="000000"/>
                <w:szCs w:val="21"/>
              </w:rPr>
            </w:pPr>
            <w:r>
              <w:rPr>
                <w:rFonts w:eastAsia="等线"/>
                <w:color w:val="000000"/>
                <w:szCs w:val="21"/>
              </w:rPr>
              <w:t>0.30</w:t>
            </w:r>
          </w:p>
        </w:tc>
        <w:tc>
          <w:tcPr>
            <w:tcW w:w="1861" w:type="dxa"/>
            <w:vAlign w:val="bottom"/>
          </w:tcPr>
          <w:p>
            <w:pPr>
              <w:jc w:val="center"/>
              <w:rPr>
                <w:rFonts w:eastAsia="等线"/>
                <w:color w:val="000000"/>
                <w:szCs w:val="21"/>
              </w:rPr>
            </w:pPr>
            <w:r>
              <w:rPr>
                <w:rFonts w:eastAsia="等线"/>
                <w:color w:val="000000"/>
                <w:szCs w:val="21"/>
              </w:rPr>
              <w:t>0.01210</w:t>
            </w:r>
          </w:p>
        </w:tc>
        <w:tc>
          <w:tcPr>
            <w:tcW w:w="1867" w:type="dxa"/>
            <w:vAlign w:val="bottom"/>
          </w:tcPr>
          <w:p>
            <w:pPr>
              <w:jc w:val="center"/>
              <w:rPr>
                <w:rFonts w:eastAsia="等线"/>
                <w:color w:val="000000"/>
                <w:szCs w:val="21"/>
              </w:rPr>
            </w:pPr>
            <w:r>
              <w:rPr>
                <w:rFonts w:eastAsia="等线"/>
                <w:color w:val="000000"/>
                <w:szCs w:val="21"/>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1000</w:t>
            </w:r>
          </w:p>
        </w:tc>
        <w:tc>
          <w:tcPr>
            <w:tcW w:w="1861" w:type="dxa"/>
            <w:vAlign w:val="bottom"/>
          </w:tcPr>
          <w:p>
            <w:pPr>
              <w:jc w:val="center"/>
              <w:rPr>
                <w:rFonts w:eastAsia="等线"/>
                <w:color w:val="000000"/>
                <w:szCs w:val="21"/>
              </w:rPr>
            </w:pPr>
            <w:r>
              <w:rPr>
                <w:rFonts w:eastAsia="等线"/>
                <w:color w:val="000000"/>
                <w:szCs w:val="21"/>
              </w:rPr>
              <w:t>0.00147</w:t>
            </w:r>
          </w:p>
        </w:tc>
        <w:tc>
          <w:tcPr>
            <w:tcW w:w="1862" w:type="dxa"/>
            <w:vAlign w:val="bottom"/>
          </w:tcPr>
          <w:p>
            <w:pPr>
              <w:jc w:val="center"/>
              <w:rPr>
                <w:rFonts w:eastAsia="等线"/>
                <w:color w:val="000000"/>
                <w:szCs w:val="21"/>
              </w:rPr>
            </w:pPr>
            <w:r>
              <w:rPr>
                <w:rFonts w:eastAsia="等线"/>
                <w:color w:val="000000"/>
                <w:szCs w:val="21"/>
              </w:rPr>
              <w:t>0.33</w:t>
            </w:r>
          </w:p>
        </w:tc>
        <w:tc>
          <w:tcPr>
            <w:tcW w:w="1861" w:type="dxa"/>
            <w:vAlign w:val="bottom"/>
          </w:tcPr>
          <w:p>
            <w:pPr>
              <w:jc w:val="center"/>
              <w:rPr>
                <w:rFonts w:eastAsia="等线"/>
                <w:color w:val="000000"/>
                <w:szCs w:val="21"/>
              </w:rPr>
            </w:pPr>
            <w:r>
              <w:rPr>
                <w:rFonts w:eastAsia="等线"/>
                <w:color w:val="000000"/>
                <w:szCs w:val="21"/>
              </w:rPr>
              <w:t>0.01320</w:t>
            </w:r>
          </w:p>
        </w:tc>
        <w:tc>
          <w:tcPr>
            <w:tcW w:w="1867" w:type="dxa"/>
            <w:vAlign w:val="bottom"/>
          </w:tcPr>
          <w:p>
            <w:pPr>
              <w:jc w:val="center"/>
              <w:rPr>
                <w:rFonts w:eastAsia="等线"/>
                <w:color w:val="000000"/>
                <w:szCs w:val="21"/>
              </w:rPr>
            </w:pPr>
            <w:r>
              <w:rPr>
                <w:rFonts w:eastAsia="等线"/>
                <w:color w:val="000000"/>
                <w:szCs w:val="21"/>
              </w:rPr>
              <w:t>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1500</w:t>
            </w:r>
          </w:p>
        </w:tc>
        <w:tc>
          <w:tcPr>
            <w:tcW w:w="1861" w:type="dxa"/>
            <w:vAlign w:val="bottom"/>
          </w:tcPr>
          <w:p>
            <w:pPr>
              <w:jc w:val="center"/>
              <w:rPr>
                <w:rFonts w:eastAsia="等线"/>
                <w:color w:val="000000"/>
                <w:szCs w:val="21"/>
              </w:rPr>
            </w:pPr>
            <w:r>
              <w:rPr>
                <w:rFonts w:eastAsia="等线"/>
                <w:color w:val="000000"/>
                <w:szCs w:val="21"/>
              </w:rPr>
              <w:t>0.00092</w:t>
            </w:r>
          </w:p>
        </w:tc>
        <w:tc>
          <w:tcPr>
            <w:tcW w:w="1862" w:type="dxa"/>
            <w:vAlign w:val="bottom"/>
          </w:tcPr>
          <w:p>
            <w:pPr>
              <w:jc w:val="center"/>
              <w:rPr>
                <w:rFonts w:eastAsia="等线"/>
                <w:color w:val="000000"/>
                <w:szCs w:val="21"/>
              </w:rPr>
            </w:pPr>
            <w:r>
              <w:rPr>
                <w:rFonts w:eastAsia="等线"/>
                <w:color w:val="000000"/>
                <w:szCs w:val="21"/>
              </w:rPr>
              <w:t>0.21</w:t>
            </w:r>
          </w:p>
        </w:tc>
        <w:tc>
          <w:tcPr>
            <w:tcW w:w="1861" w:type="dxa"/>
            <w:vAlign w:val="bottom"/>
          </w:tcPr>
          <w:p>
            <w:pPr>
              <w:jc w:val="center"/>
              <w:rPr>
                <w:rFonts w:eastAsia="等线"/>
                <w:color w:val="000000"/>
                <w:szCs w:val="21"/>
              </w:rPr>
            </w:pPr>
            <w:r>
              <w:rPr>
                <w:rFonts w:eastAsia="等线"/>
                <w:color w:val="000000"/>
                <w:szCs w:val="21"/>
              </w:rPr>
              <w:t>0.00831</w:t>
            </w:r>
          </w:p>
        </w:tc>
        <w:tc>
          <w:tcPr>
            <w:tcW w:w="1867" w:type="dxa"/>
            <w:vAlign w:val="bottom"/>
          </w:tcPr>
          <w:p>
            <w:pPr>
              <w:jc w:val="center"/>
              <w:rPr>
                <w:rFonts w:eastAsia="等线"/>
                <w:color w:val="000000"/>
                <w:szCs w:val="21"/>
              </w:rPr>
            </w:pPr>
            <w:r>
              <w:rPr>
                <w:rFonts w:eastAsia="等线"/>
                <w:color w:val="000000"/>
                <w:szCs w:val="21"/>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shd w:val="clear" w:color="auto" w:fill="D8D8D8" w:themeFill="background1" w:themeFillShade="D9"/>
            <w:vAlign w:val="center"/>
          </w:tcPr>
          <w:p>
            <w:pPr>
              <w:widowControl/>
              <w:jc w:val="center"/>
              <w:textAlignment w:val="center"/>
              <w:rPr>
                <w:szCs w:val="21"/>
              </w:rPr>
            </w:pPr>
            <w:r>
              <w:rPr>
                <w:szCs w:val="21"/>
              </w:rPr>
              <w:t>1615</w:t>
            </w:r>
          </w:p>
        </w:tc>
        <w:tc>
          <w:tcPr>
            <w:tcW w:w="1861" w:type="dxa"/>
            <w:shd w:val="clear" w:color="auto" w:fill="D8D8D8" w:themeFill="background1" w:themeFillShade="D9"/>
            <w:vAlign w:val="bottom"/>
          </w:tcPr>
          <w:p>
            <w:pPr>
              <w:jc w:val="center"/>
              <w:rPr>
                <w:rFonts w:eastAsia="等线"/>
                <w:color w:val="000000"/>
                <w:szCs w:val="21"/>
              </w:rPr>
            </w:pPr>
            <w:r>
              <w:rPr>
                <w:rFonts w:eastAsia="等线"/>
                <w:color w:val="000000"/>
                <w:szCs w:val="21"/>
              </w:rPr>
              <w:t>0.00184</w:t>
            </w:r>
          </w:p>
        </w:tc>
        <w:tc>
          <w:tcPr>
            <w:tcW w:w="1862" w:type="dxa"/>
            <w:shd w:val="clear" w:color="auto" w:fill="D8D8D8" w:themeFill="background1" w:themeFillShade="D9"/>
            <w:vAlign w:val="bottom"/>
          </w:tcPr>
          <w:p>
            <w:pPr>
              <w:jc w:val="center"/>
              <w:rPr>
                <w:rFonts w:eastAsia="等线"/>
                <w:color w:val="000000"/>
                <w:szCs w:val="21"/>
              </w:rPr>
            </w:pPr>
            <w:r>
              <w:rPr>
                <w:rFonts w:eastAsia="等线"/>
                <w:color w:val="000000"/>
                <w:szCs w:val="21"/>
              </w:rPr>
              <w:t>0.41</w:t>
            </w:r>
          </w:p>
        </w:tc>
        <w:tc>
          <w:tcPr>
            <w:tcW w:w="1861" w:type="dxa"/>
            <w:shd w:val="clear" w:color="auto" w:fill="D8D8D8" w:themeFill="background1" w:themeFillShade="D9"/>
            <w:vAlign w:val="bottom"/>
          </w:tcPr>
          <w:p>
            <w:pPr>
              <w:jc w:val="center"/>
              <w:rPr>
                <w:rFonts w:eastAsia="等线"/>
                <w:color w:val="000000"/>
                <w:szCs w:val="21"/>
              </w:rPr>
            </w:pPr>
            <w:r>
              <w:rPr>
                <w:rFonts w:eastAsia="等线"/>
                <w:color w:val="000000"/>
                <w:szCs w:val="21"/>
              </w:rPr>
              <w:t>0.01660</w:t>
            </w:r>
          </w:p>
        </w:tc>
        <w:tc>
          <w:tcPr>
            <w:tcW w:w="1867" w:type="dxa"/>
            <w:shd w:val="clear" w:color="auto" w:fill="D8D8D8" w:themeFill="background1" w:themeFillShade="D9"/>
            <w:vAlign w:val="bottom"/>
          </w:tcPr>
          <w:p>
            <w:pPr>
              <w:jc w:val="center"/>
              <w:rPr>
                <w:rFonts w:eastAsia="等线"/>
                <w:color w:val="000000"/>
                <w:szCs w:val="21"/>
              </w:rPr>
            </w:pPr>
            <w:r>
              <w:rPr>
                <w:rFonts w:eastAsia="等线"/>
                <w:color w:val="000000"/>
                <w:szCs w:val="21"/>
              </w:rPr>
              <w:t>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color w:val="000000"/>
                <w:kern w:val="0"/>
                <w:szCs w:val="21"/>
              </w:rPr>
            </w:pPr>
            <w:r>
              <w:rPr>
                <w:color w:val="000000"/>
                <w:kern w:val="0"/>
                <w:szCs w:val="21"/>
              </w:rPr>
              <w:t>2000</w:t>
            </w:r>
          </w:p>
        </w:tc>
        <w:tc>
          <w:tcPr>
            <w:tcW w:w="1861" w:type="dxa"/>
            <w:vAlign w:val="bottom"/>
          </w:tcPr>
          <w:p>
            <w:pPr>
              <w:jc w:val="center"/>
              <w:rPr>
                <w:rFonts w:eastAsia="等线"/>
                <w:color w:val="000000"/>
                <w:szCs w:val="21"/>
              </w:rPr>
            </w:pPr>
            <w:r>
              <w:rPr>
                <w:rFonts w:eastAsia="等线"/>
                <w:color w:val="000000"/>
                <w:szCs w:val="21"/>
              </w:rPr>
              <w:t>0.00114</w:t>
            </w:r>
          </w:p>
        </w:tc>
        <w:tc>
          <w:tcPr>
            <w:tcW w:w="1862" w:type="dxa"/>
            <w:vAlign w:val="bottom"/>
          </w:tcPr>
          <w:p>
            <w:pPr>
              <w:jc w:val="center"/>
              <w:rPr>
                <w:rFonts w:eastAsia="等线"/>
                <w:color w:val="000000"/>
                <w:szCs w:val="21"/>
              </w:rPr>
            </w:pPr>
            <w:r>
              <w:rPr>
                <w:rFonts w:eastAsia="等线"/>
                <w:color w:val="000000"/>
                <w:szCs w:val="21"/>
              </w:rPr>
              <w:t>0.25</w:t>
            </w:r>
          </w:p>
        </w:tc>
        <w:tc>
          <w:tcPr>
            <w:tcW w:w="1861" w:type="dxa"/>
            <w:vAlign w:val="bottom"/>
          </w:tcPr>
          <w:p>
            <w:pPr>
              <w:jc w:val="center"/>
              <w:rPr>
                <w:rFonts w:eastAsia="等线"/>
                <w:color w:val="000000"/>
                <w:szCs w:val="21"/>
              </w:rPr>
            </w:pPr>
            <w:r>
              <w:rPr>
                <w:rFonts w:eastAsia="等线"/>
                <w:color w:val="000000"/>
                <w:szCs w:val="21"/>
              </w:rPr>
              <w:t>0.01030</w:t>
            </w:r>
          </w:p>
        </w:tc>
        <w:tc>
          <w:tcPr>
            <w:tcW w:w="1867" w:type="dxa"/>
            <w:vAlign w:val="bottom"/>
          </w:tcPr>
          <w:p>
            <w:pPr>
              <w:jc w:val="center"/>
              <w:rPr>
                <w:rFonts w:eastAsia="等线"/>
                <w:color w:val="000000"/>
                <w:szCs w:val="21"/>
              </w:rPr>
            </w:pPr>
            <w:r>
              <w:rPr>
                <w:rFonts w:eastAsia="等线"/>
                <w:color w:val="000000"/>
                <w:szCs w:val="21"/>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color w:val="000000"/>
                <w:kern w:val="0"/>
                <w:szCs w:val="21"/>
              </w:rPr>
            </w:pPr>
            <w:r>
              <w:rPr>
                <w:color w:val="000000"/>
                <w:kern w:val="0"/>
                <w:szCs w:val="21"/>
              </w:rPr>
              <w:t>2500</w:t>
            </w:r>
          </w:p>
        </w:tc>
        <w:tc>
          <w:tcPr>
            <w:tcW w:w="1861" w:type="dxa"/>
            <w:vAlign w:val="bottom"/>
          </w:tcPr>
          <w:p>
            <w:pPr>
              <w:jc w:val="center"/>
              <w:rPr>
                <w:rFonts w:eastAsia="等线"/>
                <w:color w:val="000000"/>
                <w:szCs w:val="21"/>
              </w:rPr>
            </w:pPr>
            <w:r>
              <w:rPr>
                <w:rFonts w:eastAsia="等线"/>
                <w:color w:val="000000"/>
                <w:szCs w:val="21"/>
              </w:rPr>
              <w:t>0.00103</w:t>
            </w:r>
          </w:p>
        </w:tc>
        <w:tc>
          <w:tcPr>
            <w:tcW w:w="1862" w:type="dxa"/>
            <w:vAlign w:val="bottom"/>
          </w:tcPr>
          <w:p>
            <w:pPr>
              <w:jc w:val="center"/>
              <w:rPr>
                <w:rFonts w:eastAsia="等线"/>
                <w:color w:val="000000"/>
                <w:szCs w:val="21"/>
              </w:rPr>
            </w:pPr>
            <w:r>
              <w:rPr>
                <w:rFonts w:eastAsia="等线"/>
                <w:color w:val="000000"/>
                <w:szCs w:val="21"/>
              </w:rPr>
              <w:t>0.23</w:t>
            </w:r>
          </w:p>
        </w:tc>
        <w:tc>
          <w:tcPr>
            <w:tcW w:w="1861" w:type="dxa"/>
            <w:vAlign w:val="bottom"/>
          </w:tcPr>
          <w:p>
            <w:pPr>
              <w:jc w:val="center"/>
              <w:rPr>
                <w:rFonts w:eastAsia="等线"/>
                <w:color w:val="000000"/>
                <w:szCs w:val="21"/>
              </w:rPr>
            </w:pPr>
            <w:r>
              <w:rPr>
                <w:rFonts w:eastAsia="等线"/>
                <w:color w:val="000000"/>
                <w:szCs w:val="21"/>
              </w:rPr>
              <w:t>0.00926</w:t>
            </w:r>
          </w:p>
        </w:tc>
        <w:tc>
          <w:tcPr>
            <w:tcW w:w="1867" w:type="dxa"/>
            <w:vAlign w:val="bottom"/>
          </w:tcPr>
          <w:p>
            <w:pPr>
              <w:jc w:val="center"/>
              <w:rPr>
                <w:rFonts w:eastAsia="等线"/>
                <w:color w:val="000000"/>
                <w:szCs w:val="21"/>
              </w:rPr>
            </w:pPr>
            <w:r>
              <w:rPr>
                <w:rFonts w:eastAsia="等线"/>
                <w:color w:val="000000"/>
                <w:szCs w:val="21"/>
              </w:rPr>
              <w:t>4.63</w:t>
            </w:r>
          </w:p>
        </w:tc>
      </w:tr>
    </w:tbl>
    <w:p>
      <w:pPr>
        <w:spacing w:line="480" w:lineRule="exact"/>
        <w:jc w:val="center"/>
        <w:rPr>
          <w:rFonts w:ascii="黑体" w:hAnsi="黑体" w:eastAsia="黑体"/>
          <w:bCs/>
          <w:spacing w:val="6"/>
          <w:sz w:val="24"/>
        </w:rPr>
      </w:pPr>
    </w:p>
    <w:p>
      <w:pPr>
        <w:spacing w:line="480" w:lineRule="exact"/>
        <w:jc w:val="center"/>
        <w:rPr>
          <w:rFonts w:ascii="黑体" w:hAnsi="黑体" w:eastAsia="黑体"/>
          <w:bCs/>
          <w:spacing w:val="6"/>
          <w:sz w:val="24"/>
        </w:rPr>
      </w:pPr>
      <w:r>
        <w:rPr>
          <w:rFonts w:hint="eastAsia" w:ascii="黑体" w:hAnsi="黑体" w:eastAsia="黑体"/>
          <w:bCs/>
          <w:spacing w:val="6"/>
          <w:sz w:val="24"/>
        </w:rPr>
        <w:t>表5.2-</w:t>
      </w:r>
      <w:r>
        <w:rPr>
          <w:rFonts w:ascii="黑体" w:hAnsi="黑体" w:eastAsia="黑体"/>
          <w:bCs/>
          <w:spacing w:val="6"/>
          <w:sz w:val="24"/>
        </w:rPr>
        <w:t>5</w:t>
      </w:r>
      <w:r>
        <w:rPr>
          <w:rFonts w:hint="eastAsia" w:ascii="黑体" w:hAnsi="黑体" w:eastAsia="黑体"/>
          <w:bCs/>
          <w:spacing w:val="6"/>
          <w:sz w:val="24"/>
        </w:rPr>
        <w:t>b  发酵罐废气点源估算模型计算结果</w:t>
      </w:r>
    </w:p>
    <w:tbl>
      <w:tblPr>
        <w:tblStyle w:val="31"/>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861"/>
        <w:gridCol w:w="1862"/>
        <w:gridCol w:w="1861"/>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Merge w:val="restart"/>
            <w:vAlign w:val="center"/>
          </w:tcPr>
          <w:p>
            <w:pPr>
              <w:jc w:val="center"/>
              <w:rPr>
                <w:bCs/>
                <w:spacing w:val="6"/>
                <w:szCs w:val="21"/>
              </w:rPr>
            </w:pPr>
            <w:r>
              <w:rPr>
                <w:bCs/>
                <w:spacing w:val="6"/>
                <w:szCs w:val="21"/>
              </w:rPr>
              <w:t>下风向距离（m）</w:t>
            </w:r>
          </w:p>
        </w:tc>
        <w:tc>
          <w:tcPr>
            <w:tcW w:w="3723" w:type="dxa"/>
            <w:gridSpan w:val="2"/>
            <w:vAlign w:val="center"/>
          </w:tcPr>
          <w:p>
            <w:pPr>
              <w:jc w:val="center"/>
              <w:rPr>
                <w:bCs/>
                <w:spacing w:val="6"/>
                <w:szCs w:val="21"/>
              </w:rPr>
            </w:pPr>
            <w:r>
              <w:rPr>
                <w:bCs/>
                <w:spacing w:val="6"/>
                <w:szCs w:val="21"/>
              </w:rPr>
              <w:t>NH</w:t>
            </w:r>
            <w:r>
              <w:rPr>
                <w:bCs/>
                <w:spacing w:val="6"/>
                <w:szCs w:val="21"/>
                <w:vertAlign w:val="subscript"/>
              </w:rPr>
              <w:t>3</w:t>
            </w:r>
          </w:p>
        </w:tc>
        <w:tc>
          <w:tcPr>
            <w:tcW w:w="3728" w:type="dxa"/>
            <w:gridSpan w:val="2"/>
            <w:vAlign w:val="center"/>
          </w:tcPr>
          <w:p>
            <w:pPr>
              <w:jc w:val="center"/>
              <w:rPr>
                <w:bCs/>
                <w:spacing w:val="6"/>
                <w:szCs w:val="21"/>
              </w:rPr>
            </w:pPr>
            <w:r>
              <w:rPr>
                <w:rFonts w:hint="eastAsia"/>
                <w:bCs/>
                <w:spacing w:val="6"/>
                <w:szCs w:val="21"/>
              </w:rPr>
              <w:t>H</w:t>
            </w:r>
            <w:r>
              <w:rPr>
                <w:bCs/>
                <w:spacing w:val="6"/>
                <w:szCs w:val="21"/>
                <w:vertAlign w:val="subscript"/>
              </w:rPr>
              <w:t>2</w:t>
            </w:r>
            <w:r>
              <w:rPr>
                <w:bCs/>
                <w:spacing w:val="6"/>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Merge w:val="continue"/>
            <w:vAlign w:val="center"/>
          </w:tcPr>
          <w:p>
            <w:pPr>
              <w:jc w:val="center"/>
              <w:rPr>
                <w:bCs/>
                <w:spacing w:val="6"/>
                <w:szCs w:val="21"/>
              </w:rPr>
            </w:pPr>
          </w:p>
        </w:tc>
        <w:tc>
          <w:tcPr>
            <w:tcW w:w="1861" w:type="dxa"/>
            <w:vAlign w:val="center"/>
          </w:tcPr>
          <w:p>
            <w:pPr>
              <w:jc w:val="center"/>
              <w:rPr>
                <w:bCs/>
                <w:spacing w:val="6"/>
                <w:szCs w:val="21"/>
              </w:rPr>
            </w:pPr>
            <w:r>
              <w:rPr>
                <w:bCs/>
                <w:spacing w:val="6"/>
                <w:szCs w:val="21"/>
              </w:rPr>
              <w:t>预测质量浓度</w:t>
            </w:r>
            <w:r>
              <w:rPr>
                <w:kern w:val="0"/>
                <w:szCs w:val="21"/>
              </w:rPr>
              <w:t>（mg/m</w:t>
            </w:r>
            <w:r>
              <w:rPr>
                <w:kern w:val="0"/>
                <w:szCs w:val="21"/>
                <w:vertAlign w:val="superscript"/>
              </w:rPr>
              <w:t>3</w:t>
            </w:r>
            <w:r>
              <w:rPr>
                <w:kern w:val="0"/>
                <w:szCs w:val="21"/>
              </w:rPr>
              <w:t>）</w:t>
            </w:r>
          </w:p>
        </w:tc>
        <w:tc>
          <w:tcPr>
            <w:tcW w:w="1862" w:type="dxa"/>
            <w:vAlign w:val="center"/>
          </w:tcPr>
          <w:p>
            <w:pPr>
              <w:jc w:val="center"/>
              <w:rPr>
                <w:bCs/>
                <w:spacing w:val="6"/>
                <w:szCs w:val="21"/>
              </w:rPr>
            </w:pPr>
            <w:r>
              <w:rPr>
                <w:bCs/>
                <w:spacing w:val="6"/>
                <w:szCs w:val="21"/>
              </w:rPr>
              <w:t>占标率（%）</w:t>
            </w:r>
          </w:p>
        </w:tc>
        <w:tc>
          <w:tcPr>
            <w:tcW w:w="1861" w:type="dxa"/>
            <w:vAlign w:val="center"/>
          </w:tcPr>
          <w:p>
            <w:pPr>
              <w:jc w:val="center"/>
              <w:rPr>
                <w:bCs/>
                <w:spacing w:val="6"/>
                <w:szCs w:val="21"/>
              </w:rPr>
            </w:pPr>
            <w:r>
              <w:rPr>
                <w:bCs/>
                <w:spacing w:val="6"/>
                <w:szCs w:val="21"/>
              </w:rPr>
              <w:t>预测质量浓度</w:t>
            </w:r>
            <w:r>
              <w:rPr>
                <w:kern w:val="0"/>
                <w:szCs w:val="21"/>
              </w:rPr>
              <w:t>（mg/m</w:t>
            </w:r>
            <w:r>
              <w:rPr>
                <w:kern w:val="0"/>
                <w:szCs w:val="21"/>
                <w:vertAlign w:val="superscript"/>
              </w:rPr>
              <w:t>3</w:t>
            </w:r>
            <w:r>
              <w:rPr>
                <w:kern w:val="0"/>
                <w:szCs w:val="21"/>
              </w:rPr>
              <w:t>）</w:t>
            </w:r>
          </w:p>
        </w:tc>
        <w:tc>
          <w:tcPr>
            <w:tcW w:w="1867" w:type="dxa"/>
            <w:vAlign w:val="center"/>
          </w:tcPr>
          <w:p>
            <w:pPr>
              <w:jc w:val="center"/>
              <w:rPr>
                <w:bCs/>
                <w:spacing w:val="6"/>
                <w:szCs w:val="21"/>
              </w:rPr>
            </w:pPr>
            <w:r>
              <w:rPr>
                <w:bCs/>
                <w:spacing w:val="6"/>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10</w:t>
            </w:r>
          </w:p>
        </w:tc>
        <w:tc>
          <w:tcPr>
            <w:tcW w:w="1861" w:type="dxa"/>
            <w:vAlign w:val="bottom"/>
          </w:tcPr>
          <w:p>
            <w:pPr>
              <w:widowControl/>
              <w:jc w:val="center"/>
              <w:textAlignment w:val="center"/>
              <w:rPr>
                <w:color w:val="000000"/>
                <w:kern w:val="0"/>
                <w:szCs w:val="21"/>
              </w:rPr>
            </w:pPr>
            <w:r>
              <w:rPr>
                <w:color w:val="000000"/>
                <w:kern w:val="0"/>
                <w:szCs w:val="21"/>
              </w:rPr>
              <w:t>0.00006</w:t>
            </w:r>
          </w:p>
        </w:tc>
        <w:tc>
          <w:tcPr>
            <w:tcW w:w="1862" w:type="dxa"/>
            <w:vAlign w:val="bottom"/>
          </w:tcPr>
          <w:p>
            <w:pPr>
              <w:widowControl/>
              <w:jc w:val="center"/>
              <w:textAlignment w:val="center"/>
              <w:rPr>
                <w:color w:val="000000"/>
                <w:kern w:val="0"/>
                <w:szCs w:val="21"/>
              </w:rPr>
            </w:pPr>
            <w:r>
              <w:rPr>
                <w:color w:val="000000"/>
                <w:kern w:val="0"/>
                <w:szCs w:val="21"/>
              </w:rPr>
              <w:t>0.03</w:t>
            </w:r>
          </w:p>
        </w:tc>
        <w:tc>
          <w:tcPr>
            <w:tcW w:w="1861" w:type="dxa"/>
            <w:vAlign w:val="bottom"/>
          </w:tcPr>
          <w:p>
            <w:pPr>
              <w:widowControl/>
              <w:jc w:val="center"/>
              <w:textAlignment w:val="center"/>
              <w:rPr>
                <w:color w:val="000000"/>
                <w:kern w:val="0"/>
                <w:szCs w:val="21"/>
              </w:rPr>
            </w:pPr>
            <w:r>
              <w:rPr>
                <w:color w:val="000000"/>
                <w:kern w:val="0"/>
                <w:szCs w:val="21"/>
              </w:rPr>
              <w:t>0.00001</w:t>
            </w:r>
          </w:p>
        </w:tc>
        <w:tc>
          <w:tcPr>
            <w:tcW w:w="1867" w:type="dxa"/>
            <w:vAlign w:val="bottom"/>
          </w:tcPr>
          <w:p>
            <w:pPr>
              <w:widowControl/>
              <w:jc w:val="center"/>
              <w:textAlignment w:val="center"/>
              <w:rPr>
                <w:color w:val="000000"/>
                <w:kern w:val="0"/>
                <w:szCs w:val="21"/>
              </w:rPr>
            </w:pPr>
            <w:r>
              <w:rPr>
                <w:color w:val="000000"/>
                <w:kern w:val="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color w:val="000000"/>
                <w:kern w:val="0"/>
                <w:szCs w:val="21"/>
              </w:rPr>
            </w:pPr>
            <w:r>
              <w:rPr>
                <w:color w:val="000000"/>
                <w:kern w:val="0"/>
                <w:szCs w:val="21"/>
              </w:rPr>
              <w:t>50</w:t>
            </w:r>
          </w:p>
        </w:tc>
        <w:tc>
          <w:tcPr>
            <w:tcW w:w="1861" w:type="dxa"/>
            <w:vAlign w:val="bottom"/>
          </w:tcPr>
          <w:p>
            <w:pPr>
              <w:widowControl/>
              <w:jc w:val="center"/>
              <w:textAlignment w:val="center"/>
              <w:rPr>
                <w:color w:val="000000"/>
                <w:kern w:val="0"/>
                <w:szCs w:val="21"/>
              </w:rPr>
            </w:pPr>
            <w:r>
              <w:rPr>
                <w:color w:val="000000"/>
                <w:kern w:val="0"/>
                <w:szCs w:val="21"/>
              </w:rPr>
              <w:t>0.00309</w:t>
            </w:r>
          </w:p>
        </w:tc>
        <w:tc>
          <w:tcPr>
            <w:tcW w:w="1862" w:type="dxa"/>
            <w:vAlign w:val="bottom"/>
          </w:tcPr>
          <w:p>
            <w:pPr>
              <w:widowControl/>
              <w:jc w:val="center"/>
              <w:textAlignment w:val="center"/>
              <w:rPr>
                <w:color w:val="000000"/>
                <w:kern w:val="0"/>
                <w:szCs w:val="21"/>
              </w:rPr>
            </w:pPr>
            <w:r>
              <w:rPr>
                <w:color w:val="000000"/>
                <w:kern w:val="0"/>
                <w:szCs w:val="21"/>
              </w:rPr>
              <w:t>1.54</w:t>
            </w:r>
          </w:p>
        </w:tc>
        <w:tc>
          <w:tcPr>
            <w:tcW w:w="1861" w:type="dxa"/>
            <w:vAlign w:val="bottom"/>
          </w:tcPr>
          <w:p>
            <w:pPr>
              <w:widowControl/>
              <w:jc w:val="center"/>
              <w:textAlignment w:val="center"/>
              <w:rPr>
                <w:color w:val="000000"/>
                <w:kern w:val="0"/>
                <w:szCs w:val="21"/>
              </w:rPr>
            </w:pPr>
            <w:r>
              <w:rPr>
                <w:color w:val="000000"/>
                <w:kern w:val="0"/>
                <w:szCs w:val="21"/>
              </w:rPr>
              <w:t>0.00031</w:t>
            </w:r>
          </w:p>
        </w:tc>
        <w:tc>
          <w:tcPr>
            <w:tcW w:w="1867" w:type="dxa"/>
            <w:vAlign w:val="bottom"/>
          </w:tcPr>
          <w:p>
            <w:pPr>
              <w:widowControl/>
              <w:jc w:val="center"/>
              <w:textAlignment w:val="center"/>
              <w:rPr>
                <w:color w:val="000000"/>
                <w:kern w:val="0"/>
                <w:szCs w:val="21"/>
              </w:rPr>
            </w:pPr>
            <w:r>
              <w:rPr>
                <w:color w:val="000000"/>
                <w:kern w:val="0"/>
                <w:szCs w:val="21"/>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shd w:val="clear" w:color="auto" w:fill="auto"/>
            <w:vAlign w:val="center"/>
          </w:tcPr>
          <w:p>
            <w:pPr>
              <w:widowControl/>
              <w:jc w:val="center"/>
              <w:textAlignment w:val="center"/>
              <w:rPr>
                <w:color w:val="000000"/>
                <w:kern w:val="0"/>
                <w:szCs w:val="21"/>
              </w:rPr>
            </w:pPr>
            <w:r>
              <w:rPr>
                <w:color w:val="000000"/>
                <w:kern w:val="0"/>
                <w:szCs w:val="21"/>
              </w:rPr>
              <w:t>100</w:t>
            </w:r>
          </w:p>
        </w:tc>
        <w:tc>
          <w:tcPr>
            <w:tcW w:w="1861" w:type="dxa"/>
            <w:shd w:val="clear" w:color="auto" w:fill="auto"/>
            <w:vAlign w:val="bottom"/>
          </w:tcPr>
          <w:p>
            <w:pPr>
              <w:widowControl/>
              <w:jc w:val="center"/>
              <w:textAlignment w:val="center"/>
              <w:rPr>
                <w:color w:val="000000"/>
                <w:kern w:val="0"/>
                <w:szCs w:val="21"/>
              </w:rPr>
            </w:pPr>
            <w:r>
              <w:rPr>
                <w:color w:val="000000"/>
                <w:kern w:val="0"/>
                <w:szCs w:val="21"/>
              </w:rPr>
              <w:t>0.00299</w:t>
            </w:r>
          </w:p>
        </w:tc>
        <w:tc>
          <w:tcPr>
            <w:tcW w:w="1862" w:type="dxa"/>
            <w:shd w:val="clear" w:color="auto" w:fill="auto"/>
            <w:vAlign w:val="bottom"/>
          </w:tcPr>
          <w:p>
            <w:pPr>
              <w:widowControl/>
              <w:jc w:val="center"/>
              <w:textAlignment w:val="center"/>
              <w:rPr>
                <w:color w:val="000000"/>
                <w:kern w:val="0"/>
                <w:szCs w:val="21"/>
              </w:rPr>
            </w:pPr>
            <w:r>
              <w:rPr>
                <w:color w:val="000000"/>
                <w:kern w:val="0"/>
                <w:szCs w:val="21"/>
              </w:rPr>
              <w:t>1.49</w:t>
            </w:r>
          </w:p>
        </w:tc>
        <w:tc>
          <w:tcPr>
            <w:tcW w:w="1861" w:type="dxa"/>
            <w:shd w:val="clear" w:color="auto" w:fill="auto"/>
            <w:vAlign w:val="bottom"/>
          </w:tcPr>
          <w:p>
            <w:pPr>
              <w:widowControl/>
              <w:jc w:val="center"/>
              <w:textAlignment w:val="center"/>
              <w:rPr>
                <w:color w:val="000000"/>
                <w:kern w:val="0"/>
                <w:szCs w:val="21"/>
              </w:rPr>
            </w:pPr>
            <w:r>
              <w:rPr>
                <w:color w:val="000000"/>
                <w:kern w:val="0"/>
                <w:szCs w:val="21"/>
              </w:rPr>
              <w:t>0.00030</w:t>
            </w:r>
          </w:p>
        </w:tc>
        <w:tc>
          <w:tcPr>
            <w:tcW w:w="1867" w:type="dxa"/>
            <w:shd w:val="clear" w:color="auto" w:fill="auto"/>
            <w:vAlign w:val="bottom"/>
          </w:tcPr>
          <w:p>
            <w:pPr>
              <w:widowControl/>
              <w:jc w:val="center"/>
              <w:textAlignment w:val="center"/>
              <w:rPr>
                <w:color w:val="000000"/>
                <w:kern w:val="0"/>
                <w:szCs w:val="21"/>
              </w:rPr>
            </w:pPr>
            <w:r>
              <w:rPr>
                <w:color w:val="000000"/>
                <w:kern w:val="0"/>
                <w:szCs w:val="21"/>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shd w:val="clear" w:color="auto" w:fill="auto"/>
            <w:vAlign w:val="center"/>
          </w:tcPr>
          <w:p>
            <w:pPr>
              <w:widowControl/>
              <w:jc w:val="center"/>
              <w:textAlignment w:val="center"/>
              <w:rPr>
                <w:szCs w:val="21"/>
              </w:rPr>
            </w:pPr>
            <w:r>
              <w:rPr>
                <w:color w:val="000000"/>
                <w:kern w:val="0"/>
                <w:szCs w:val="21"/>
              </w:rPr>
              <w:t>200</w:t>
            </w:r>
          </w:p>
        </w:tc>
        <w:tc>
          <w:tcPr>
            <w:tcW w:w="1861" w:type="dxa"/>
            <w:shd w:val="clear" w:color="auto" w:fill="auto"/>
            <w:vAlign w:val="bottom"/>
          </w:tcPr>
          <w:p>
            <w:pPr>
              <w:widowControl/>
              <w:jc w:val="center"/>
              <w:textAlignment w:val="center"/>
              <w:rPr>
                <w:color w:val="000000"/>
                <w:kern w:val="0"/>
                <w:szCs w:val="21"/>
              </w:rPr>
            </w:pPr>
            <w:r>
              <w:rPr>
                <w:color w:val="000000"/>
                <w:kern w:val="0"/>
                <w:szCs w:val="21"/>
              </w:rPr>
              <w:t>0.00246</w:t>
            </w:r>
          </w:p>
        </w:tc>
        <w:tc>
          <w:tcPr>
            <w:tcW w:w="1862" w:type="dxa"/>
            <w:shd w:val="clear" w:color="auto" w:fill="auto"/>
            <w:vAlign w:val="bottom"/>
          </w:tcPr>
          <w:p>
            <w:pPr>
              <w:widowControl/>
              <w:jc w:val="center"/>
              <w:textAlignment w:val="center"/>
              <w:rPr>
                <w:color w:val="000000"/>
                <w:kern w:val="0"/>
                <w:szCs w:val="21"/>
              </w:rPr>
            </w:pPr>
            <w:r>
              <w:rPr>
                <w:color w:val="000000"/>
                <w:kern w:val="0"/>
                <w:szCs w:val="21"/>
              </w:rPr>
              <w:t>1.23</w:t>
            </w:r>
          </w:p>
        </w:tc>
        <w:tc>
          <w:tcPr>
            <w:tcW w:w="1861" w:type="dxa"/>
            <w:shd w:val="clear" w:color="auto" w:fill="auto"/>
            <w:vAlign w:val="bottom"/>
          </w:tcPr>
          <w:p>
            <w:pPr>
              <w:widowControl/>
              <w:jc w:val="center"/>
              <w:textAlignment w:val="center"/>
              <w:rPr>
                <w:color w:val="000000"/>
                <w:kern w:val="0"/>
                <w:szCs w:val="21"/>
              </w:rPr>
            </w:pPr>
            <w:r>
              <w:rPr>
                <w:color w:val="000000"/>
                <w:kern w:val="0"/>
                <w:szCs w:val="21"/>
              </w:rPr>
              <w:t>0.00025</w:t>
            </w:r>
          </w:p>
        </w:tc>
        <w:tc>
          <w:tcPr>
            <w:tcW w:w="1867" w:type="dxa"/>
            <w:shd w:val="clear" w:color="auto" w:fill="auto"/>
            <w:vAlign w:val="bottom"/>
          </w:tcPr>
          <w:p>
            <w:pPr>
              <w:widowControl/>
              <w:jc w:val="center"/>
              <w:textAlignment w:val="center"/>
              <w:rPr>
                <w:color w:val="000000"/>
                <w:kern w:val="0"/>
                <w:szCs w:val="21"/>
              </w:rPr>
            </w:pPr>
            <w:r>
              <w:rPr>
                <w:color w:val="000000"/>
                <w:kern w:val="0"/>
                <w:szCs w:val="21"/>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shd w:val="clear" w:color="auto" w:fill="auto"/>
            <w:vAlign w:val="center"/>
          </w:tcPr>
          <w:p>
            <w:pPr>
              <w:widowControl/>
              <w:jc w:val="center"/>
              <w:textAlignment w:val="center"/>
              <w:rPr>
                <w:szCs w:val="21"/>
              </w:rPr>
            </w:pPr>
            <w:r>
              <w:rPr>
                <w:color w:val="000000"/>
                <w:kern w:val="0"/>
                <w:szCs w:val="21"/>
              </w:rPr>
              <w:t>300</w:t>
            </w:r>
          </w:p>
        </w:tc>
        <w:tc>
          <w:tcPr>
            <w:tcW w:w="1861" w:type="dxa"/>
            <w:shd w:val="clear" w:color="auto" w:fill="auto"/>
            <w:vAlign w:val="bottom"/>
          </w:tcPr>
          <w:p>
            <w:pPr>
              <w:widowControl/>
              <w:jc w:val="center"/>
              <w:textAlignment w:val="center"/>
              <w:rPr>
                <w:color w:val="000000"/>
                <w:kern w:val="0"/>
                <w:szCs w:val="21"/>
              </w:rPr>
            </w:pPr>
            <w:r>
              <w:rPr>
                <w:color w:val="000000"/>
                <w:kern w:val="0"/>
                <w:szCs w:val="21"/>
              </w:rPr>
              <w:t>0.00212</w:t>
            </w:r>
          </w:p>
        </w:tc>
        <w:tc>
          <w:tcPr>
            <w:tcW w:w="1862" w:type="dxa"/>
            <w:shd w:val="clear" w:color="auto" w:fill="auto"/>
            <w:vAlign w:val="bottom"/>
          </w:tcPr>
          <w:p>
            <w:pPr>
              <w:widowControl/>
              <w:jc w:val="center"/>
              <w:textAlignment w:val="center"/>
              <w:rPr>
                <w:color w:val="000000"/>
                <w:kern w:val="0"/>
                <w:szCs w:val="21"/>
              </w:rPr>
            </w:pPr>
            <w:r>
              <w:rPr>
                <w:color w:val="000000"/>
                <w:kern w:val="0"/>
                <w:szCs w:val="21"/>
              </w:rPr>
              <w:t>1.06</w:t>
            </w:r>
          </w:p>
        </w:tc>
        <w:tc>
          <w:tcPr>
            <w:tcW w:w="1861" w:type="dxa"/>
            <w:shd w:val="clear" w:color="auto" w:fill="auto"/>
            <w:vAlign w:val="bottom"/>
          </w:tcPr>
          <w:p>
            <w:pPr>
              <w:widowControl/>
              <w:jc w:val="center"/>
              <w:textAlignment w:val="center"/>
              <w:rPr>
                <w:color w:val="000000"/>
                <w:kern w:val="0"/>
                <w:szCs w:val="21"/>
              </w:rPr>
            </w:pPr>
            <w:r>
              <w:rPr>
                <w:color w:val="000000"/>
                <w:kern w:val="0"/>
                <w:szCs w:val="21"/>
              </w:rPr>
              <w:t>0.00021</w:t>
            </w:r>
          </w:p>
        </w:tc>
        <w:tc>
          <w:tcPr>
            <w:tcW w:w="1867" w:type="dxa"/>
            <w:shd w:val="clear" w:color="auto" w:fill="auto"/>
            <w:vAlign w:val="bottom"/>
          </w:tcPr>
          <w:p>
            <w:pPr>
              <w:widowControl/>
              <w:jc w:val="center"/>
              <w:textAlignment w:val="center"/>
              <w:rPr>
                <w:color w:val="000000"/>
                <w:kern w:val="0"/>
                <w:szCs w:val="21"/>
              </w:rPr>
            </w:pPr>
            <w:r>
              <w:rPr>
                <w:color w:val="000000"/>
                <w:kern w:val="0"/>
                <w:szCs w:val="2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400</w:t>
            </w:r>
          </w:p>
        </w:tc>
        <w:tc>
          <w:tcPr>
            <w:tcW w:w="1861" w:type="dxa"/>
            <w:vAlign w:val="bottom"/>
          </w:tcPr>
          <w:p>
            <w:pPr>
              <w:widowControl/>
              <w:jc w:val="center"/>
              <w:textAlignment w:val="center"/>
              <w:rPr>
                <w:color w:val="000000"/>
                <w:kern w:val="0"/>
                <w:szCs w:val="21"/>
              </w:rPr>
            </w:pPr>
            <w:r>
              <w:rPr>
                <w:color w:val="000000"/>
                <w:kern w:val="0"/>
                <w:szCs w:val="21"/>
              </w:rPr>
              <w:t>0.00187</w:t>
            </w:r>
          </w:p>
        </w:tc>
        <w:tc>
          <w:tcPr>
            <w:tcW w:w="1862" w:type="dxa"/>
            <w:vAlign w:val="bottom"/>
          </w:tcPr>
          <w:p>
            <w:pPr>
              <w:widowControl/>
              <w:jc w:val="center"/>
              <w:textAlignment w:val="center"/>
              <w:rPr>
                <w:color w:val="000000"/>
                <w:kern w:val="0"/>
                <w:szCs w:val="21"/>
              </w:rPr>
            </w:pPr>
            <w:r>
              <w:rPr>
                <w:color w:val="000000"/>
                <w:kern w:val="0"/>
                <w:szCs w:val="21"/>
              </w:rPr>
              <w:t>0.94</w:t>
            </w:r>
          </w:p>
        </w:tc>
        <w:tc>
          <w:tcPr>
            <w:tcW w:w="1861" w:type="dxa"/>
            <w:vAlign w:val="bottom"/>
          </w:tcPr>
          <w:p>
            <w:pPr>
              <w:widowControl/>
              <w:jc w:val="center"/>
              <w:textAlignment w:val="center"/>
              <w:rPr>
                <w:color w:val="000000"/>
                <w:kern w:val="0"/>
                <w:szCs w:val="21"/>
              </w:rPr>
            </w:pPr>
            <w:r>
              <w:rPr>
                <w:color w:val="000000"/>
                <w:kern w:val="0"/>
                <w:szCs w:val="21"/>
              </w:rPr>
              <w:t>0.00019</w:t>
            </w:r>
          </w:p>
        </w:tc>
        <w:tc>
          <w:tcPr>
            <w:tcW w:w="1867" w:type="dxa"/>
            <w:vAlign w:val="bottom"/>
          </w:tcPr>
          <w:p>
            <w:pPr>
              <w:widowControl/>
              <w:jc w:val="center"/>
              <w:textAlignment w:val="center"/>
              <w:rPr>
                <w:color w:val="000000"/>
                <w:kern w:val="0"/>
                <w:szCs w:val="21"/>
              </w:rPr>
            </w:pPr>
            <w:r>
              <w:rPr>
                <w:color w:val="000000"/>
                <w:kern w:val="0"/>
                <w:szCs w:val="21"/>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500</w:t>
            </w:r>
          </w:p>
        </w:tc>
        <w:tc>
          <w:tcPr>
            <w:tcW w:w="1861" w:type="dxa"/>
            <w:vAlign w:val="bottom"/>
          </w:tcPr>
          <w:p>
            <w:pPr>
              <w:widowControl/>
              <w:jc w:val="center"/>
              <w:textAlignment w:val="center"/>
              <w:rPr>
                <w:color w:val="000000"/>
                <w:kern w:val="0"/>
                <w:szCs w:val="21"/>
              </w:rPr>
            </w:pPr>
            <w:r>
              <w:rPr>
                <w:color w:val="000000"/>
                <w:kern w:val="0"/>
                <w:szCs w:val="21"/>
              </w:rPr>
              <w:t>0.00256</w:t>
            </w:r>
          </w:p>
        </w:tc>
        <w:tc>
          <w:tcPr>
            <w:tcW w:w="1862" w:type="dxa"/>
            <w:vAlign w:val="bottom"/>
          </w:tcPr>
          <w:p>
            <w:pPr>
              <w:widowControl/>
              <w:jc w:val="center"/>
              <w:textAlignment w:val="center"/>
              <w:rPr>
                <w:color w:val="000000"/>
                <w:kern w:val="0"/>
                <w:szCs w:val="21"/>
              </w:rPr>
            </w:pPr>
            <w:r>
              <w:rPr>
                <w:color w:val="000000"/>
                <w:kern w:val="0"/>
                <w:szCs w:val="21"/>
              </w:rPr>
              <w:t>1.28</w:t>
            </w:r>
          </w:p>
        </w:tc>
        <w:tc>
          <w:tcPr>
            <w:tcW w:w="1861" w:type="dxa"/>
            <w:vAlign w:val="bottom"/>
          </w:tcPr>
          <w:p>
            <w:pPr>
              <w:widowControl/>
              <w:jc w:val="center"/>
              <w:textAlignment w:val="center"/>
              <w:rPr>
                <w:color w:val="000000"/>
                <w:kern w:val="0"/>
                <w:szCs w:val="21"/>
              </w:rPr>
            </w:pPr>
            <w:r>
              <w:rPr>
                <w:color w:val="000000"/>
                <w:kern w:val="0"/>
                <w:szCs w:val="21"/>
              </w:rPr>
              <w:t>0.00026</w:t>
            </w:r>
          </w:p>
        </w:tc>
        <w:tc>
          <w:tcPr>
            <w:tcW w:w="1867" w:type="dxa"/>
            <w:vAlign w:val="bottom"/>
          </w:tcPr>
          <w:p>
            <w:pPr>
              <w:widowControl/>
              <w:jc w:val="center"/>
              <w:textAlignment w:val="center"/>
              <w:rPr>
                <w:color w:val="000000"/>
                <w:kern w:val="0"/>
                <w:szCs w:val="21"/>
              </w:rPr>
            </w:pPr>
            <w:r>
              <w:rPr>
                <w:color w:val="000000"/>
                <w:kern w:val="0"/>
                <w:szCs w:val="21"/>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shd w:val="clear" w:color="auto" w:fill="D8D8D8" w:themeFill="background1" w:themeFillShade="D9"/>
            <w:vAlign w:val="center"/>
          </w:tcPr>
          <w:p>
            <w:pPr>
              <w:widowControl/>
              <w:jc w:val="center"/>
              <w:textAlignment w:val="center"/>
              <w:rPr>
                <w:szCs w:val="21"/>
              </w:rPr>
            </w:pPr>
            <w:r>
              <w:rPr>
                <w:color w:val="000000"/>
                <w:kern w:val="0"/>
                <w:szCs w:val="21"/>
              </w:rPr>
              <w:t>536</w:t>
            </w:r>
          </w:p>
        </w:tc>
        <w:tc>
          <w:tcPr>
            <w:tcW w:w="1861" w:type="dxa"/>
            <w:shd w:val="clear" w:color="auto" w:fill="D8D8D8" w:themeFill="background1" w:themeFillShade="D9"/>
            <w:vAlign w:val="bottom"/>
          </w:tcPr>
          <w:p>
            <w:pPr>
              <w:widowControl/>
              <w:jc w:val="center"/>
              <w:textAlignment w:val="center"/>
              <w:rPr>
                <w:color w:val="000000"/>
                <w:kern w:val="0"/>
                <w:szCs w:val="21"/>
              </w:rPr>
            </w:pPr>
            <w:r>
              <w:rPr>
                <w:color w:val="000000"/>
                <w:kern w:val="0"/>
                <w:szCs w:val="21"/>
              </w:rPr>
              <w:t>0.00854</w:t>
            </w:r>
          </w:p>
        </w:tc>
        <w:tc>
          <w:tcPr>
            <w:tcW w:w="1862" w:type="dxa"/>
            <w:shd w:val="clear" w:color="auto" w:fill="D8D8D8" w:themeFill="background1" w:themeFillShade="D9"/>
            <w:vAlign w:val="bottom"/>
          </w:tcPr>
          <w:p>
            <w:pPr>
              <w:widowControl/>
              <w:jc w:val="center"/>
              <w:textAlignment w:val="center"/>
              <w:rPr>
                <w:color w:val="000000"/>
                <w:kern w:val="0"/>
                <w:szCs w:val="21"/>
              </w:rPr>
            </w:pPr>
            <w:r>
              <w:rPr>
                <w:color w:val="000000"/>
                <w:kern w:val="0"/>
                <w:szCs w:val="21"/>
              </w:rPr>
              <w:t>4.27</w:t>
            </w:r>
          </w:p>
        </w:tc>
        <w:tc>
          <w:tcPr>
            <w:tcW w:w="1861" w:type="dxa"/>
            <w:shd w:val="clear" w:color="auto" w:fill="D8D8D8" w:themeFill="background1" w:themeFillShade="D9"/>
            <w:vAlign w:val="bottom"/>
          </w:tcPr>
          <w:p>
            <w:pPr>
              <w:widowControl/>
              <w:jc w:val="center"/>
              <w:textAlignment w:val="center"/>
              <w:rPr>
                <w:color w:val="000000"/>
                <w:kern w:val="0"/>
                <w:szCs w:val="21"/>
              </w:rPr>
            </w:pPr>
            <w:r>
              <w:rPr>
                <w:color w:val="000000"/>
                <w:kern w:val="0"/>
                <w:szCs w:val="21"/>
              </w:rPr>
              <w:t>0.00085</w:t>
            </w:r>
          </w:p>
        </w:tc>
        <w:tc>
          <w:tcPr>
            <w:tcW w:w="1867" w:type="dxa"/>
            <w:shd w:val="clear" w:color="auto" w:fill="D8D8D8" w:themeFill="background1" w:themeFillShade="D9"/>
            <w:vAlign w:val="bottom"/>
          </w:tcPr>
          <w:p>
            <w:pPr>
              <w:widowControl/>
              <w:jc w:val="center"/>
              <w:textAlignment w:val="center"/>
              <w:rPr>
                <w:color w:val="000000"/>
                <w:kern w:val="0"/>
                <w:szCs w:val="21"/>
              </w:rPr>
            </w:pPr>
            <w:r>
              <w:rPr>
                <w:color w:val="000000"/>
                <w:kern w:val="0"/>
                <w:szCs w:val="21"/>
              </w:rPr>
              <w:t>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600</w:t>
            </w:r>
          </w:p>
        </w:tc>
        <w:tc>
          <w:tcPr>
            <w:tcW w:w="1861" w:type="dxa"/>
            <w:vAlign w:val="bottom"/>
          </w:tcPr>
          <w:p>
            <w:pPr>
              <w:widowControl/>
              <w:jc w:val="center"/>
              <w:textAlignment w:val="center"/>
              <w:rPr>
                <w:color w:val="000000"/>
                <w:kern w:val="0"/>
                <w:szCs w:val="21"/>
              </w:rPr>
            </w:pPr>
            <w:r>
              <w:rPr>
                <w:color w:val="000000"/>
                <w:kern w:val="0"/>
                <w:szCs w:val="21"/>
              </w:rPr>
              <w:t>0.00719</w:t>
            </w:r>
          </w:p>
        </w:tc>
        <w:tc>
          <w:tcPr>
            <w:tcW w:w="1862" w:type="dxa"/>
            <w:vAlign w:val="bottom"/>
          </w:tcPr>
          <w:p>
            <w:pPr>
              <w:widowControl/>
              <w:jc w:val="center"/>
              <w:textAlignment w:val="center"/>
              <w:rPr>
                <w:color w:val="000000"/>
                <w:kern w:val="0"/>
                <w:szCs w:val="21"/>
              </w:rPr>
            </w:pPr>
            <w:r>
              <w:rPr>
                <w:color w:val="000000"/>
                <w:kern w:val="0"/>
                <w:szCs w:val="21"/>
              </w:rPr>
              <w:t>3.60</w:t>
            </w:r>
          </w:p>
        </w:tc>
        <w:tc>
          <w:tcPr>
            <w:tcW w:w="1861" w:type="dxa"/>
            <w:vAlign w:val="bottom"/>
          </w:tcPr>
          <w:p>
            <w:pPr>
              <w:widowControl/>
              <w:jc w:val="center"/>
              <w:textAlignment w:val="center"/>
              <w:rPr>
                <w:color w:val="000000"/>
                <w:kern w:val="0"/>
                <w:szCs w:val="21"/>
              </w:rPr>
            </w:pPr>
            <w:r>
              <w:rPr>
                <w:color w:val="000000"/>
                <w:kern w:val="0"/>
                <w:szCs w:val="21"/>
              </w:rPr>
              <w:t>0.00072</w:t>
            </w:r>
          </w:p>
        </w:tc>
        <w:tc>
          <w:tcPr>
            <w:tcW w:w="1867" w:type="dxa"/>
            <w:vAlign w:val="bottom"/>
          </w:tcPr>
          <w:p>
            <w:pPr>
              <w:widowControl/>
              <w:jc w:val="center"/>
              <w:textAlignment w:val="center"/>
              <w:rPr>
                <w:color w:val="000000"/>
                <w:kern w:val="0"/>
                <w:szCs w:val="21"/>
              </w:rPr>
            </w:pPr>
            <w:r>
              <w:rPr>
                <w:color w:val="000000"/>
                <w:kern w:val="0"/>
                <w:szCs w:val="21"/>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700</w:t>
            </w:r>
          </w:p>
        </w:tc>
        <w:tc>
          <w:tcPr>
            <w:tcW w:w="1861" w:type="dxa"/>
            <w:vAlign w:val="bottom"/>
          </w:tcPr>
          <w:p>
            <w:pPr>
              <w:widowControl/>
              <w:jc w:val="center"/>
              <w:textAlignment w:val="center"/>
              <w:rPr>
                <w:color w:val="000000"/>
                <w:kern w:val="0"/>
                <w:szCs w:val="21"/>
              </w:rPr>
            </w:pPr>
            <w:r>
              <w:rPr>
                <w:color w:val="000000"/>
                <w:kern w:val="0"/>
                <w:szCs w:val="21"/>
              </w:rPr>
              <w:t>0.00588</w:t>
            </w:r>
          </w:p>
        </w:tc>
        <w:tc>
          <w:tcPr>
            <w:tcW w:w="1862" w:type="dxa"/>
            <w:vAlign w:val="bottom"/>
          </w:tcPr>
          <w:p>
            <w:pPr>
              <w:widowControl/>
              <w:jc w:val="center"/>
              <w:textAlignment w:val="center"/>
              <w:rPr>
                <w:color w:val="000000"/>
                <w:kern w:val="0"/>
                <w:szCs w:val="21"/>
              </w:rPr>
            </w:pPr>
            <w:r>
              <w:rPr>
                <w:color w:val="000000"/>
                <w:kern w:val="0"/>
                <w:szCs w:val="21"/>
              </w:rPr>
              <w:t>2.94</w:t>
            </w:r>
          </w:p>
        </w:tc>
        <w:tc>
          <w:tcPr>
            <w:tcW w:w="1861" w:type="dxa"/>
            <w:vAlign w:val="bottom"/>
          </w:tcPr>
          <w:p>
            <w:pPr>
              <w:widowControl/>
              <w:jc w:val="center"/>
              <w:textAlignment w:val="center"/>
              <w:rPr>
                <w:color w:val="000000"/>
                <w:kern w:val="0"/>
                <w:szCs w:val="21"/>
              </w:rPr>
            </w:pPr>
            <w:r>
              <w:rPr>
                <w:color w:val="000000"/>
                <w:kern w:val="0"/>
                <w:szCs w:val="21"/>
              </w:rPr>
              <w:t>0.00059</w:t>
            </w:r>
          </w:p>
        </w:tc>
        <w:tc>
          <w:tcPr>
            <w:tcW w:w="1867" w:type="dxa"/>
            <w:vAlign w:val="bottom"/>
          </w:tcPr>
          <w:p>
            <w:pPr>
              <w:widowControl/>
              <w:jc w:val="center"/>
              <w:textAlignment w:val="center"/>
              <w:rPr>
                <w:color w:val="000000"/>
                <w:kern w:val="0"/>
                <w:szCs w:val="21"/>
              </w:rPr>
            </w:pPr>
            <w:r>
              <w:rPr>
                <w:color w:val="000000"/>
                <w:kern w:val="0"/>
                <w:szCs w:val="21"/>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800</w:t>
            </w:r>
          </w:p>
        </w:tc>
        <w:tc>
          <w:tcPr>
            <w:tcW w:w="1861" w:type="dxa"/>
            <w:vAlign w:val="bottom"/>
          </w:tcPr>
          <w:p>
            <w:pPr>
              <w:widowControl/>
              <w:jc w:val="center"/>
              <w:textAlignment w:val="center"/>
              <w:rPr>
                <w:color w:val="000000"/>
                <w:kern w:val="0"/>
                <w:szCs w:val="21"/>
              </w:rPr>
            </w:pPr>
            <w:r>
              <w:rPr>
                <w:color w:val="000000"/>
                <w:kern w:val="0"/>
                <w:szCs w:val="21"/>
              </w:rPr>
              <w:t>0.00616</w:t>
            </w:r>
          </w:p>
        </w:tc>
        <w:tc>
          <w:tcPr>
            <w:tcW w:w="1862" w:type="dxa"/>
            <w:vAlign w:val="bottom"/>
          </w:tcPr>
          <w:p>
            <w:pPr>
              <w:widowControl/>
              <w:jc w:val="center"/>
              <w:textAlignment w:val="center"/>
              <w:rPr>
                <w:color w:val="000000"/>
                <w:kern w:val="0"/>
                <w:szCs w:val="21"/>
              </w:rPr>
            </w:pPr>
            <w:r>
              <w:rPr>
                <w:color w:val="000000"/>
                <w:kern w:val="0"/>
                <w:szCs w:val="21"/>
              </w:rPr>
              <w:t>3.08</w:t>
            </w:r>
          </w:p>
        </w:tc>
        <w:tc>
          <w:tcPr>
            <w:tcW w:w="1861" w:type="dxa"/>
            <w:vAlign w:val="bottom"/>
          </w:tcPr>
          <w:p>
            <w:pPr>
              <w:widowControl/>
              <w:jc w:val="center"/>
              <w:textAlignment w:val="center"/>
              <w:rPr>
                <w:color w:val="000000"/>
                <w:kern w:val="0"/>
                <w:szCs w:val="21"/>
              </w:rPr>
            </w:pPr>
            <w:r>
              <w:rPr>
                <w:color w:val="000000"/>
                <w:kern w:val="0"/>
                <w:szCs w:val="21"/>
              </w:rPr>
              <w:t>0.00062</w:t>
            </w:r>
          </w:p>
        </w:tc>
        <w:tc>
          <w:tcPr>
            <w:tcW w:w="1867" w:type="dxa"/>
            <w:vAlign w:val="bottom"/>
          </w:tcPr>
          <w:p>
            <w:pPr>
              <w:widowControl/>
              <w:jc w:val="center"/>
              <w:textAlignment w:val="center"/>
              <w:rPr>
                <w:color w:val="000000"/>
                <w:kern w:val="0"/>
                <w:szCs w:val="21"/>
              </w:rPr>
            </w:pPr>
            <w:r>
              <w:rPr>
                <w:color w:val="000000"/>
                <w:kern w:val="0"/>
                <w:szCs w:val="21"/>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900</w:t>
            </w:r>
          </w:p>
        </w:tc>
        <w:tc>
          <w:tcPr>
            <w:tcW w:w="1861" w:type="dxa"/>
            <w:vAlign w:val="bottom"/>
          </w:tcPr>
          <w:p>
            <w:pPr>
              <w:widowControl/>
              <w:jc w:val="center"/>
              <w:textAlignment w:val="center"/>
              <w:rPr>
                <w:color w:val="000000"/>
                <w:kern w:val="0"/>
                <w:szCs w:val="21"/>
              </w:rPr>
            </w:pPr>
            <w:r>
              <w:rPr>
                <w:color w:val="000000"/>
                <w:kern w:val="0"/>
                <w:szCs w:val="21"/>
              </w:rPr>
              <w:t>0.00456</w:t>
            </w:r>
          </w:p>
        </w:tc>
        <w:tc>
          <w:tcPr>
            <w:tcW w:w="1862" w:type="dxa"/>
            <w:vAlign w:val="bottom"/>
          </w:tcPr>
          <w:p>
            <w:pPr>
              <w:widowControl/>
              <w:jc w:val="center"/>
              <w:textAlignment w:val="center"/>
              <w:rPr>
                <w:color w:val="000000"/>
                <w:kern w:val="0"/>
                <w:szCs w:val="21"/>
              </w:rPr>
            </w:pPr>
            <w:r>
              <w:rPr>
                <w:color w:val="000000"/>
                <w:kern w:val="0"/>
                <w:szCs w:val="21"/>
              </w:rPr>
              <w:t>2.28</w:t>
            </w:r>
          </w:p>
        </w:tc>
        <w:tc>
          <w:tcPr>
            <w:tcW w:w="1861" w:type="dxa"/>
            <w:vAlign w:val="bottom"/>
          </w:tcPr>
          <w:p>
            <w:pPr>
              <w:widowControl/>
              <w:jc w:val="center"/>
              <w:textAlignment w:val="center"/>
              <w:rPr>
                <w:color w:val="000000"/>
                <w:kern w:val="0"/>
                <w:szCs w:val="21"/>
              </w:rPr>
            </w:pPr>
            <w:r>
              <w:rPr>
                <w:color w:val="000000"/>
                <w:kern w:val="0"/>
                <w:szCs w:val="21"/>
              </w:rPr>
              <w:t>0.00046</w:t>
            </w:r>
          </w:p>
        </w:tc>
        <w:tc>
          <w:tcPr>
            <w:tcW w:w="1867" w:type="dxa"/>
            <w:vAlign w:val="bottom"/>
          </w:tcPr>
          <w:p>
            <w:pPr>
              <w:widowControl/>
              <w:jc w:val="center"/>
              <w:textAlignment w:val="center"/>
              <w:rPr>
                <w:color w:val="000000"/>
                <w:kern w:val="0"/>
                <w:szCs w:val="21"/>
              </w:rPr>
            </w:pPr>
            <w:r>
              <w:rPr>
                <w:color w:val="000000"/>
                <w:kern w:val="0"/>
                <w:szCs w:val="21"/>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szCs w:val="21"/>
              </w:rPr>
            </w:pPr>
            <w:r>
              <w:rPr>
                <w:color w:val="000000"/>
                <w:kern w:val="0"/>
                <w:szCs w:val="21"/>
              </w:rPr>
              <w:t>1000</w:t>
            </w:r>
          </w:p>
        </w:tc>
        <w:tc>
          <w:tcPr>
            <w:tcW w:w="1861" w:type="dxa"/>
            <w:vAlign w:val="bottom"/>
          </w:tcPr>
          <w:p>
            <w:pPr>
              <w:widowControl/>
              <w:jc w:val="center"/>
              <w:textAlignment w:val="center"/>
              <w:rPr>
                <w:color w:val="000000"/>
                <w:kern w:val="0"/>
                <w:szCs w:val="21"/>
              </w:rPr>
            </w:pPr>
            <w:r>
              <w:rPr>
                <w:color w:val="000000"/>
                <w:kern w:val="0"/>
                <w:szCs w:val="21"/>
              </w:rPr>
              <w:t>0.00421</w:t>
            </w:r>
          </w:p>
        </w:tc>
        <w:tc>
          <w:tcPr>
            <w:tcW w:w="1862" w:type="dxa"/>
            <w:vAlign w:val="bottom"/>
          </w:tcPr>
          <w:p>
            <w:pPr>
              <w:widowControl/>
              <w:jc w:val="center"/>
              <w:textAlignment w:val="center"/>
              <w:rPr>
                <w:color w:val="000000"/>
                <w:kern w:val="0"/>
                <w:szCs w:val="21"/>
              </w:rPr>
            </w:pPr>
            <w:r>
              <w:rPr>
                <w:color w:val="000000"/>
                <w:kern w:val="0"/>
                <w:szCs w:val="21"/>
              </w:rPr>
              <w:t>2.10</w:t>
            </w:r>
          </w:p>
        </w:tc>
        <w:tc>
          <w:tcPr>
            <w:tcW w:w="1861" w:type="dxa"/>
            <w:vAlign w:val="bottom"/>
          </w:tcPr>
          <w:p>
            <w:pPr>
              <w:widowControl/>
              <w:jc w:val="center"/>
              <w:textAlignment w:val="center"/>
              <w:rPr>
                <w:color w:val="000000"/>
                <w:kern w:val="0"/>
                <w:szCs w:val="21"/>
              </w:rPr>
            </w:pPr>
            <w:r>
              <w:rPr>
                <w:color w:val="000000"/>
                <w:kern w:val="0"/>
                <w:szCs w:val="21"/>
              </w:rPr>
              <w:t>0.00042</w:t>
            </w:r>
          </w:p>
        </w:tc>
        <w:tc>
          <w:tcPr>
            <w:tcW w:w="1867" w:type="dxa"/>
            <w:vAlign w:val="bottom"/>
          </w:tcPr>
          <w:p>
            <w:pPr>
              <w:widowControl/>
              <w:jc w:val="center"/>
              <w:textAlignment w:val="center"/>
              <w:rPr>
                <w:color w:val="000000"/>
                <w:kern w:val="0"/>
                <w:szCs w:val="21"/>
              </w:rPr>
            </w:pPr>
            <w:r>
              <w:rPr>
                <w:color w:val="000000"/>
                <w:kern w:val="0"/>
                <w:szCs w:val="21"/>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shd w:val="clear" w:color="auto" w:fill="auto"/>
            <w:vAlign w:val="center"/>
          </w:tcPr>
          <w:p>
            <w:pPr>
              <w:widowControl/>
              <w:jc w:val="center"/>
              <w:textAlignment w:val="center"/>
              <w:rPr>
                <w:szCs w:val="21"/>
              </w:rPr>
            </w:pPr>
            <w:r>
              <w:rPr>
                <w:szCs w:val="21"/>
              </w:rPr>
              <w:t>1500</w:t>
            </w:r>
          </w:p>
        </w:tc>
        <w:tc>
          <w:tcPr>
            <w:tcW w:w="1861" w:type="dxa"/>
            <w:shd w:val="clear" w:color="auto" w:fill="auto"/>
            <w:vAlign w:val="bottom"/>
          </w:tcPr>
          <w:p>
            <w:pPr>
              <w:widowControl/>
              <w:jc w:val="center"/>
              <w:textAlignment w:val="center"/>
              <w:rPr>
                <w:color w:val="000000"/>
                <w:kern w:val="0"/>
                <w:szCs w:val="21"/>
              </w:rPr>
            </w:pPr>
            <w:r>
              <w:rPr>
                <w:color w:val="000000"/>
                <w:kern w:val="0"/>
                <w:szCs w:val="21"/>
              </w:rPr>
              <w:t>0.00448</w:t>
            </w:r>
          </w:p>
        </w:tc>
        <w:tc>
          <w:tcPr>
            <w:tcW w:w="1862" w:type="dxa"/>
            <w:shd w:val="clear" w:color="auto" w:fill="auto"/>
            <w:vAlign w:val="bottom"/>
          </w:tcPr>
          <w:p>
            <w:pPr>
              <w:widowControl/>
              <w:jc w:val="center"/>
              <w:textAlignment w:val="center"/>
              <w:rPr>
                <w:color w:val="000000"/>
                <w:kern w:val="0"/>
                <w:szCs w:val="21"/>
              </w:rPr>
            </w:pPr>
            <w:r>
              <w:rPr>
                <w:color w:val="000000"/>
                <w:kern w:val="0"/>
                <w:szCs w:val="21"/>
              </w:rPr>
              <w:t>2.24</w:t>
            </w:r>
          </w:p>
        </w:tc>
        <w:tc>
          <w:tcPr>
            <w:tcW w:w="1861" w:type="dxa"/>
            <w:shd w:val="clear" w:color="auto" w:fill="auto"/>
            <w:vAlign w:val="bottom"/>
          </w:tcPr>
          <w:p>
            <w:pPr>
              <w:widowControl/>
              <w:jc w:val="center"/>
              <w:textAlignment w:val="center"/>
              <w:rPr>
                <w:color w:val="000000"/>
                <w:kern w:val="0"/>
                <w:szCs w:val="21"/>
              </w:rPr>
            </w:pPr>
            <w:r>
              <w:rPr>
                <w:color w:val="000000"/>
                <w:kern w:val="0"/>
                <w:szCs w:val="21"/>
              </w:rPr>
              <w:t>0.00045</w:t>
            </w:r>
          </w:p>
        </w:tc>
        <w:tc>
          <w:tcPr>
            <w:tcW w:w="1867" w:type="dxa"/>
            <w:shd w:val="clear" w:color="auto" w:fill="auto"/>
            <w:vAlign w:val="bottom"/>
          </w:tcPr>
          <w:p>
            <w:pPr>
              <w:widowControl/>
              <w:jc w:val="center"/>
              <w:textAlignment w:val="center"/>
              <w:rPr>
                <w:color w:val="000000"/>
                <w:kern w:val="0"/>
                <w:szCs w:val="21"/>
              </w:rPr>
            </w:pPr>
            <w:r>
              <w:rPr>
                <w:color w:val="000000"/>
                <w:kern w:val="0"/>
                <w:szCs w:val="21"/>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color w:val="000000"/>
                <w:kern w:val="0"/>
                <w:szCs w:val="21"/>
              </w:rPr>
            </w:pPr>
            <w:r>
              <w:rPr>
                <w:color w:val="000000"/>
                <w:kern w:val="0"/>
                <w:szCs w:val="21"/>
              </w:rPr>
              <w:t>2000</w:t>
            </w:r>
          </w:p>
        </w:tc>
        <w:tc>
          <w:tcPr>
            <w:tcW w:w="1861" w:type="dxa"/>
            <w:vAlign w:val="bottom"/>
          </w:tcPr>
          <w:p>
            <w:pPr>
              <w:widowControl/>
              <w:jc w:val="center"/>
              <w:textAlignment w:val="center"/>
              <w:rPr>
                <w:color w:val="000000"/>
                <w:kern w:val="0"/>
                <w:szCs w:val="21"/>
              </w:rPr>
            </w:pPr>
            <w:r>
              <w:rPr>
                <w:color w:val="000000"/>
                <w:kern w:val="0"/>
                <w:szCs w:val="21"/>
              </w:rPr>
              <w:t>0.00359</w:t>
            </w:r>
          </w:p>
        </w:tc>
        <w:tc>
          <w:tcPr>
            <w:tcW w:w="1862" w:type="dxa"/>
            <w:vAlign w:val="bottom"/>
          </w:tcPr>
          <w:p>
            <w:pPr>
              <w:widowControl/>
              <w:jc w:val="center"/>
              <w:textAlignment w:val="center"/>
              <w:rPr>
                <w:color w:val="000000"/>
                <w:kern w:val="0"/>
                <w:szCs w:val="21"/>
              </w:rPr>
            </w:pPr>
            <w:r>
              <w:rPr>
                <w:color w:val="000000"/>
                <w:kern w:val="0"/>
                <w:szCs w:val="21"/>
              </w:rPr>
              <w:t>1.79</w:t>
            </w:r>
          </w:p>
        </w:tc>
        <w:tc>
          <w:tcPr>
            <w:tcW w:w="1861" w:type="dxa"/>
            <w:vAlign w:val="bottom"/>
          </w:tcPr>
          <w:p>
            <w:pPr>
              <w:widowControl/>
              <w:jc w:val="center"/>
              <w:textAlignment w:val="center"/>
              <w:rPr>
                <w:color w:val="000000"/>
                <w:kern w:val="0"/>
                <w:szCs w:val="21"/>
              </w:rPr>
            </w:pPr>
            <w:r>
              <w:rPr>
                <w:color w:val="000000"/>
                <w:kern w:val="0"/>
                <w:szCs w:val="21"/>
              </w:rPr>
              <w:t>0.00036</w:t>
            </w:r>
          </w:p>
        </w:tc>
        <w:tc>
          <w:tcPr>
            <w:tcW w:w="1867" w:type="dxa"/>
            <w:vAlign w:val="bottom"/>
          </w:tcPr>
          <w:p>
            <w:pPr>
              <w:widowControl/>
              <w:jc w:val="center"/>
              <w:textAlignment w:val="center"/>
              <w:rPr>
                <w:color w:val="000000"/>
                <w:kern w:val="0"/>
                <w:szCs w:val="21"/>
              </w:rPr>
            </w:pPr>
            <w:r>
              <w:rPr>
                <w:color w:val="000000"/>
                <w:kern w:val="0"/>
                <w:szCs w:val="21"/>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7" w:type="dxa"/>
            <w:vAlign w:val="center"/>
          </w:tcPr>
          <w:p>
            <w:pPr>
              <w:widowControl/>
              <w:jc w:val="center"/>
              <w:textAlignment w:val="center"/>
              <w:rPr>
                <w:color w:val="000000"/>
                <w:kern w:val="0"/>
                <w:szCs w:val="21"/>
              </w:rPr>
            </w:pPr>
            <w:r>
              <w:rPr>
                <w:color w:val="000000"/>
                <w:kern w:val="0"/>
                <w:szCs w:val="21"/>
              </w:rPr>
              <w:t>2500</w:t>
            </w:r>
          </w:p>
        </w:tc>
        <w:tc>
          <w:tcPr>
            <w:tcW w:w="1861" w:type="dxa"/>
            <w:vAlign w:val="bottom"/>
          </w:tcPr>
          <w:p>
            <w:pPr>
              <w:widowControl/>
              <w:jc w:val="center"/>
              <w:textAlignment w:val="center"/>
              <w:rPr>
                <w:color w:val="000000"/>
                <w:kern w:val="0"/>
                <w:szCs w:val="21"/>
              </w:rPr>
            </w:pPr>
            <w:r>
              <w:rPr>
                <w:color w:val="000000"/>
                <w:kern w:val="0"/>
                <w:szCs w:val="21"/>
              </w:rPr>
              <w:t>0.00225</w:t>
            </w:r>
          </w:p>
        </w:tc>
        <w:tc>
          <w:tcPr>
            <w:tcW w:w="1862" w:type="dxa"/>
            <w:vAlign w:val="bottom"/>
          </w:tcPr>
          <w:p>
            <w:pPr>
              <w:widowControl/>
              <w:jc w:val="center"/>
              <w:textAlignment w:val="center"/>
              <w:rPr>
                <w:color w:val="000000"/>
                <w:kern w:val="0"/>
                <w:szCs w:val="21"/>
              </w:rPr>
            </w:pPr>
            <w:r>
              <w:rPr>
                <w:color w:val="000000"/>
                <w:kern w:val="0"/>
                <w:szCs w:val="21"/>
              </w:rPr>
              <w:t>1.13</w:t>
            </w:r>
          </w:p>
        </w:tc>
        <w:tc>
          <w:tcPr>
            <w:tcW w:w="1861" w:type="dxa"/>
            <w:vAlign w:val="bottom"/>
          </w:tcPr>
          <w:p>
            <w:pPr>
              <w:widowControl/>
              <w:jc w:val="center"/>
              <w:textAlignment w:val="center"/>
              <w:rPr>
                <w:color w:val="000000"/>
                <w:kern w:val="0"/>
                <w:szCs w:val="21"/>
              </w:rPr>
            </w:pPr>
            <w:r>
              <w:rPr>
                <w:color w:val="000000"/>
                <w:kern w:val="0"/>
                <w:szCs w:val="21"/>
              </w:rPr>
              <w:t>0.00023</w:t>
            </w:r>
          </w:p>
        </w:tc>
        <w:tc>
          <w:tcPr>
            <w:tcW w:w="1867" w:type="dxa"/>
            <w:vAlign w:val="bottom"/>
          </w:tcPr>
          <w:p>
            <w:pPr>
              <w:widowControl/>
              <w:jc w:val="center"/>
              <w:textAlignment w:val="center"/>
              <w:rPr>
                <w:color w:val="000000"/>
                <w:kern w:val="0"/>
                <w:szCs w:val="21"/>
              </w:rPr>
            </w:pPr>
            <w:r>
              <w:rPr>
                <w:color w:val="000000"/>
                <w:kern w:val="0"/>
                <w:szCs w:val="21"/>
              </w:rPr>
              <w:t>2.25</w:t>
            </w:r>
          </w:p>
        </w:tc>
      </w:tr>
    </w:tbl>
    <w:p>
      <w:pPr>
        <w:spacing w:line="480" w:lineRule="exact"/>
        <w:rPr>
          <w:b/>
          <w:sz w:val="24"/>
          <w:szCs w:val="24"/>
        </w:rPr>
      </w:pPr>
    </w:p>
    <w:p>
      <w:pPr>
        <w:spacing w:line="480" w:lineRule="exact"/>
        <w:rPr>
          <w:b/>
          <w:sz w:val="24"/>
          <w:szCs w:val="24"/>
        </w:rPr>
      </w:pPr>
    </w:p>
    <w:p>
      <w:pPr>
        <w:spacing w:line="480" w:lineRule="exact"/>
        <w:rPr>
          <w:b/>
          <w:sz w:val="24"/>
          <w:szCs w:val="24"/>
        </w:rPr>
      </w:pPr>
    </w:p>
    <w:p>
      <w:pPr>
        <w:spacing w:line="480" w:lineRule="exact"/>
        <w:rPr>
          <w:b/>
          <w:sz w:val="24"/>
          <w:szCs w:val="24"/>
        </w:rPr>
      </w:pPr>
    </w:p>
    <w:p>
      <w:pPr>
        <w:spacing w:line="480" w:lineRule="exact"/>
        <w:rPr>
          <w:b/>
          <w:sz w:val="24"/>
          <w:szCs w:val="24"/>
        </w:rPr>
      </w:pPr>
    </w:p>
    <w:p>
      <w:pPr>
        <w:spacing w:line="480" w:lineRule="exact"/>
        <w:rPr>
          <w:rFonts w:hint="eastAsia"/>
          <w:b/>
          <w:sz w:val="24"/>
          <w:szCs w:val="24"/>
        </w:rPr>
      </w:pPr>
    </w:p>
    <w:p>
      <w:pPr>
        <w:spacing w:line="480" w:lineRule="exact"/>
        <w:rPr>
          <w:b/>
          <w:sz w:val="24"/>
          <w:szCs w:val="24"/>
        </w:rPr>
        <w:sectPr>
          <w:pgSz w:w="11906" w:h="16838"/>
          <w:pgMar w:top="1418" w:right="1531" w:bottom="1418" w:left="1531" w:header="851" w:footer="992" w:gutter="0"/>
          <w:cols w:space="425" w:num="1"/>
          <w:docGrid w:type="linesAndChars" w:linePitch="312" w:charSpace="0"/>
        </w:sectPr>
      </w:pPr>
    </w:p>
    <w:p>
      <w:pPr>
        <w:spacing w:line="480" w:lineRule="exact"/>
        <w:jc w:val="center"/>
        <w:rPr>
          <w:rFonts w:ascii="黑体" w:hAnsi="黑体" w:eastAsia="黑体"/>
          <w:bCs/>
          <w:spacing w:val="6"/>
          <w:sz w:val="24"/>
        </w:rPr>
      </w:pPr>
      <w:r>
        <w:rPr>
          <w:rFonts w:hint="eastAsia" w:ascii="黑体" w:hAnsi="黑体" w:eastAsia="黑体"/>
          <w:bCs/>
          <w:spacing w:val="6"/>
          <w:sz w:val="24"/>
        </w:rPr>
        <w:t>表5.2-5c  鸡舍面源估算模型计算结果</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8"/>
        <w:gridCol w:w="3333"/>
        <w:gridCol w:w="2432"/>
        <w:gridCol w:w="3213"/>
        <w:gridCol w:w="2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Merge w:val="restart"/>
            <w:vAlign w:val="center"/>
          </w:tcPr>
          <w:p>
            <w:pPr>
              <w:snapToGrid w:val="0"/>
              <w:jc w:val="center"/>
              <w:rPr>
                <w:bCs/>
                <w:spacing w:val="6"/>
                <w:szCs w:val="21"/>
              </w:rPr>
            </w:pPr>
            <w:bookmarkStart w:id="90" w:name="_Hlk8828340"/>
            <w:r>
              <w:rPr>
                <w:bCs/>
                <w:spacing w:val="6"/>
                <w:szCs w:val="21"/>
              </w:rPr>
              <w:t>下风向距离（m）</w:t>
            </w:r>
          </w:p>
        </w:tc>
        <w:tc>
          <w:tcPr>
            <w:tcW w:w="2060" w:type="pct"/>
            <w:gridSpan w:val="2"/>
            <w:vAlign w:val="center"/>
          </w:tcPr>
          <w:p>
            <w:pPr>
              <w:snapToGrid w:val="0"/>
              <w:jc w:val="center"/>
              <w:rPr>
                <w:bCs/>
                <w:spacing w:val="6"/>
                <w:szCs w:val="21"/>
              </w:rPr>
            </w:pPr>
            <w:r>
              <w:rPr>
                <w:rFonts w:hint="eastAsia"/>
                <w:bCs/>
                <w:spacing w:val="6"/>
                <w:szCs w:val="21"/>
              </w:rPr>
              <w:t>氨</w:t>
            </w:r>
          </w:p>
        </w:tc>
        <w:tc>
          <w:tcPr>
            <w:tcW w:w="2015" w:type="pct"/>
            <w:gridSpan w:val="2"/>
            <w:vAlign w:val="center"/>
          </w:tcPr>
          <w:p>
            <w:pPr>
              <w:snapToGrid w:val="0"/>
              <w:jc w:val="center"/>
              <w:rPr>
                <w:bCs/>
                <w:spacing w:val="6"/>
                <w:szCs w:val="21"/>
              </w:rPr>
            </w:pPr>
            <w:r>
              <w:rPr>
                <w:bCs/>
                <w:spacing w:val="6"/>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Merge w:val="continue"/>
            <w:vAlign w:val="center"/>
          </w:tcPr>
          <w:p>
            <w:pPr>
              <w:snapToGrid w:val="0"/>
              <w:jc w:val="center"/>
              <w:rPr>
                <w:bCs/>
                <w:spacing w:val="6"/>
                <w:szCs w:val="21"/>
              </w:rPr>
            </w:pPr>
          </w:p>
        </w:tc>
        <w:tc>
          <w:tcPr>
            <w:tcW w:w="1191" w:type="pct"/>
            <w:vAlign w:val="center"/>
          </w:tcPr>
          <w:p>
            <w:pPr>
              <w:snapToGrid w:val="0"/>
              <w:jc w:val="center"/>
              <w:rPr>
                <w:bCs/>
                <w:spacing w:val="6"/>
                <w:szCs w:val="21"/>
              </w:rPr>
            </w:pPr>
            <w:r>
              <w:rPr>
                <w:bCs/>
                <w:spacing w:val="6"/>
                <w:szCs w:val="21"/>
              </w:rPr>
              <w:t>预测质量浓度</w:t>
            </w:r>
            <w:r>
              <w:rPr>
                <w:kern w:val="0"/>
                <w:szCs w:val="21"/>
              </w:rPr>
              <w:t>（mg/m</w:t>
            </w:r>
            <w:r>
              <w:rPr>
                <w:kern w:val="0"/>
                <w:szCs w:val="21"/>
                <w:vertAlign w:val="superscript"/>
              </w:rPr>
              <w:t>3</w:t>
            </w:r>
            <w:r>
              <w:rPr>
                <w:kern w:val="0"/>
                <w:szCs w:val="21"/>
              </w:rPr>
              <w:t>）</w:t>
            </w:r>
          </w:p>
        </w:tc>
        <w:tc>
          <w:tcPr>
            <w:tcW w:w="869" w:type="pct"/>
            <w:vAlign w:val="center"/>
          </w:tcPr>
          <w:p>
            <w:pPr>
              <w:snapToGrid w:val="0"/>
              <w:jc w:val="center"/>
              <w:rPr>
                <w:bCs/>
                <w:spacing w:val="6"/>
                <w:szCs w:val="21"/>
              </w:rPr>
            </w:pPr>
            <w:r>
              <w:rPr>
                <w:bCs/>
                <w:spacing w:val="6"/>
                <w:szCs w:val="21"/>
              </w:rPr>
              <w:t>占标率（%）</w:t>
            </w:r>
          </w:p>
        </w:tc>
        <w:tc>
          <w:tcPr>
            <w:tcW w:w="1148" w:type="pct"/>
            <w:tcBorders>
              <w:right w:val="single" w:color="000000" w:sz="2" w:space="0"/>
            </w:tcBorders>
            <w:vAlign w:val="center"/>
          </w:tcPr>
          <w:p>
            <w:pPr>
              <w:snapToGrid w:val="0"/>
              <w:jc w:val="center"/>
              <w:rPr>
                <w:bCs/>
                <w:spacing w:val="6"/>
                <w:szCs w:val="21"/>
              </w:rPr>
            </w:pPr>
            <w:r>
              <w:rPr>
                <w:bCs/>
                <w:spacing w:val="6"/>
                <w:szCs w:val="21"/>
              </w:rPr>
              <w:t>预测质量浓度</w:t>
            </w:r>
            <w:r>
              <w:rPr>
                <w:kern w:val="0"/>
                <w:szCs w:val="21"/>
              </w:rPr>
              <w:t>（mg/m</w:t>
            </w:r>
            <w:r>
              <w:rPr>
                <w:kern w:val="0"/>
                <w:szCs w:val="21"/>
                <w:vertAlign w:val="superscript"/>
              </w:rPr>
              <w:t>3</w:t>
            </w:r>
            <w:r>
              <w:rPr>
                <w:kern w:val="0"/>
                <w:szCs w:val="21"/>
              </w:rPr>
              <w:t>）</w:t>
            </w:r>
          </w:p>
        </w:tc>
        <w:tc>
          <w:tcPr>
            <w:tcW w:w="867" w:type="pct"/>
            <w:tcBorders>
              <w:left w:val="single" w:color="000000" w:sz="2" w:space="0"/>
            </w:tcBorders>
            <w:vAlign w:val="center"/>
          </w:tcPr>
          <w:p>
            <w:pPr>
              <w:snapToGrid w:val="0"/>
              <w:jc w:val="center"/>
              <w:rPr>
                <w:bCs/>
                <w:spacing w:val="6"/>
                <w:szCs w:val="21"/>
              </w:rPr>
            </w:pPr>
            <w:r>
              <w:rPr>
                <w:bCs/>
                <w:spacing w:val="6"/>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widowControl/>
              <w:jc w:val="center"/>
              <w:rPr>
                <w:rFonts w:eastAsia="等线"/>
                <w:color w:val="000000"/>
                <w:szCs w:val="21"/>
              </w:rPr>
            </w:pPr>
            <w:r>
              <w:rPr>
                <w:rFonts w:eastAsia="等线"/>
                <w:color w:val="000000"/>
                <w:szCs w:val="21"/>
              </w:rPr>
              <w:t>10</w:t>
            </w:r>
          </w:p>
        </w:tc>
        <w:tc>
          <w:tcPr>
            <w:tcW w:w="1191" w:type="pct"/>
            <w:vAlign w:val="bottom"/>
          </w:tcPr>
          <w:p>
            <w:pPr>
              <w:widowControl/>
              <w:jc w:val="center"/>
              <w:rPr>
                <w:rFonts w:eastAsia="等线"/>
                <w:color w:val="000000"/>
                <w:szCs w:val="21"/>
              </w:rPr>
            </w:pPr>
            <w:r>
              <w:rPr>
                <w:rFonts w:eastAsia="等线"/>
                <w:color w:val="000000"/>
                <w:szCs w:val="21"/>
              </w:rPr>
              <w:t>0.00269</w:t>
            </w:r>
          </w:p>
        </w:tc>
        <w:tc>
          <w:tcPr>
            <w:tcW w:w="869" w:type="pct"/>
            <w:vAlign w:val="bottom"/>
          </w:tcPr>
          <w:p>
            <w:pPr>
              <w:widowControl/>
              <w:jc w:val="center"/>
              <w:rPr>
                <w:rFonts w:eastAsia="等线"/>
                <w:color w:val="000000"/>
                <w:szCs w:val="21"/>
              </w:rPr>
            </w:pPr>
            <w:r>
              <w:rPr>
                <w:rFonts w:eastAsia="等线"/>
                <w:color w:val="000000"/>
                <w:szCs w:val="21"/>
              </w:rPr>
              <w:t>1.34</w:t>
            </w:r>
          </w:p>
        </w:tc>
        <w:tc>
          <w:tcPr>
            <w:tcW w:w="1148" w:type="pct"/>
            <w:vAlign w:val="bottom"/>
          </w:tcPr>
          <w:p>
            <w:pPr>
              <w:widowControl/>
              <w:jc w:val="center"/>
              <w:rPr>
                <w:rFonts w:eastAsia="等线"/>
                <w:color w:val="000000"/>
                <w:szCs w:val="21"/>
              </w:rPr>
            </w:pPr>
            <w:r>
              <w:rPr>
                <w:rFonts w:eastAsia="等线"/>
                <w:color w:val="000000"/>
                <w:szCs w:val="21"/>
              </w:rPr>
              <w:t>0.00027</w:t>
            </w:r>
          </w:p>
        </w:tc>
        <w:tc>
          <w:tcPr>
            <w:tcW w:w="867" w:type="pct"/>
            <w:vAlign w:val="bottom"/>
          </w:tcPr>
          <w:p>
            <w:pPr>
              <w:widowControl/>
              <w:jc w:val="center"/>
              <w:rPr>
                <w:rFonts w:eastAsia="等线"/>
                <w:color w:val="000000"/>
                <w:szCs w:val="21"/>
              </w:rPr>
            </w:pPr>
            <w:r>
              <w:rPr>
                <w:rFonts w:eastAsia="等线"/>
                <w:color w:val="000000"/>
                <w:szCs w:val="21"/>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shd w:val="clear" w:color="auto" w:fill="auto"/>
            <w:vAlign w:val="center"/>
          </w:tcPr>
          <w:p>
            <w:pPr>
              <w:widowControl/>
              <w:jc w:val="center"/>
              <w:rPr>
                <w:rFonts w:eastAsia="等线"/>
                <w:color w:val="000000"/>
                <w:szCs w:val="21"/>
              </w:rPr>
            </w:pPr>
            <w:r>
              <w:rPr>
                <w:rFonts w:eastAsia="等线"/>
                <w:color w:val="000000"/>
                <w:szCs w:val="21"/>
              </w:rPr>
              <w:t>50</w:t>
            </w:r>
          </w:p>
        </w:tc>
        <w:tc>
          <w:tcPr>
            <w:tcW w:w="1191" w:type="pct"/>
            <w:shd w:val="clear" w:color="auto" w:fill="auto"/>
            <w:vAlign w:val="bottom"/>
          </w:tcPr>
          <w:p>
            <w:pPr>
              <w:jc w:val="center"/>
              <w:rPr>
                <w:rFonts w:eastAsia="等线"/>
                <w:color w:val="000000"/>
                <w:szCs w:val="21"/>
              </w:rPr>
            </w:pPr>
            <w:r>
              <w:rPr>
                <w:rFonts w:eastAsia="等线"/>
                <w:color w:val="000000"/>
                <w:szCs w:val="21"/>
              </w:rPr>
              <w:t>0.00405</w:t>
            </w:r>
          </w:p>
        </w:tc>
        <w:tc>
          <w:tcPr>
            <w:tcW w:w="869" w:type="pct"/>
            <w:shd w:val="clear" w:color="auto" w:fill="auto"/>
            <w:vAlign w:val="bottom"/>
          </w:tcPr>
          <w:p>
            <w:pPr>
              <w:jc w:val="center"/>
              <w:rPr>
                <w:rFonts w:eastAsia="等线"/>
                <w:color w:val="000000"/>
                <w:szCs w:val="21"/>
              </w:rPr>
            </w:pPr>
            <w:r>
              <w:rPr>
                <w:rFonts w:eastAsia="等线"/>
                <w:color w:val="000000"/>
                <w:szCs w:val="21"/>
              </w:rPr>
              <w:t>2.02</w:t>
            </w:r>
          </w:p>
        </w:tc>
        <w:tc>
          <w:tcPr>
            <w:tcW w:w="1148" w:type="pct"/>
            <w:shd w:val="clear" w:color="auto" w:fill="auto"/>
            <w:vAlign w:val="bottom"/>
          </w:tcPr>
          <w:p>
            <w:pPr>
              <w:jc w:val="center"/>
              <w:rPr>
                <w:rFonts w:eastAsia="等线"/>
                <w:color w:val="000000"/>
                <w:szCs w:val="21"/>
              </w:rPr>
            </w:pPr>
            <w:r>
              <w:rPr>
                <w:rFonts w:eastAsia="等线"/>
                <w:color w:val="000000"/>
                <w:szCs w:val="21"/>
              </w:rPr>
              <w:t>0.00041</w:t>
            </w:r>
          </w:p>
        </w:tc>
        <w:tc>
          <w:tcPr>
            <w:tcW w:w="867" w:type="pct"/>
            <w:shd w:val="clear" w:color="auto" w:fill="auto"/>
            <w:vAlign w:val="bottom"/>
          </w:tcPr>
          <w:p>
            <w:pPr>
              <w:jc w:val="center"/>
              <w:rPr>
                <w:rFonts w:eastAsia="等线"/>
                <w:color w:val="000000"/>
                <w:szCs w:val="21"/>
              </w:rPr>
            </w:pPr>
            <w:r>
              <w:rPr>
                <w:rFonts w:eastAsia="等线"/>
                <w:color w:val="000000"/>
                <w:szCs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shd w:val="clear" w:color="auto" w:fill="auto"/>
            <w:vAlign w:val="center"/>
          </w:tcPr>
          <w:p>
            <w:pPr>
              <w:jc w:val="center"/>
              <w:rPr>
                <w:rFonts w:eastAsia="等线"/>
                <w:color w:val="000000"/>
                <w:szCs w:val="21"/>
              </w:rPr>
            </w:pPr>
            <w:r>
              <w:rPr>
                <w:rFonts w:eastAsia="等线"/>
                <w:color w:val="000000"/>
                <w:szCs w:val="21"/>
              </w:rPr>
              <w:t>100</w:t>
            </w:r>
          </w:p>
        </w:tc>
        <w:tc>
          <w:tcPr>
            <w:tcW w:w="1191" w:type="pct"/>
            <w:shd w:val="clear" w:color="auto" w:fill="auto"/>
            <w:vAlign w:val="bottom"/>
          </w:tcPr>
          <w:p>
            <w:pPr>
              <w:jc w:val="center"/>
              <w:rPr>
                <w:rFonts w:eastAsia="等线"/>
                <w:color w:val="000000"/>
                <w:szCs w:val="21"/>
              </w:rPr>
            </w:pPr>
            <w:r>
              <w:rPr>
                <w:rFonts w:eastAsia="等线"/>
                <w:color w:val="000000"/>
                <w:szCs w:val="21"/>
              </w:rPr>
              <w:t>0.00521</w:t>
            </w:r>
          </w:p>
        </w:tc>
        <w:tc>
          <w:tcPr>
            <w:tcW w:w="869" w:type="pct"/>
            <w:shd w:val="clear" w:color="auto" w:fill="auto"/>
            <w:vAlign w:val="bottom"/>
          </w:tcPr>
          <w:p>
            <w:pPr>
              <w:jc w:val="center"/>
              <w:rPr>
                <w:rFonts w:eastAsia="等线"/>
                <w:color w:val="000000"/>
                <w:szCs w:val="21"/>
              </w:rPr>
            </w:pPr>
            <w:r>
              <w:rPr>
                <w:rFonts w:eastAsia="等线"/>
                <w:color w:val="000000"/>
                <w:szCs w:val="21"/>
              </w:rPr>
              <w:t>2.61</w:t>
            </w:r>
          </w:p>
        </w:tc>
        <w:tc>
          <w:tcPr>
            <w:tcW w:w="1148" w:type="pct"/>
            <w:shd w:val="clear" w:color="auto" w:fill="auto"/>
            <w:vAlign w:val="bottom"/>
          </w:tcPr>
          <w:p>
            <w:pPr>
              <w:jc w:val="center"/>
              <w:rPr>
                <w:rFonts w:eastAsia="等线"/>
                <w:color w:val="000000"/>
                <w:szCs w:val="21"/>
              </w:rPr>
            </w:pPr>
            <w:r>
              <w:rPr>
                <w:rFonts w:eastAsia="等线"/>
                <w:color w:val="000000"/>
                <w:szCs w:val="21"/>
              </w:rPr>
              <w:t>0.00053</w:t>
            </w:r>
          </w:p>
        </w:tc>
        <w:tc>
          <w:tcPr>
            <w:tcW w:w="867" w:type="pct"/>
            <w:shd w:val="clear" w:color="auto" w:fill="auto"/>
            <w:vAlign w:val="bottom"/>
          </w:tcPr>
          <w:p>
            <w:pPr>
              <w:jc w:val="center"/>
              <w:rPr>
                <w:rFonts w:eastAsia="等线"/>
                <w:color w:val="000000"/>
                <w:szCs w:val="21"/>
              </w:rPr>
            </w:pPr>
            <w:r>
              <w:rPr>
                <w:rFonts w:eastAsia="等线"/>
                <w:color w:val="000000"/>
                <w:szCs w:val="21"/>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shd w:val="clear" w:color="auto" w:fill="D8D8D8" w:themeFill="background1" w:themeFillShade="D9"/>
            <w:vAlign w:val="center"/>
          </w:tcPr>
          <w:p>
            <w:pPr>
              <w:jc w:val="center"/>
              <w:rPr>
                <w:rFonts w:eastAsia="等线"/>
                <w:color w:val="000000"/>
                <w:szCs w:val="21"/>
              </w:rPr>
            </w:pPr>
            <w:r>
              <w:rPr>
                <w:rFonts w:eastAsia="等线"/>
                <w:color w:val="000000"/>
                <w:szCs w:val="21"/>
              </w:rPr>
              <w:t>102</w:t>
            </w:r>
          </w:p>
        </w:tc>
        <w:tc>
          <w:tcPr>
            <w:tcW w:w="1191" w:type="pct"/>
            <w:shd w:val="clear" w:color="auto" w:fill="D8D8D8" w:themeFill="background1" w:themeFillShade="D9"/>
            <w:vAlign w:val="bottom"/>
          </w:tcPr>
          <w:p>
            <w:pPr>
              <w:jc w:val="center"/>
              <w:rPr>
                <w:rFonts w:eastAsia="等线"/>
                <w:color w:val="000000"/>
                <w:szCs w:val="21"/>
              </w:rPr>
            </w:pPr>
            <w:r>
              <w:rPr>
                <w:rFonts w:eastAsia="等线"/>
                <w:color w:val="000000"/>
                <w:szCs w:val="21"/>
              </w:rPr>
              <w:t>0.00521</w:t>
            </w:r>
          </w:p>
        </w:tc>
        <w:tc>
          <w:tcPr>
            <w:tcW w:w="869" w:type="pct"/>
            <w:shd w:val="clear" w:color="auto" w:fill="D8D8D8" w:themeFill="background1" w:themeFillShade="D9"/>
            <w:vAlign w:val="bottom"/>
          </w:tcPr>
          <w:p>
            <w:pPr>
              <w:jc w:val="center"/>
              <w:rPr>
                <w:rFonts w:eastAsia="等线"/>
                <w:color w:val="000000"/>
                <w:szCs w:val="21"/>
              </w:rPr>
            </w:pPr>
            <w:r>
              <w:rPr>
                <w:rFonts w:eastAsia="等线"/>
                <w:color w:val="000000"/>
                <w:szCs w:val="21"/>
              </w:rPr>
              <w:t>2.61</w:t>
            </w:r>
          </w:p>
        </w:tc>
        <w:tc>
          <w:tcPr>
            <w:tcW w:w="1148" w:type="pct"/>
            <w:shd w:val="clear" w:color="auto" w:fill="D8D8D8" w:themeFill="background1" w:themeFillShade="D9"/>
            <w:vAlign w:val="bottom"/>
          </w:tcPr>
          <w:p>
            <w:pPr>
              <w:jc w:val="center"/>
              <w:rPr>
                <w:rFonts w:eastAsia="等线"/>
                <w:color w:val="000000"/>
                <w:szCs w:val="21"/>
              </w:rPr>
            </w:pPr>
            <w:r>
              <w:rPr>
                <w:rFonts w:eastAsia="等线"/>
                <w:color w:val="000000"/>
                <w:szCs w:val="21"/>
              </w:rPr>
              <w:t>0.00053</w:t>
            </w:r>
          </w:p>
        </w:tc>
        <w:tc>
          <w:tcPr>
            <w:tcW w:w="867" w:type="pct"/>
            <w:shd w:val="clear" w:color="auto" w:fill="D8D8D8" w:themeFill="background1" w:themeFillShade="D9"/>
            <w:vAlign w:val="bottom"/>
          </w:tcPr>
          <w:p>
            <w:pPr>
              <w:jc w:val="center"/>
              <w:rPr>
                <w:rFonts w:eastAsia="等线"/>
                <w:color w:val="000000"/>
                <w:szCs w:val="21"/>
              </w:rPr>
            </w:pPr>
            <w:r>
              <w:rPr>
                <w:rFonts w:eastAsia="等线"/>
                <w:color w:val="000000"/>
                <w:szCs w:val="21"/>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200</w:t>
            </w:r>
          </w:p>
        </w:tc>
        <w:tc>
          <w:tcPr>
            <w:tcW w:w="1191" w:type="pct"/>
            <w:vAlign w:val="bottom"/>
          </w:tcPr>
          <w:p>
            <w:pPr>
              <w:jc w:val="center"/>
              <w:rPr>
                <w:rFonts w:eastAsia="等线"/>
                <w:color w:val="000000"/>
                <w:szCs w:val="21"/>
              </w:rPr>
            </w:pPr>
            <w:r>
              <w:rPr>
                <w:rFonts w:eastAsia="等线"/>
                <w:color w:val="000000"/>
                <w:szCs w:val="21"/>
              </w:rPr>
              <w:t>0.00394</w:t>
            </w:r>
          </w:p>
        </w:tc>
        <w:tc>
          <w:tcPr>
            <w:tcW w:w="869" w:type="pct"/>
            <w:vAlign w:val="bottom"/>
          </w:tcPr>
          <w:p>
            <w:pPr>
              <w:jc w:val="center"/>
              <w:rPr>
                <w:rFonts w:eastAsia="等线"/>
                <w:color w:val="000000"/>
                <w:szCs w:val="21"/>
              </w:rPr>
            </w:pPr>
            <w:r>
              <w:rPr>
                <w:rFonts w:eastAsia="等线"/>
                <w:color w:val="000000"/>
                <w:szCs w:val="21"/>
              </w:rPr>
              <w:t>1.97</w:t>
            </w:r>
          </w:p>
        </w:tc>
        <w:tc>
          <w:tcPr>
            <w:tcW w:w="1148" w:type="pct"/>
            <w:vAlign w:val="bottom"/>
          </w:tcPr>
          <w:p>
            <w:pPr>
              <w:jc w:val="center"/>
              <w:rPr>
                <w:rFonts w:eastAsia="等线"/>
                <w:color w:val="000000"/>
                <w:szCs w:val="21"/>
              </w:rPr>
            </w:pPr>
            <w:r>
              <w:rPr>
                <w:rFonts w:eastAsia="等线"/>
                <w:color w:val="000000"/>
                <w:szCs w:val="21"/>
              </w:rPr>
              <w:t>0.00040</w:t>
            </w:r>
          </w:p>
        </w:tc>
        <w:tc>
          <w:tcPr>
            <w:tcW w:w="867" w:type="pct"/>
            <w:vAlign w:val="bottom"/>
          </w:tcPr>
          <w:p>
            <w:pPr>
              <w:jc w:val="center"/>
              <w:rPr>
                <w:rFonts w:eastAsia="等线"/>
                <w:color w:val="000000"/>
                <w:szCs w:val="21"/>
              </w:rPr>
            </w:pPr>
            <w:r>
              <w:rPr>
                <w:rFonts w:eastAsia="等线"/>
                <w:color w:val="000000"/>
                <w:szCs w:val="21"/>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300</w:t>
            </w:r>
          </w:p>
        </w:tc>
        <w:tc>
          <w:tcPr>
            <w:tcW w:w="1191" w:type="pct"/>
            <w:vAlign w:val="bottom"/>
          </w:tcPr>
          <w:p>
            <w:pPr>
              <w:jc w:val="center"/>
              <w:rPr>
                <w:rFonts w:eastAsia="等线"/>
                <w:color w:val="000000"/>
                <w:szCs w:val="21"/>
              </w:rPr>
            </w:pPr>
            <w:r>
              <w:rPr>
                <w:rFonts w:eastAsia="等线"/>
                <w:color w:val="000000"/>
                <w:szCs w:val="21"/>
              </w:rPr>
              <w:t>0.00307</w:t>
            </w:r>
          </w:p>
        </w:tc>
        <w:tc>
          <w:tcPr>
            <w:tcW w:w="869" w:type="pct"/>
            <w:vAlign w:val="bottom"/>
          </w:tcPr>
          <w:p>
            <w:pPr>
              <w:jc w:val="center"/>
              <w:rPr>
                <w:rFonts w:eastAsia="等线"/>
                <w:color w:val="000000"/>
                <w:szCs w:val="21"/>
              </w:rPr>
            </w:pPr>
            <w:r>
              <w:rPr>
                <w:rFonts w:eastAsia="等线"/>
                <w:color w:val="000000"/>
                <w:szCs w:val="21"/>
              </w:rPr>
              <w:t>1.53</w:t>
            </w:r>
          </w:p>
        </w:tc>
        <w:tc>
          <w:tcPr>
            <w:tcW w:w="1148" w:type="pct"/>
            <w:vAlign w:val="bottom"/>
          </w:tcPr>
          <w:p>
            <w:pPr>
              <w:jc w:val="center"/>
              <w:rPr>
                <w:rFonts w:eastAsia="等线"/>
                <w:color w:val="000000"/>
                <w:szCs w:val="21"/>
              </w:rPr>
            </w:pPr>
            <w:r>
              <w:rPr>
                <w:rFonts w:eastAsia="等线"/>
                <w:color w:val="000000"/>
                <w:szCs w:val="21"/>
              </w:rPr>
              <w:t>0.00031</w:t>
            </w:r>
          </w:p>
        </w:tc>
        <w:tc>
          <w:tcPr>
            <w:tcW w:w="867" w:type="pct"/>
            <w:vAlign w:val="bottom"/>
          </w:tcPr>
          <w:p>
            <w:pPr>
              <w:jc w:val="center"/>
              <w:rPr>
                <w:rFonts w:eastAsia="等线"/>
                <w:color w:val="000000"/>
                <w:szCs w:val="21"/>
              </w:rPr>
            </w:pPr>
            <w:r>
              <w:rPr>
                <w:rFonts w:eastAsia="等线"/>
                <w:color w:val="000000"/>
                <w:szCs w:val="21"/>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400</w:t>
            </w:r>
          </w:p>
        </w:tc>
        <w:tc>
          <w:tcPr>
            <w:tcW w:w="1191" w:type="pct"/>
            <w:vAlign w:val="bottom"/>
          </w:tcPr>
          <w:p>
            <w:pPr>
              <w:jc w:val="center"/>
              <w:rPr>
                <w:rFonts w:eastAsia="等线"/>
                <w:color w:val="000000"/>
                <w:szCs w:val="21"/>
              </w:rPr>
            </w:pPr>
            <w:r>
              <w:rPr>
                <w:rFonts w:eastAsia="等线"/>
                <w:color w:val="000000"/>
                <w:szCs w:val="21"/>
              </w:rPr>
              <w:t>0.00255</w:t>
            </w:r>
          </w:p>
        </w:tc>
        <w:tc>
          <w:tcPr>
            <w:tcW w:w="869" w:type="pct"/>
            <w:vAlign w:val="bottom"/>
          </w:tcPr>
          <w:p>
            <w:pPr>
              <w:jc w:val="center"/>
              <w:rPr>
                <w:rFonts w:eastAsia="等线"/>
                <w:color w:val="000000"/>
                <w:szCs w:val="21"/>
              </w:rPr>
            </w:pPr>
            <w:r>
              <w:rPr>
                <w:rFonts w:eastAsia="等线"/>
                <w:color w:val="000000"/>
                <w:szCs w:val="21"/>
              </w:rPr>
              <w:t>1.28</w:t>
            </w:r>
          </w:p>
        </w:tc>
        <w:tc>
          <w:tcPr>
            <w:tcW w:w="1148" w:type="pct"/>
            <w:vAlign w:val="bottom"/>
          </w:tcPr>
          <w:p>
            <w:pPr>
              <w:jc w:val="center"/>
              <w:rPr>
                <w:rFonts w:eastAsia="等线"/>
                <w:color w:val="000000"/>
                <w:szCs w:val="21"/>
              </w:rPr>
            </w:pPr>
            <w:r>
              <w:rPr>
                <w:rFonts w:eastAsia="等线"/>
                <w:color w:val="000000"/>
                <w:szCs w:val="21"/>
              </w:rPr>
              <w:t>0.00026</w:t>
            </w:r>
          </w:p>
        </w:tc>
        <w:tc>
          <w:tcPr>
            <w:tcW w:w="867" w:type="pct"/>
            <w:vAlign w:val="bottom"/>
          </w:tcPr>
          <w:p>
            <w:pPr>
              <w:jc w:val="center"/>
              <w:rPr>
                <w:rFonts w:eastAsia="等线"/>
                <w:color w:val="000000"/>
                <w:szCs w:val="21"/>
              </w:rPr>
            </w:pPr>
            <w:r>
              <w:rPr>
                <w:rFonts w:eastAsia="等线"/>
                <w:color w:val="000000"/>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500</w:t>
            </w:r>
          </w:p>
        </w:tc>
        <w:tc>
          <w:tcPr>
            <w:tcW w:w="1191" w:type="pct"/>
            <w:vAlign w:val="bottom"/>
          </w:tcPr>
          <w:p>
            <w:pPr>
              <w:jc w:val="center"/>
              <w:rPr>
                <w:rFonts w:eastAsia="等线"/>
                <w:color w:val="000000"/>
                <w:szCs w:val="21"/>
              </w:rPr>
            </w:pPr>
            <w:r>
              <w:rPr>
                <w:rFonts w:eastAsia="等线"/>
                <w:color w:val="000000"/>
                <w:szCs w:val="21"/>
              </w:rPr>
              <w:t>0.00228</w:t>
            </w:r>
          </w:p>
        </w:tc>
        <w:tc>
          <w:tcPr>
            <w:tcW w:w="869" w:type="pct"/>
            <w:vAlign w:val="bottom"/>
          </w:tcPr>
          <w:p>
            <w:pPr>
              <w:jc w:val="center"/>
              <w:rPr>
                <w:rFonts w:eastAsia="等线"/>
                <w:color w:val="000000"/>
                <w:szCs w:val="21"/>
              </w:rPr>
            </w:pPr>
            <w:r>
              <w:rPr>
                <w:rFonts w:eastAsia="等线"/>
                <w:color w:val="000000"/>
                <w:szCs w:val="21"/>
              </w:rPr>
              <w:t>1.14</w:t>
            </w:r>
          </w:p>
        </w:tc>
        <w:tc>
          <w:tcPr>
            <w:tcW w:w="1148" w:type="pct"/>
            <w:vAlign w:val="bottom"/>
          </w:tcPr>
          <w:p>
            <w:pPr>
              <w:jc w:val="center"/>
              <w:rPr>
                <w:rFonts w:eastAsia="等线"/>
                <w:color w:val="000000"/>
                <w:szCs w:val="21"/>
              </w:rPr>
            </w:pPr>
            <w:r>
              <w:rPr>
                <w:rFonts w:eastAsia="等线"/>
                <w:color w:val="000000"/>
                <w:szCs w:val="21"/>
              </w:rPr>
              <w:t>0.00023</w:t>
            </w:r>
          </w:p>
        </w:tc>
        <w:tc>
          <w:tcPr>
            <w:tcW w:w="867" w:type="pct"/>
            <w:vAlign w:val="bottom"/>
          </w:tcPr>
          <w:p>
            <w:pPr>
              <w:jc w:val="center"/>
              <w:rPr>
                <w:rFonts w:eastAsia="等线"/>
                <w:color w:val="000000"/>
                <w:szCs w:val="21"/>
              </w:rPr>
            </w:pPr>
            <w:r>
              <w:rPr>
                <w:rFonts w:eastAsia="等线"/>
                <w:color w:val="000000"/>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600</w:t>
            </w:r>
          </w:p>
        </w:tc>
        <w:tc>
          <w:tcPr>
            <w:tcW w:w="1191" w:type="pct"/>
            <w:vAlign w:val="bottom"/>
          </w:tcPr>
          <w:p>
            <w:pPr>
              <w:jc w:val="center"/>
              <w:rPr>
                <w:rFonts w:eastAsia="等线"/>
                <w:color w:val="000000"/>
                <w:szCs w:val="21"/>
              </w:rPr>
            </w:pPr>
            <w:r>
              <w:rPr>
                <w:rFonts w:eastAsia="等线"/>
                <w:color w:val="000000"/>
                <w:szCs w:val="21"/>
              </w:rPr>
              <w:t>0.00200</w:t>
            </w:r>
          </w:p>
        </w:tc>
        <w:tc>
          <w:tcPr>
            <w:tcW w:w="869" w:type="pct"/>
            <w:vAlign w:val="bottom"/>
          </w:tcPr>
          <w:p>
            <w:pPr>
              <w:jc w:val="center"/>
              <w:rPr>
                <w:rFonts w:eastAsia="等线"/>
                <w:color w:val="000000"/>
                <w:szCs w:val="21"/>
              </w:rPr>
            </w:pPr>
            <w:r>
              <w:rPr>
                <w:rFonts w:eastAsia="等线"/>
                <w:color w:val="000000"/>
                <w:szCs w:val="21"/>
              </w:rPr>
              <w:t>1.00</w:t>
            </w:r>
          </w:p>
        </w:tc>
        <w:tc>
          <w:tcPr>
            <w:tcW w:w="1148" w:type="pct"/>
            <w:vAlign w:val="bottom"/>
          </w:tcPr>
          <w:p>
            <w:pPr>
              <w:jc w:val="center"/>
              <w:rPr>
                <w:rFonts w:eastAsia="等线"/>
                <w:color w:val="000000"/>
                <w:szCs w:val="21"/>
              </w:rPr>
            </w:pPr>
            <w:r>
              <w:rPr>
                <w:rFonts w:eastAsia="等线"/>
                <w:color w:val="000000"/>
                <w:szCs w:val="21"/>
              </w:rPr>
              <w:t>0.00020</w:t>
            </w:r>
          </w:p>
        </w:tc>
        <w:tc>
          <w:tcPr>
            <w:tcW w:w="867" w:type="pct"/>
            <w:vAlign w:val="bottom"/>
          </w:tcPr>
          <w:p>
            <w:pPr>
              <w:jc w:val="center"/>
              <w:rPr>
                <w:rFonts w:eastAsia="等线"/>
                <w:color w:val="000000"/>
                <w:szCs w:val="21"/>
              </w:rPr>
            </w:pPr>
            <w:r>
              <w:rPr>
                <w:rFonts w:eastAsia="等线"/>
                <w:color w:val="000000"/>
                <w:szCs w:val="21"/>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700</w:t>
            </w:r>
          </w:p>
        </w:tc>
        <w:tc>
          <w:tcPr>
            <w:tcW w:w="1191" w:type="pct"/>
            <w:vAlign w:val="bottom"/>
          </w:tcPr>
          <w:p>
            <w:pPr>
              <w:jc w:val="center"/>
              <w:rPr>
                <w:rFonts w:eastAsia="等线"/>
                <w:color w:val="000000"/>
                <w:szCs w:val="21"/>
              </w:rPr>
            </w:pPr>
            <w:r>
              <w:rPr>
                <w:rFonts w:eastAsia="等线"/>
                <w:color w:val="000000"/>
                <w:szCs w:val="21"/>
              </w:rPr>
              <w:t>0.00179</w:t>
            </w:r>
          </w:p>
        </w:tc>
        <w:tc>
          <w:tcPr>
            <w:tcW w:w="869" w:type="pct"/>
            <w:vAlign w:val="bottom"/>
          </w:tcPr>
          <w:p>
            <w:pPr>
              <w:jc w:val="center"/>
              <w:rPr>
                <w:rFonts w:eastAsia="等线"/>
                <w:color w:val="000000"/>
                <w:szCs w:val="21"/>
              </w:rPr>
            </w:pPr>
            <w:r>
              <w:rPr>
                <w:rFonts w:eastAsia="等线"/>
                <w:color w:val="000000"/>
                <w:szCs w:val="21"/>
              </w:rPr>
              <w:t>0.90</w:t>
            </w:r>
          </w:p>
        </w:tc>
        <w:tc>
          <w:tcPr>
            <w:tcW w:w="1148" w:type="pct"/>
            <w:vAlign w:val="bottom"/>
          </w:tcPr>
          <w:p>
            <w:pPr>
              <w:jc w:val="center"/>
              <w:rPr>
                <w:rFonts w:eastAsia="等线"/>
                <w:color w:val="000000"/>
                <w:szCs w:val="21"/>
              </w:rPr>
            </w:pPr>
            <w:r>
              <w:rPr>
                <w:rFonts w:eastAsia="等线"/>
                <w:color w:val="000000"/>
                <w:szCs w:val="21"/>
              </w:rPr>
              <w:t>0.00018</w:t>
            </w:r>
          </w:p>
        </w:tc>
        <w:tc>
          <w:tcPr>
            <w:tcW w:w="867" w:type="pct"/>
            <w:vAlign w:val="bottom"/>
          </w:tcPr>
          <w:p>
            <w:pPr>
              <w:jc w:val="center"/>
              <w:rPr>
                <w:rFonts w:eastAsia="等线"/>
                <w:color w:val="000000"/>
                <w:szCs w:val="21"/>
              </w:rPr>
            </w:pPr>
            <w:r>
              <w:rPr>
                <w:rFonts w:eastAsia="等线"/>
                <w:color w:val="000000"/>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800</w:t>
            </w:r>
          </w:p>
        </w:tc>
        <w:tc>
          <w:tcPr>
            <w:tcW w:w="1191" w:type="pct"/>
            <w:vAlign w:val="bottom"/>
          </w:tcPr>
          <w:p>
            <w:pPr>
              <w:jc w:val="center"/>
              <w:rPr>
                <w:rFonts w:eastAsia="等线"/>
                <w:color w:val="000000"/>
                <w:szCs w:val="21"/>
              </w:rPr>
            </w:pPr>
            <w:r>
              <w:rPr>
                <w:rFonts w:eastAsia="等线"/>
                <w:color w:val="000000"/>
                <w:szCs w:val="21"/>
              </w:rPr>
              <w:t>0.00163</w:t>
            </w:r>
          </w:p>
        </w:tc>
        <w:tc>
          <w:tcPr>
            <w:tcW w:w="869" w:type="pct"/>
            <w:vAlign w:val="bottom"/>
          </w:tcPr>
          <w:p>
            <w:pPr>
              <w:jc w:val="center"/>
              <w:rPr>
                <w:rFonts w:eastAsia="等线"/>
                <w:color w:val="000000"/>
                <w:szCs w:val="21"/>
              </w:rPr>
            </w:pPr>
            <w:r>
              <w:rPr>
                <w:rFonts w:eastAsia="等线"/>
                <w:color w:val="000000"/>
                <w:szCs w:val="21"/>
              </w:rPr>
              <w:t>0.81</w:t>
            </w:r>
          </w:p>
        </w:tc>
        <w:tc>
          <w:tcPr>
            <w:tcW w:w="1148" w:type="pct"/>
            <w:vAlign w:val="bottom"/>
          </w:tcPr>
          <w:p>
            <w:pPr>
              <w:jc w:val="center"/>
              <w:rPr>
                <w:rFonts w:eastAsia="等线"/>
                <w:color w:val="000000"/>
                <w:szCs w:val="21"/>
              </w:rPr>
            </w:pPr>
            <w:r>
              <w:rPr>
                <w:rFonts w:eastAsia="等线"/>
                <w:color w:val="000000"/>
                <w:szCs w:val="21"/>
              </w:rPr>
              <w:t>0.00017</w:t>
            </w:r>
          </w:p>
        </w:tc>
        <w:tc>
          <w:tcPr>
            <w:tcW w:w="867" w:type="pct"/>
            <w:vAlign w:val="bottom"/>
          </w:tcPr>
          <w:p>
            <w:pPr>
              <w:jc w:val="center"/>
              <w:rPr>
                <w:rFonts w:eastAsia="等线"/>
                <w:color w:val="000000"/>
                <w:szCs w:val="21"/>
              </w:rPr>
            </w:pPr>
            <w:r>
              <w:rPr>
                <w:rFonts w:eastAsia="等线"/>
                <w:color w:val="000000"/>
                <w:szCs w:val="21"/>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900</w:t>
            </w:r>
          </w:p>
        </w:tc>
        <w:tc>
          <w:tcPr>
            <w:tcW w:w="1191" w:type="pct"/>
            <w:vAlign w:val="bottom"/>
          </w:tcPr>
          <w:p>
            <w:pPr>
              <w:jc w:val="center"/>
              <w:rPr>
                <w:rFonts w:eastAsia="等线"/>
                <w:color w:val="000000"/>
                <w:szCs w:val="21"/>
              </w:rPr>
            </w:pPr>
            <w:r>
              <w:rPr>
                <w:rFonts w:eastAsia="等线"/>
                <w:color w:val="000000"/>
                <w:szCs w:val="21"/>
              </w:rPr>
              <w:t>0.00150</w:t>
            </w:r>
          </w:p>
        </w:tc>
        <w:tc>
          <w:tcPr>
            <w:tcW w:w="869" w:type="pct"/>
            <w:vAlign w:val="bottom"/>
          </w:tcPr>
          <w:p>
            <w:pPr>
              <w:jc w:val="center"/>
              <w:rPr>
                <w:rFonts w:eastAsia="等线"/>
                <w:color w:val="000000"/>
                <w:szCs w:val="21"/>
              </w:rPr>
            </w:pPr>
            <w:r>
              <w:rPr>
                <w:rFonts w:eastAsia="等线"/>
                <w:color w:val="000000"/>
                <w:szCs w:val="21"/>
              </w:rPr>
              <w:t>0.75</w:t>
            </w:r>
          </w:p>
        </w:tc>
        <w:tc>
          <w:tcPr>
            <w:tcW w:w="1148" w:type="pct"/>
            <w:vAlign w:val="bottom"/>
          </w:tcPr>
          <w:p>
            <w:pPr>
              <w:jc w:val="center"/>
              <w:rPr>
                <w:rFonts w:eastAsia="等线"/>
                <w:color w:val="000000"/>
                <w:szCs w:val="21"/>
              </w:rPr>
            </w:pPr>
            <w:r>
              <w:rPr>
                <w:rFonts w:eastAsia="等线"/>
                <w:color w:val="000000"/>
                <w:szCs w:val="21"/>
              </w:rPr>
              <w:t>0.00015</w:t>
            </w:r>
          </w:p>
        </w:tc>
        <w:tc>
          <w:tcPr>
            <w:tcW w:w="867" w:type="pct"/>
            <w:vAlign w:val="bottom"/>
          </w:tcPr>
          <w:p>
            <w:pPr>
              <w:jc w:val="center"/>
              <w:rPr>
                <w:rFonts w:eastAsia="等线"/>
                <w:color w:val="000000"/>
                <w:szCs w:val="21"/>
              </w:rPr>
            </w:pPr>
            <w:r>
              <w:rPr>
                <w:rFonts w:eastAsia="等线"/>
                <w:color w:val="000000"/>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1000</w:t>
            </w:r>
          </w:p>
        </w:tc>
        <w:tc>
          <w:tcPr>
            <w:tcW w:w="1191" w:type="pct"/>
            <w:vAlign w:val="bottom"/>
          </w:tcPr>
          <w:p>
            <w:pPr>
              <w:jc w:val="center"/>
              <w:rPr>
                <w:rFonts w:eastAsia="等线"/>
                <w:color w:val="000000"/>
                <w:szCs w:val="21"/>
              </w:rPr>
            </w:pPr>
            <w:r>
              <w:rPr>
                <w:rFonts w:eastAsia="等线"/>
                <w:color w:val="000000"/>
                <w:szCs w:val="21"/>
              </w:rPr>
              <w:t>0.00139</w:t>
            </w:r>
          </w:p>
        </w:tc>
        <w:tc>
          <w:tcPr>
            <w:tcW w:w="869" w:type="pct"/>
            <w:vAlign w:val="bottom"/>
          </w:tcPr>
          <w:p>
            <w:pPr>
              <w:jc w:val="center"/>
              <w:rPr>
                <w:rFonts w:eastAsia="等线"/>
                <w:color w:val="000000"/>
                <w:szCs w:val="21"/>
              </w:rPr>
            </w:pPr>
            <w:r>
              <w:rPr>
                <w:rFonts w:eastAsia="等线"/>
                <w:color w:val="000000"/>
                <w:szCs w:val="21"/>
              </w:rPr>
              <w:t>0.70</w:t>
            </w:r>
          </w:p>
        </w:tc>
        <w:tc>
          <w:tcPr>
            <w:tcW w:w="1148" w:type="pct"/>
            <w:vAlign w:val="bottom"/>
          </w:tcPr>
          <w:p>
            <w:pPr>
              <w:jc w:val="center"/>
              <w:rPr>
                <w:rFonts w:eastAsia="等线"/>
                <w:color w:val="000000"/>
                <w:szCs w:val="21"/>
              </w:rPr>
            </w:pPr>
            <w:r>
              <w:rPr>
                <w:rFonts w:eastAsia="等线"/>
                <w:color w:val="000000"/>
                <w:szCs w:val="21"/>
              </w:rPr>
              <w:t>0.00014</w:t>
            </w:r>
          </w:p>
        </w:tc>
        <w:tc>
          <w:tcPr>
            <w:tcW w:w="867" w:type="pct"/>
            <w:vAlign w:val="bottom"/>
          </w:tcPr>
          <w:p>
            <w:pPr>
              <w:jc w:val="center"/>
              <w:rPr>
                <w:rFonts w:eastAsia="等线"/>
                <w:color w:val="000000"/>
                <w:szCs w:val="21"/>
              </w:rPr>
            </w:pPr>
            <w:r>
              <w:rPr>
                <w:rFonts w:eastAsia="等线"/>
                <w:color w:val="000000"/>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1500</w:t>
            </w:r>
          </w:p>
        </w:tc>
        <w:tc>
          <w:tcPr>
            <w:tcW w:w="1191" w:type="pct"/>
            <w:vAlign w:val="bottom"/>
          </w:tcPr>
          <w:p>
            <w:pPr>
              <w:jc w:val="center"/>
              <w:rPr>
                <w:rFonts w:eastAsia="等线"/>
                <w:color w:val="000000"/>
                <w:szCs w:val="21"/>
              </w:rPr>
            </w:pPr>
            <w:r>
              <w:rPr>
                <w:rFonts w:eastAsia="等线"/>
                <w:color w:val="000000"/>
                <w:szCs w:val="21"/>
              </w:rPr>
              <w:t>0.00112</w:t>
            </w:r>
          </w:p>
        </w:tc>
        <w:tc>
          <w:tcPr>
            <w:tcW w:w="869" w:type="pct"/>
            <w:vAlign w:val="bottom"/>
          </w:tcPr>
          <w:p>
            <w:pPr>
              <w:jc w:val="center"/>
              <w:rPr>
                <w:rFonts w:eastAsia="等线"/>
                <w:color w:val="000000"/>
                <w:szCs w:val="21"/>
              </w:rPr>
            </w:pPr>
            <w:r>
              <w:rPr>
                <w:rFonts w:eastAsia="等线"/>
                <w:color w:val="000000"/>
                <w:szCs w:val="21"/>
              </w:rPr>
              <w:t>0.56</w:t>
            </w:r>
          </w:p>
        </w:tc>
        <w:tc>
          <w:tcPr>
            <w:tcW w:w="1148" w:type="pct"/>
            <w:vAlign w:val="bottom"/>
          </w:tcPr>
          <w:p>
            <w:pPr>
              <w:jc w:val="center"/>
              <w:rPr>
                <w:rFonts w:eastAsia="等线"/>
                <w:color w:val="000000"/>
                <w:szCs w:val="21"/>
              </w:rPr>
            </w:pPr>
            <w:r>
              <w:rPr>
                <w:rFonts w:eastAsia="等线"/>
                <w:color w:val="000000"/>
                <w:szCs w:val="21"/>
              </w:rPr>
              <w:t>0.00011</w:t>
            </w:r>
          </w:p>
        </w:tc>
        <w:tc>
          <w:tcPr>
            <w:tcW w:w="867" w:type="pct"/>
            <w:vAlign w:val="bottom"/>
          </w:tcPr>
          <w:p>
            <w:pPr>
              <w:jc w:val="center"/>
              <w:rPr>
                <w:rFonts w:eastAsia="等线"/>
                <w:color w:val="000000"/>
                <w:szCs w:val="21"/>
              </w:rPr>
            </w:pPr>
            <w:r>
              <w:rPr>
                <w:rFonts w:eastAsia="等线"/>
                <w:color w:val="000000"/>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2000</w:t>
            </w:r>
          </w:p>
        </w:tc>
        <w:tc>
          <w:tcPr>
            <w:tcW w:w="1191" w:type="pct"/>
            <w:vAlign w:val="bottom"/>
          </w:tcPr>
          <w:p>
            <w:pPr>
              <w:jc w:val="center"/>
              <w:rPr>
                <w:rFonts w:eastAsia="等线"/>
                <w:color w:val="000000"/>
                <w:szCs w:val="21"/>
              </w:rPr>
            </w:pPr>
            <w:r>
              <w:rPr>
                <w:rFonts w:eastAsia="等线"/>
                <w:color w:val="000000"/>
                <w:szCs w:val="21"/>
              </w:rPr>
              <w:t>0.00100</w:t>
            </w:r>
          </w:p>
        </w:tc>
        <w:tc>
          <w:tcPr>
            <w:tcW w:w="869" w:type="pct"/>
            <w:vAlign w:val="bottom"/>
          </w:tcPr>
          <w:p>
            <w:pPr>
              <w:jc w:val="center"/>
              <w:rPr>
                <w:rFonts w:eastAsia="等线"/>
                <w:color w:val="000000"/>
                <w:szCs w:val="21"/>
              </w:rPr>
            </w:pPr>
            <w:r>
              <w:rPr>
                <w:rFonts w:eastAsia="等线"/>
                <w:color w:val="000000"/>
                <w:szCs w:val="21"/>
              </w:rPr>
              <w:t>0.50</w:t>
            </w:r>
          </w:p>
        </w:tc>
        <w:tc>
          <w:tcPr>
            <w:tcW w:w="1148" w:type="pct"/>
            <w:vAlign w:val="bottom"/>
          </w:tcPr>
          <w:p>
            <w:pPr>
              <w:jc w:val="center"/>
              <w:rPr>
                <w:rFonts w:eastAsia="等线"/>
                <w:color w:val="000000"/>
                <w:szCs w:val="21"/>
              </w:rPr>
            </w:pPr>
            <w:r>
              <w:rPr>
                <w:rFonts w:eastAsia="等线"/>
                <w:color w:val="000000"/>
                <w:szCs w:val="21"/>
              </w:rPr>
              <w:t>0.00010</w:t>
            </w:r>
          </w:p>
        </w:tc>
        <w:tc>
          <w:tcPr>
            <w:tcW w:w="867" w:type="pct"/>
            <w:vAlign w:val="bottom"/>
          </w:tcPr>
          <w:p>
            <w:pPr>
              <w:jc w:val="center"/>
              <w:rPr>
                <w:rFonts w:eastAsia="等线"/>
                <w:color w:val="000000"/>
                <w:szCs w:val="21"/>
              </w:rPr>
            </w:pPr>
            <w:r>
              <w:rPr>
                <w:rFonts w:eastAsia="等线"/>
                <w:color w:val="000000"/>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2500</w:t>
            </w:r>
          </w:p>
        </w:tc>
        <w:tc>
          <w:tcPr>
            <w:tcW w:w="1191" w:type="pct"/>
            <w:vAlign w:val="bottom"/>
          </w:tcPr>
          <w:p>
            <w:pPr>
              <w:jc w:val="center"/>
              <w:rPr>
                <w:rFonts w:eastAsia="等线"/>
                <w:color w:val="000000"/>
                <w:szCs w:val="21"/>
              </w:rPr>
            </w:pPr>
            <w:r>
              <w:rPr>
                <w:rFonts w:eastAsia="等线"/>
                <w:color w:val="000000"/>
                <w:szCs w:val="21"/>
              </w:rPr>
              <w:t>0.00092</w:t>
            </w:r>
          </w:p>
        </w:tc>
        <w:tc>
          <w:tcPr>
            <w:tcW w:w="869" w:type="pct"/>
            <w:vAlign w:val="bottom"/>
          </w:tcPr>
          <w:p>
            <w:pPr>
              <w:jc w:val="center"/>
              <w:rPr>
                <w:rFonts w:eastAsia="等线"/>
                <w:color w:val="000000"/>
                <w:szCs w:val="21"/>
              </w:rPr>
            </w:pPr>
            <w:r>
              <w:rPr>
                <w:rFonts w:eastAsia="等线"/>
                <w:color w:val="000000"/>
                <w:szCs w:val="21"/>
              </w:rPr>
              <w:t>0.46</w:t>
            </w:r>
          </w:p>
        </w:tc>
        <w:tc>
          <w:tcPr>
            <w:tcW w:w="1148" w:type="pct"/>
            <w:vAlign w:val="bottom"/>
          </w:tcPr>
          <w:p>
            <w:pPr>
              <w:jc w:val="center"/>
              <w:rPr>
                <w:rFonts w:eastAsia="等线"/>
                <w:color w:val="000000"/>
                <w:szCs w:val="21"/>
              </w:rPr>
            </w:pPr>
            <w:r>
              <w:rPr>
                <w:rFonts w:eastAsia="等线"/>
                <w:color w:val="000000"/>
                <w:szCs w:val="21"/>
              </w:rPr>
              <w:t>0.00009</w:t>
            </w:r>
          </w:p>
        </w:tc>
        <w:tc>
          <w:tcPr>
            <w:tcW w:w="867" w:type="pct"/>
            <w:vAlign w:val="bottom"/>
          </w:tcPr>
          <w:p>
            <w:pPr>
              <w:jc w:val="center"/>
              <w:rPr>
                <w:rFonts w:eastAsia="等线"/>
                <w:color w:val="000000"/>
                <w:szCs w:val="21"/>
              </w:rPr>
            </w:pPr>
            <w:r>
              <w:rPr>
                <w:rFonts w:eastAsia="等线"/>
                <w:color w:val="000000"/>
                <w:szCs w:val="21"/>
              </w:rPr>
              <w:t>0.94</w:t>
            </w:r>
          </w:p>
        </w:tc>
      </w:tr>
      <w:bookmarkEnd w:id="90"/>
    </w:tbl>
    <w:p>
      <w:pPr>
        <w:spacing w:line="480" w:lineRule="exact"/>
        <w:jc w:val="center"/>
        <w:rPr>
          <w:rFonts w:ascii="黑体" w:hAnsi="黑体" w:eastAsia="黑体"/>
          <w:bCs/>
          <w:spacing w:val="6"/>
          <w:sz w:val="24"/>
        </w:rPr>
      </w:pPr>
    </w:p>
    <w:p>
      <w:pPr>
        <w:spacing w:line="480" w:lineRule="exact"/>
        <w:jc w:val="center"/>
        <w:rPr>
          <w:rFonts w:ascii="黑体" w:hAnsi="黑体" w:eastAsia="黑体"/>
          <w:bCs/>
          <w:spacing w:val="6"/>
          <w:sz w:val="24"/>
        </w:rPr>
      </w:pPr>
    </w:p>
    <w:p>
      <w:pPr>
        <w:spacing w:line="480" w:lineRule="exact"/>
        <w:jc w:val="center"/>
        <w:rPr>
          <w:rFonts w:ascii="黑体" w:hAnsi="黑体" w:eastAsia="黑体"/>
          <w:bCs/>
          <w:spacing w:val="6"/>
          <w:sz w:val="24"/>
        </w:rPr>
      </w:pPr>
    </w:p>
    <w:p>
      <w:pPr>
        <w:spacing w:line="480" w:lineRule="exact"/>
        <w:jc w:val="center"/>
        <w:rPr>
          <w:rFonts w:ascii="黑体" w:hAnsi="黑体" w:eastAsia="黑体"/>
          <w:bCs/>
          <w:spacing w:val="6"/>
          <w:sz w:val="24"/>
        </w:rPr>
      </w:pPr>
    </w:p>
    <w:p>
      <w:pPr>
        <w:spacing w:line="480" w:lineRule="exact"/>
        <w:jc w:val="center"/>
        <w:rPr>
          <w:rFonts w:ascii="黑体" w:hAnsi="黑体" w:eastAsia="黑体"/>
          <w:bCs/>
          <w:spacing w:val="6"/>
          <w:sz w:val="24"/>
        </w:rPr>
      </w:pPr>
      <w:r>
        <w:rPr>
          <w:rFonts w:hint="eastAsia" w:ascii="黑体" w:hAnsi="黑体" w:eastAsia="黑体"/>
          <w:bCs/>
          <w:spacing w:val="6"/>
          <w:sz w:val="24"/>
        </w:rPr>
        <w:t>表5.2-5</w:t>
      </w:r>
      <w:r>
        <w:rPr>
          <w:rFonts w:ascii="黑体" w:hAnsi="黑体" w:eastAsia="黑体"/>
          <w:bCs/>
          <w:spacing w:val="6"/>
          <w:sz w:val="24"/>
        </w:rPr>
        <w:t>d</w:t>
      </w:r>
      <w:r>
        <w:rPr>
          <w:rFonts w:hint="eastAsia" w:ascii="黑体" w:hAnsi="黑体" w:eastAsia="黑体"/>
          <w:bCs/>
          <w:spacing w:val="6"/>
          <w:sz w:val="24"/>
        </w:rPr>
        <w:t xml:space="preserve">  临时储粪房面源估算模型计算结果</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8"/>
        <w:gridCol w:w="3333"/>
        <w:gridCol w:w="2432"/>
        <w:gridCol w:w="3213"/>
        <w:gridCol w:w="2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Merge w:val="restart"/>
            <w:vAlign w:val="center"/>
          </w:tcPr>
          <w:p>
            <w:pPr>
              <w:snapToGrid w:val="0"/>
              <w:jc w:val="center"/>
              <w:rPr>
                <w:bCs/>
                <w:spacing w:val="6"/>
                <w:szCs w:val="21"/>
              </w:rPr>
            </w:pPr>
            <w:r>
              <w:rPr>
                <w:bCs/>
                <w:spacing w:val="6"/>
                <w:szCs w:val="21"/>
              </w:rPr>
              <w:t>下风向距离（m）</w:t>
            </w:r>
          </w:p>
        </w:tc>
        <w:tc>
          <w:tcPr>
            <w:tcW w:w="2060" w:type="pct"/>
            <w:gridSpan w:val="2"/>
            <w:vAlign w:val="center"/>
          </w:tcPr>
          <w:p>
            <w:pPr>
              <w:snapToGrid w:val="0"/>
              <w:jc w:val="center"/>
              <w:rPr>
                <w:bCs/>
                <w:spacing w:val="6"/>
                <w:szCs w:val="21"/>
              </w:rPr>
            </w:pPr>
            <w:r>
              <w:rPr>
                <w:rFonts w:hint="eastAsia"/>
                <w:bCs/>
                <w:spacing w:val="6"/>
                <w:szCs w:val="21"/>
              </w:rPr>
              <w:t>氨</w:t>
            </w:r>
          </w:p>
        </w:tc>
        <w:tc>
          <w:tcPr>
            <w:tcW w:w="2015" w:type="pct"/>
            <w:gridSpan w:val="2"/>
            <w:vAlign w:val="center"/>
          </w:tcPr>
          <w:p>
            <w:pPr>
              <w:snapToGrid w:val="0"/>
              <w:jc w:val="center"/>
              <w:rPr>
                <w:bCs/>
                <w:spacing w:val="6"/>
                <w:szCs w:val="21"/>
              </w:rPr>
            </w:pPr>
            <w:r>
              <w:rPr>
                <w:bCs/>
                <w:spacing w:val="6"/>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Merge w:val="continue"/>
            <w:vAlign w:val="center"/>
          </w:tcPr>
          <w:p>
            <w:pPr>
              <w:snapToGrid w:val="0"/>
              <w:jc w:val="center"/>
              <w:rPr>
                <w:bCs/>
                <w:spacing w:val="6"/>
                <w:szCs w:val="21"/>
              </w:rPr>
            </w:pPr>
          </w:p>
        </w:tc>
        <w:tc>
          <w:tcPr>
            <w:tcW w:w="1191" w:type="pct"/>
            <w:vAlign w:val="center"/>
          </w:tcPr>
          <w:p>
            <w:pPr>
              <w:snapToGrid w:val="0"/>
              <w:jc w:val="center"/>
              <w:rPr>
                <w:bCs/>
                <w:spacing w:val="6"/>
                <w:szCs w:val="21"/>
              </w:rPr>
            </w:pPr>
            <w:r>
              <w:rPr>
                <w:bCs/>
                <w:spacing w:val="6"/>
                <w:szCs w:val="21"/>
              </w:rPr>
              <w:t>预测质量浓度</w:t>
            </w:r>
            <w:r>
              <w:rPr>
                <w:kern w:val="0"/>
                <w:szCs w:val="21"/>
              </w:rPr>
              <w:t>（mg/m</w:t>
            </w:r>
            <w:r>
              <w:rPr>
                <w:kern w:val="0"/>
                <w:szCs w:val="21"/>
                <w:vertAlign w:val="superscript"/>
              </w:rPr>
              <w:t>3</w:t>
            </w:r>
            <w:r>
              <w:rPr>
                <w:kern w:val="0"/>
                <w:szCs w:val="21"/>
              </w:rPr>
              <w:t>）</w:t>
            </w:r>
          </w:p>
        </w:tc>
        <w:tc>
          <w:tcPr>
            <w:tcW w:w="869" w:type="pct"/>
            <w:vAlign w:val="center"/>
          </w:tcPr>
          <w:p>
            <w:pPr>
              <w:snapToGrid w:val="0"/>
              <w:jc w:val="center"/>
              <w:rPr>
                <w:bCs/>
                <w:spacing w:val="6"/>
                <w:szCs w:val="21"/>
              </w:rPr>
            </w:pPr>
            <w:r>
              <w:rPr>
                <w:bCs/>
                <w:spacing w:val="6"/>
                <w:szCs w:val="21"/>
              </w:rPr>
              <w:t>占标率（%）</w:t>
            </w:r>
          </w:p>
        </w:tc>
        <w:tc>
          <w:tcPr>
            <w:tcW w:w="1148" w:type="pct"/>
            <w:tcBorders>
              <w:right w:val="single" w:color="000000" w:sz="2" w:space="0"/>
            </w:tcBorders>
            <w:vAlign w:val="center"/>
          </w:tcPr>
          <w:p>
            <w:pPr>
              <w:snapToGrid w:val="0"/>
              <w:jc w:val="center"/>
              <w:rPr>
                <w:bCs/>
                <w:spacing w:val="6"/>
                <w:szCs w:val="21"/>
              </w:rPr>
            </w:pPr>
            <w:r>
              <w:rPr>
                <w:bCs/>
                <w:spacing w:val="6"/>
                <w:szCs w:val="21"/>
              </w:rPr>
              <w:t>预测质量浓度</w:t>
            </w:r>
            <w:r>
              <w:rPr>
                <w:kern w:val="0"/>
                <w:szCs w:val="21"/>
              </w:rPr>
              <w:t>（mg/m</w:t>
            </w:r>
            <w:r>
              <w:rPr>
                <w:kern w:val="0"/>
                <w:szCs w:val="21"/>
                <w:vertAlign w:val="superscript"/>
              </w:rPr>
              <w:t>3</w:t>
            </w:r>
            <w:r>
              <w:rPr>
                <w:kern w:val="0"/>
                <w:szCs w:val="21"/>
              </w:rPr>
              <w:t>）</w:t>
            </w:r>
          </w:p>
        </w:tc>
        <w:tc>
          <w:tcPr>
            <w:tcW w:w="867" w:type="pct"/>
            <w:tcBorders>
              <w:left w:val="single" w:color="000000" w:sz="2" w:space="0"/>
            </w:tcBorders>
            <w:vAlign w:val="center"/>
          </w:tcPr>
          <w:p>
            <w:pPr>
              <w:snapToGrid w:val="0"/>
              <w:jc w:val="center"/>
              <w:rPr>
                <w:bCs/>
                <w:spacing w:val="6"/>
                <w:szCs w:val="21"/>
              </w:rPr>
            </w:pPr>
            <w:r>
              <w:rPr>
                <w:bCs/>
                <w:spacing w:val="6"/>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widowControl/>
              <w:jc w:val="center"/>
              <w:rPr>
                <w:rFonts w:eastAsia="等线"/>
                <w:color w:val="000000"/>
                <w:szCs w:val="21"/>
              </w:rPr>
            </w:pPr>
            <w:r>
              <w:rPr>
                <w:rFonts w:eastAsia="等线"/>
                <w:color w:val="000000"/>
                <w:szCs w:val="21"/>
              </w:rPr>
              <w:t>10</w:t>
            </w:r>
          </w:p>
        </w:tc>
        <w:tc>
          <w:tcPr>
            <w:tcW w:w="1191" w:type="pct"/>
            <w:vAlign w:val="bottom"/>
          </w:tcPr>
          <w:p>
            <w:pPr>
              <w:widowControl/>
              <w:jc w:val="center"/>
              <w:rPr>
                <w:rFonts w:eastAsia="等线"/>
                <w:color w:val="000000"/>
                <w:szCs w:val="21"/>
              </w:rPr>
            </w:pPr>
            <w:r>
              <w:rPr>
                <w:rFonts w:eastAsia="等线"/>
                <w:color w:val="000000"/>
                <w:szCs w:val="21"/>
              </w:rPr>
              <w:t>0.00679</w:t>
            </w:r>
          </w:p>
        </w:tc>
        <w:tc>
          <w:tcPr>
            <w:tcW w:w="869" w:type="pct"/>
            <w:vAlign w:val="bottom"/>
          </w:tcPr>
          <w:p>
            <w:pPr>
              <w:widowControl/>
              <w:jc w:val="center"/>
              <w:rPr>
                <w:rFonts w:eastAsia="等线"/>
                <w:color w:val="000000"/>
                <w:szCs w:val="21"/>
              </w:rPr>
            </w:pPr>
            <w:r>
              <w:rPr>
                <w:rFonts w:eastAsia="等线"/>
                <w:color w:val="000000"/>
                <w:szCs w:val="21"/>
              </w:rPr>
              <w:t>3.39</w:t>
            </w:r>
          </w:p>
        </w:tc>
        <w:tc>
          <w:tcPr>
            <w:tcW w:w="1148" w:type="pct"/>
            <w:vAlign w:val="bottom"/>
          </w:tcPr>
          <w:p>
            <w:pPr>
              <w:widowControl/>
              <w:jc w:val="center"/>
              <w:rPr>
                <w:rFonts w:eastAsia="等线"/>
                <w:color w:val="000000"/>
                <w:szCs w:val="21"/>
              </w:rPr>
            </w:pPr>
            <w:r>
              <w:rPr>
                <w:rFonts w:eastAsia="等线"/>
                <w:color w:val="000000"/>
                <w:szCs w:val="21"/>
              </w:rPr>
              <w:t>0.00068</w:t>
            </w:r>
          </w:p>
        </w:tc>
        <w:tc>
          <w:tcPr>
            <w:tcW w:w="867" w:type="pct"/>
            <w:vAlign w:val="bottom"/>
          </w:tcPr>
          <w:p>
            <w:pPr>
              <w:widowControl/>
              <w:jc w:val="center"/>
              <w:rPr>
                <w:rFonts w:eastAsia="等线"/>
                <w:color w:val="000000"/>
                <w:szCs w:val="21"/>
              </w:rPr>
            </w:pPr>
            <w:r>
              <w:rPr>
                <w:rFonts w:eastAsia="等线"/>
                <w:color w:val="000000"/>
                <w:szCs w:val="21"/>
              </w:rPr>
              <w:t>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shd w:val="clear" w:color="auto" w:fill="D8D8D8" w:themeFill="background1" w:themeFillShade="D9"/>
            <w:vAlign w:val="center"/>
          </w:tcPr>
          <w:p>
            <w:pPr>
              <w:widowControl/>
              <w:jc w:val="center"/>
              <w:rPr>
                <w:rFonts w:eastAsia="等线"/>
                <w:color w:val="000000"/>
                <w:szCs w:val="21"/>
              </w:rPr>
            </w:pPr>
            <w:r>
              <w:rPr>
                <w:rFonts w:eastAsia="等线"/>
                <w:color w:val="000000"/>
                <w:szCs w:val="21"/>
              </w:rPr>
              <w:t>14</w:t>
            </w:r>
          </w:p>
        </w:tc>
        <w:tc>
          <w:tcPr>
            <w:tcW w:w="1191" w:type="pct"/>
            <w:shd w:val="clear" w:color="auto" w:fill="D8D8D8" w:themeFill="background1" w:themeFillShade="D9"/>
            <w:vAlign w:val="bottom"/>
          </w:tcPr>
          <w:p>
            <w:pPr>
              <w:jc w:val="center"/>
              <w:rPr>
                <w:rFonts w:eastAsia="等线"/>
                <w:color w:val="000000"/>
                <w:szCs w:val="21"/>
              </w:rPr>
            </w:pPr>
            <w:r>
              <w:rPr>
                <w:rFonts w:eastAsia="等线"/>
                <w:color w:val="000000"/>
                <w:szCs w:val="21"/>
              </w:rPr>
              <w:t>0.00720</w:t>
            </w:r>
          </w:p>
        </w:tc>
        <w:tc>
          <w:tcPr>
            <w:tcW w:w="869" w:type="pct"/>
            <w:shd w:val="clear" w:color="auto" w:fill="D8D8D8" w:themeFill="background1" w:themeFillShade="D9"/>
            <w:vAlign w:val="bottom"/>
          </w:tcPr>
          <w:p>
            <w:pPr>
              <w:jc w:val="center"/>
              <w:rPr>
                <w:rFonts w:eastAsia="等线"/>
                <w:color w:val="000000"/>
                <w:szCs w:val="21"/>
              </w:rPr>
            </w:pPr>
            <w:r>
              <w:rPr>
                <w:rFonts w:eastAsia="等线"/>
                <w:color w:val="000000"/>
                <w:szCs w:val="21"/>
              </w:rPr>
              <w:t>3.60</w:t>
            </w:r>
          </w:p>
        </w:tc>
        <w:tc>
          <w:tcPr>
            <w:tcW w:w="1148" w:type="pct"/>
            <w:shd w:val="clear" w:color="auto" w:fill="D8D8D8" w:themeFill="background1" w:themeFillShade="D9"/>
            <w:vAlign w:val="bottom"/>
          </w:tcPr>
          <w:p>
            <w:pPr>
              <w:jc w:val="center"/>
              <w:rPr>
                <w:rFonts w:eastAsia="等线"/>
                <w:color w:val="000000"/>
                <w:szCs w:val="21"/>
              </w:rPr>
            </w:pPr>
            <w:r>
              <w:rPr>
                <w:rFonts w:eastAsia="等线"/>
                <w:color w:val="000000"/>
                <w:szCs w:val="21"/>
              </w:rPr>
              <w:t>0.00072</w:t>
            </w:r>
          </w:p>
        </w:tc>
        <w:tc>
          <w:tcPr>
            <w:tcW w:w="867" w:type="pct"/>
            <w:shd w:val="clear" w:color="auto" w:fill="D8D8D8" w:themeFill="background1" w:themeFillShade="D9"/>
            <w:vAlign w:val="bottom"/>
          </w:tcPr>
          <w:p>
            <w:pPr>
              <w:jc w:val="center"/>
              <w:rPr>
                <w:rFonts w:eastAsia="等线"/>
                <w:color w:val="000000"/>
                <w:szCs w:val="21"/>
              </w:rPr>
            </w:pPr>
            <w:r>
              <w:rPr>
                <w:rFonts w:eastAsia="等线"/>
                <w:color w:val="000000"/>
                <w:szCs w:val="21"/>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shd w:val="clear" w:color="auto" w:fill="auto"/>
            <w:vAlign w:val="center"/>
          </w:tcPr>
          <w:p>
            <w:pPr>
              <w:jc w:val="center"/>
              <w:rPr>
                <w:rFonts w:eastAsia="等线"/>
                <w:color w:val="000000"/>
                <w:szCs w:val="21"/>
              </w:rPr>
            </w:pPr>
            <w:r>
              <w:rPr>
                <w:rFonts w:eastAsia="等线"/>
                <w:color w:val="000000"/>
                <w:szCs w:val="21"/>
              </w:rPr>
              <w:t>50</w:t>
            </w:r>
          </w:p>
        </w:tc>
        <w:tc>
          <w:tcPr>
            <w:tcW w:w="1191" w:type="pct"/>
            <w:shd w:val="clear" w:color="auto" w:fill="auto"/>
            <w:vAlign w:val="bottom"/>
          </w:tcPr>
          <w:p>
            <w:pPr>
              <w:jc w:val="center"/>
              <w:rPr>
                <w:rFonts w:eastAsia="等线"/>
                <w:color w:val="000000"/>
                <w:szCs w:val="21"/>
              </w:rPr>
            </w:pPr>
            <w:r>
              <w:rPr>
                <w:rFonts w:eastAsia="等线"/>
                <w:color w:val="000000"/>
                <w:szCs w:val="21"/>
              </w:rPr>
              <w:t>0.00434</w:t>
            </w:r>
          </w:p>
        </w:tc>
        <w:tc>
          <w:tcPr>
            <w:tcW w:w="869" w:type="pct"/>
            <w:shd w:val="clear" w:color="auto" w:fill="auto"/>
            <w:vAlign w:val="bottom"/>
          </w:tcPr>
          <w:p>
            <w:pPr>
              <w:jc w:val="center"/>
              <w:rPr>
                <w:rFonts w:eastAsia="等线"/>
                <w:color w:val="000000"/>
                <w:szCs w:val="21"/>
              </w:rPr>
            </w:pPr>
            <w:r>
              <w:rPr>
                <w:rFonts w:eastAsia="等线"/>
                <w:color w:val="000000"/>
                <w:szCs w:val="21"/>
              </w:rPr>
              <w:t>2.17</w:t>
            </w:r>
          </w:p>
        </w:tc>
        <w:tc>
          <w:tcPr>
            <w:tcW w:w="1148" w:type="pct"/>
            <w:shd w:val="clear" w:color="auto" w:fill="auto"/>
            <w:vAlign w:val="bottom"/>
          </w:tcPr>
          <w:p>
            <w:pPr>
              <w:jc w:val="center"/>
              <w:rPr>
                <w:rFonts w:eastAsia="等线"/>
                <w:color w:val="000000"/>
                <w:szCs w:val="21"/>
              </w:rPr>
            </w:pPr>
            <w:r>
              <w:rPr>
                <w:rFonts w:eastAsia="等线"/>
                <w:color w:val="000000"/>
                <w:szCs w:val="21"/>
              </w:rPr>
              <w:t>0.00043</w:t>
            </w:r>
          </w:p>
        </w:tc>
        <w:tc>
          <w:tcPr>
            <w:tcW w:w="867" w:type="pct"/>
            <w:shd w:val="clear" w:color="auto" w:fill="auto"/>
            <w:vAlign w:val="bottom"/>
          </w:tcPr>
          <w:p>
            <w:pPr>
              <w:jc w:val="center"/>
              <w:rPr>
                <w:rFonts w:eastAsia="等线"/>
                <w:color w:val="000000"/>
                <w:szCs w:val="21"/>
              </w:rPr>
            </w:pPr>
            <w:r>
              <w:rPr>
                <w:rFonts w:eastAsia="等线"/>
                <w:color w:val="000000"/>
                <w:szCs w:val="21"/>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shd w:val="clear" w:color="auto" w:fill="auto"/>
            <w:vAlign w:val="center"/>
          </w:tcPr>
          <w:p>
            <w:pPr>
              <w:jc w:val="center"/>
              <w:rPr>
                <w:rFonts w:eastAsia="等线"/>
                <w:color w:val="000000"/>
                <w:szCs w:val="21"/>
              </w:rPr>
            </w:pPr>
            <w:r>
              <w:rPr>
                <w:rFonts w:eastAsia="等线"/>
                <w:color w:val="000000"/>
                <w:szCs w:val="21"/>
              </w:rPr>
              <w:t>100</w:t>
            </w:r>
          </w:p>
        </w:tc>
        <w:tc>
          <w:tcPr>
            <w:tcW w:w="1191" w:type="pct"/>
            <w:shd w:val="clear" w:color="auto" w:fill="auto"/>
            <w:vAlign w:val="bottom"/>
          </w:tcPr>
          <w:p>
            <w:pPr>
              <w:jc w:val="center"/>
              <w:rPr>
                <w:rFonts w:eastAsia="等线"/>
                <w:color w:val="000000"/>
                <w:szCs w:val="21"/>
              </w:rPr>
            </w:pPr>
            <w:r>
              <w:rPr>
                <w:rFonts w:eastAsia="等线"/>
                <w:color w:val="000000"/>
                <w:szCs w:val="21"/>
              </w:rPr>
              <w:t>0.00319</w:t>
            </w:r>
          </w:p>
        </w:tc>
        <w:tc>
          <w:tcPr>
            <w:tcW w:w="869" w:type="pct"/>
            <w:shd w:val="clear" w:color="auto" w:fill="auto"/>
            <w:vAlign w:val="bottom"/>
          </w:tcPr>
          <w:p>
            <w:pPr>
              <w:jc w:val="center"/>
              <w:rPr>
                <w:rFonts w:eastAsia="等线"/>
                <w:color w:val="000000"/>
                <w:szCs w:val="21"/>
              </w:rPr>
            </w:pPr>
            <w:r>
              <w:rPr>
                <w:rFonts w:eastAsia="等线"/>
                <w:color w:val="000000"/>
                <w:szCs w:val="21"/>
              </w:rPr>
              <w:t>1.59</w:t>
            </w:r>
          </w:p>
        </w:tc>
        <w:tc>
          <w:tcPr>
            <w:tcW w:w="1148" w:type="pct"/>
            <w:shd w:val="clear" w:color="auto" w:fill="auto"/>
            <w:vAlign w:val="bottom"/>
          </w:tcPr>
          <w:p>
            <w:pPr>
              <w:jc w:val="center"/>
              <w:rPr>
                <w:rFonts w:eastAsia="等线"/>
                <w:color w:val="000000"/>
                <w:szCs w:val="21"/>
              </w:rPr>
            </w:pPr>
            <w:r>
              <w:rPr>
                <w:rFonts w:eastAsia="等线"/>
                <w:color w:val="000000"/>
                <w:szCs w:val="21"/>
              </w:rPr>
              <w:t>0.00032</w:t>
            </w:r>
          </w:p>
        </w:tc>
        <w:tc>
          <w:tcPr>
            <w:tcW w:w="867" w:type="pct"/>
            <w:shd w:val="clear" w:color="auto" w:fill="auto"/>
            <w:vAlign w:val="bottom"/>
          </w:tcPr>
          <w:p>
            <w:pPr>
              <w:jc w:val="center"/>
              <w:rPr>
                <w:rFonts w:eastAsia="等线"/>
                <w:color w:val="000000"/>
                <w:szCs w:val="21"/>
              </w:rPr>
            </w:pPr>
            <w:r>
              <w:rPr>
                <w:rFonts w:eastAsia="等线"/>
                <w:color w:val="000000"/>
                <w:szCs w:val="21"/>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200</w:t>
            </w:r>
          </w:p>
        </w:tc>
        <w:tc>
          <w:tcPr>
            <w:tcW w:w="1191" w:type="pct"/>
            <w:vAlign w:val="bottom"/>
          </w:tcPr>
          <w:p>
            <w:pPr>
              <w:jc w:val="center"/>
              <w:rPr>
                <w:rFonts w:eastAsia="等线"/>
                <w:color w:val="000000"/>
                <w:szCs w:val="21"/>
              </w:rPr>
            </w:pPr>
            <w:r>
              <w:rPr>
                <w:rFonts w:eastAsia="等线"/>
                <w:color w:val="000000"/>
                <w:szCs w:val="21"/>
              </w:rPr>
              <w:t>0.00181</w:t>
            </w:r>
          </w:p>
        </w:tc>
        <w:tc>
          <w:tcPr>
            <w:tcW w:w="869" w:type="pct"/>
            <w:vAlign w:val="bottom"/>
          </w:tcPr>
          <w:p>
            <w:pPr>
              <w:jc w:val="center"/>
              <w:rPr>
                <w:rFonts w:eastAsia="等线"/>
                <w:color w:val="000000"/>
                <w:szCs w:val="21"/>
              </w:rPr>
            </w:pPr>
            <w:r>
              <w:rPr>
                <w:rFonts w:eastAsia="等线"/>
                <w:color w:val="000000"/>
                <w:szCs w:val="21"/>
              </w:rPr>
              <w:t>0.90</w:t>
            </w:r>
          </w:p>
        </w:tc>
        <w:tc>
          <w:tcPr>
            <w:tcW w:w="1148" w:type="pct"/>
            <w:vAlign w:val="bottom"/>
          </w:tcPr>
          <w:p>
            <w:pPr>
              <w:jc w:val="center"/>
              <w:rPr>
                <w:rFonts w:eastAsia="等线"/>
                <w:color w:val="000000"/>
                <w:szCs w:val="21"/>
              </w:rPr>
            </w:pPr>
            <w:r>
              <w:rPr>
                <w:rFonts w:eastAsia="等线"/>
                <w:color w:val="000000"/>
                <w:szCs w:val="21"/>
              </w:rPr>
              <w:t>0.00018</w:t>
            </w:r>
          </w:p>
        </w:tc>
        <w:tc>
          <w:tcPr>
            <w:tcW w:w="867" w:type="pct"/>
            <w:vAlign w:val="bottom"/>
          </w:tcPr>
          <w:p>
            <w:pPr>
              <w:jc w:val="center"/>
              <w:rPr>
                <w:rFonts w:eastAsia="等线"/>
                <w:color w:val="000000"/>
                <w:szCs w:val="21"/>
              </w:rPr>
            </w:pPr>
            <w:r>
              <w:rPr>
                <w:rFonts w:eastAsia="等线"/>
                <w:color w:val="000000"/>
                <w:szCs w:val="21"/>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300</w:t>
            </w:r>
          </w:p>
        </w:tc>
        <w:tc>
          <w:tcPr>
            <w:tcW w:w="1191" w:type="pct"/>
            <w:vAlign w:val="bottom"/>
          </w:tcPr>
          <w:p>
            <w:pPr>
              <w:jc w:val="center"/>
              <w:rPr>
                <w:rFonts w:eastAsia="等线"/>
                <w:color w:val="000000"/>
                <w:szCs w:val="21"/>
              </w:rPr>
            </w:pPr>
            <w:r>
              <w:rPr>
                <w:rFonts w:eastAsia="等线"/>
                <w:color w:val="000000"/>
                <w:szCs w:val="21"/>
              </w:rPr>
              <w:t>0.00134</w:t>
            </w:r>
          </w:p>
        </w:tc>
        <w:tc>
          <w:tcPr>
            <w:tcW w:w="869" w:type="pct"/>
            <w:vAlign w:val="bottom"/>
          </w:tcPr>
          <w:p>
            <w:pPr>
              <w:jc w:val="center"/>
              <w:rPr>
                <w:rFonts w:eastAsia="等线"/>
                <w:color w:val="000000"/>
                <w:szCs w:val="21"/>
              </w:rPr>
            </w:pPr>
            <w:r>
              <w:rPr>
                <w:rFonts w:eastAsia="等线"/>
                <w:color w:val="000000"/>
                <w:szCs w:val="21"/>
              </w:rPr>
              <w:t>0.67</w:t>
            </w:r>
          </w:p>
        </w:tc>
        <w:tc>
          <w:tcPr>
            <w:tcW w:w="1148" w:type="pct"/>
            <w:vAlign w:val="bottom"/>
          </w:tcPr>
          <w:p>
            <w:pPr>
              <w:jc w:val="center"/>
              <w:rPr>
                <w:rFonts w:eastAsia="等线"/>
                <w:color w:val="000000"/>
                <w:szCs w:val="21"/>
              </w:rPr>
            </w:pPr>
            <w:r>
              <w:rPr>
                <w:rFonts w:eastAsia="等线"/>
                <w:color w:val="000000"/>
                <w:szCs w:val="21"/>
              </w:rPr>
              <w:t>0.00013</w:t>
            </w:r>
          </w:p>
        </w:tc>
        <w:tc>
          <w:tcPr>
            <w:tcW w:w="867" w:type="pct"/>
            <w:vAlign w:val="bottom"/>
          </w:tcPr>
          <w:p>
            <w:pPr>
              <w:jc w:val="center"/>
              <w:rPr>
                <w:rFonts w:eastAsia="等线"/>
                <w:color w:val="000000"/>
                <w:szCs w:val="21"/>
              </w:rPr>
            </w:pPr>
            <w:r>
              <w:rPr>
                <w:rFonts w:eastAsia="等线"/>
                <w:color w:val="000000"/>
                <w:szCs w:val="21"/>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400</w:t>
            </w:r>
          </w:p>
        </w:tc>
        <w:tc>
          <w:tcPr>
            <w:tcW w:w="1191" w:type="pct"/>
            <w:vAlign w:val="bottom"/>
          </w:tcPr>
          <w:p>
            <w:pPr>
              <w:jc w:val="center"/>
              <w:rPr>
                <w:rFonts w:eastAsia="等线"/>
                <w:color w:val="000000"/>
                <w:szCs w:val="21"/>
              </w:rPr>
            </w:pPr>
            <w:r>
              <w:rPr>
                <w:rFonts w:eastAsia="等线"/>
                <w:color w:val="000000"/>
                <w:szCs w:val="21"/>
              </w:rPr>
              <w:t>0.00109</w:t>
            </w:r>
          </w:p>
        </w:tc>
        <w:tc>
          <w:tcPr>
            <w:tcW w:w="869" w:type="pct"/>
            <w:vAlign w:val="bottom"/>
          </w:tcPr>
          <w:p>
            <w:pPr>
              <w:jc w:val="center"/>
              <w:rPr>
                <w:rFonts w:eastAsia="等线"/>
                <w:color w:val="000000"/>
                <w:szCs w:val="21"/>
              </w:rPr>
            </w:pPr>
            <w:r>
              <w:rPr>
                <w:rFonts w:eastAsia="等线"/>
                <w:color w:val="000000"/>
                <w:szCs w:val="21"/>
              </w:rPr>
              <w:t>0.54</w:t>
            </w:r>
          </w:p>
        </w:tc>
        <w:tc>
          <w:tcPr>
            <w:tcW w:w="1148" w:type="pct"/>
            <w:vAlign w:val="bottom"/>
          </w:tcPr>
          <w:p>
            <w:pPr>
              <w:jc w:val="center"/>
              <w:rPr>
                <w:rFonts w:eastAsia="等线"/>
                <w:color w:val="000000"/>
                <w:szCs w:val="21"/>
              </w:rPr>
            </w:pPr>
            <w:r>
              <w:rPr>
                <w:rFonts w:eastAsia="等线"/>
                <w:color w:val="000000"/>
                <w:szCs w:val="21"/>
              </w:rPr>
              <w:t>0.00011</w:t>
            </w:r>
          </w:p>
        </w:tc>
        <w:tc>
          <w:tcPr>
            <w:tcW w:w="867" w:type="pct"/>
            <w:vAlign w:val="bottom"/>
          </w:tcPr>
          <w:p>
            <w:pPr>
              <w:jc w:val="center"/>
              <w:rPr>
                <w:rFonts w:eastAsia="等线"/>
                <w:color w:val="000000"/>
                <w:szCs w:val="21"/>
              </w:rPr>
            </w:pPr>
            <w:r>
              <w:rPr>
                <w:rFonts w:eastAsia="等线"/>
                <w:color w:val="000000"/>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500</w:t>
            </w:r>
          </w:p>
        </w:tc>
        <w:tc>
          <w:tcPr>
            <w:tcW w:w="1191" w:type="pct"/>
            <w:vAlign w:val="bottom"/>
          </w:tcPr>
          <w:p>
            <w:pPr>
              <w:jc w:val="center"/>
              <w:rPr>
                <w:rFonts w:eastAsia="等线"/>
                <w:color w:val="000000"/>
                <w:szCs w:val="21"/>
              </w:rPr>
            </w:pPr>
            <w:r>
              <w:rPr>
                <w:rFonts w:eastAsia="等线"/>
                <w:color w:val="000000"/>
                <w:szCs w:val="21"/>
              </w:rPr>
              <w:t>0.00093</w:t>
            </w:r>
          </w:p>
        </w:tc>
        <w:tc>
          <w:tcPr>
            <w:tcW w:w="869" w:type="pct"/>
            <w:vAlign w:val="bottom"/>
          </w:tcPr>
          <w:p>
            <w:pPr>
              <w:jc w:val="center"/>
              <w:rPr>
                <w:rFonts w:eastAsia="等线"/>
                <w:color w:val="000000"/>
                <w:szCs w:val="21"/>
              </w:rPr>
            </w:pPr>
            <w:r>
              <w:rPr>
                <w:rFonts w:eastAsia="等线"/>
                <w:color w:val="000000"/>
                <w:szCs w:val="21"/>
              </w:rPr>
              <w:t>0.46</w:t>
            </w:r>
          </w:p>
        </w:tc>
        <w:tc>
          <w:tcPr>
            <w:tcW w:w="1148" w:type="pct"/>
            <w:vAlign w:val="bottom"/>
          </w:tcPr>
          <w:p>
            <w:pPr>
              <w:jc w:val="center"/>
              <w:rPr>
                <w:rFonts w:eastAsia="等线"/>
                <w:color w:val="000000"/>
                <w:szCs w:val="21"/>
              </w:rPr>
            </w:pPr>
            <w:r>
              <w:rPr>
                <w:rFonts w:eastAsia="等线"/>
                <w:color w:val="000000"/>
                <w:szCs w:val="21"/>
              </w:rPr>
              <w:t>0.00009</w:t>
            </w:r>
          </w:p>
        </w:tc>
        <w:tc>
          <w:tcPr>
            <w:tcW w:w="867" w:type="pct"/>
            <w:vAlign w:val="bottom"/>
          </w:tcPr>
          <w:p>
            <w:pPr>
              <w:jc w:val="center"/>
              <w:rPr>
                <w:rFonts w:eastAsia="等线"/>
                <w:color w:val="000000"/>
                <w:szCs w:val="21"/>
              </w:rPr>
            </w:pPr>
            <w:r>
              <w:rPr>
                <w:rFonts w:eastAsia="等线"/>
                <w:color w:val="000000"/>
                <w:szCs w:val="21"/>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600</w:t>
            </w:r>
          </w:p>
        </w:tc>
        <w:tc>
          <w:tcPr>
            <w:tcW w:w="1191" w:type="pct"/>
            <w:vAlign w:val="bottom"/>
          </w:tcPr>
          <w:p>
            <w:pPr>
              <w:jc w:val="center"/>
              <w:rPr>
                <w:rFonts w:eastAsia="等线"/>
                <w:color w:val="000000"/>
                <w:szCs w:val="21"/>
              </w:rPr>
            </w:pPr>
            <w:r>
              <w:rPr>
                <w:rFonts w:eastAsia="等线"/>
                <w:color w:val="000000"/>
                <w:szCs w:val="21"/>
              </w:rPr>
              <w:t>0.00082</w:t>
            </w:r>
          </w:p>
        </w:tc>
        <w:tc>
          <w:tcPr>
            <w:tcW w:w="869" w:type="pct"/>
            <w:vAlign w:val="bottom"/>
          </w:tcPr>
          <w:p>
            <w:pPr>
              <w:jc w:val="center"/>
              <w:rPr>
                <w:rFonts w:eastAsia="等线"/>
                <w:color w:val="000000"/>
                <w:szCs w:val="21"/>
              </w:rPr>
            </w:pPr>
            <w:r>
              <w:rPr>
                <w:rFonts w:eastAsia="等线"/>
                <w:color w:val="000000"/>
                <w:szCs w:val="21"/>
              </w:rPr>
              <w:t>0.41</w:t>
            </w:r>
          </w:p>
        </w:tc>
        <w:tc>
          <w:tcPr>
            <w:tcW w:w="1148" w:type="pct"/>
            <w:vAlign w:val="bottom"/>
          </w:tcPr>
          <w:p>
            <w:pPr>
              <w:jc w:val="center"/>
              <w:rPr>
                <w:rFonts w:eastAsia="等线"/>
                <w:color w:val="000000"/>
                <w:szCs w:val="21"/>
              </w:rPr>
            </w:pPr>
            <w:r>
              <w:rPr>
                <w:rFonts w:eastAsia="等线"/>
                <w:color w:val="000000"/>
                <w:szCs w:val="21"/>
              </w:rPr>
              <w:t>0.00008</w:t>
            </w:r>
          </w:p>
        </w:tc>
        <w:tc>
          <w:tcPr>
            <w:tcW w:w="867" w:type="pct"/>
            <w:vAlign w:val="bottom"/>
          </w:tcPr>
          <w:p>
            <w:pPr>
              <w:jc w:val="center"/>
              <w:rPr>
                <w:rFonts w:eastAsia="等线"/>
                <w:color w:val="000000"/>
                <w:szCs w:val="21"/>
              </w:rPr>
            </w:pPr>
            <w:r>
              <w:rPr>
                <w:rFonts w:eastAsia="等线"/>
                <w:color w:val="000000"/>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700</w:t>
            </w:r>
          </w:p>
        </w:tc>
        <w:tc>
          <w:tcPr>
            <w:tcW w:w="1191" w:type="pct"/>
            <w:vAlign w:val="bottom"/>
          </w:tcPr>
          <w:p>
            <w:pPr>
              <w:jc w:val="center"/>
              <w:rPr>
                <w:rFonts w:eastAsia="等线"/>
                <w:color w:val="000000"/>
                <w:szCs w:val="21"/>
              </w:rPr>
            </w:pPr>
            <w:r>
              <w:rPr>
                <w:rFonts w:eastAsia="等线"/>
                <w:color w:val="000000"/>
                <w:szCs w:val="21"/>
              </w:rPr>
              <w:t>0.00073</w:t>
            </w:r>
          </w:p>
        </w:tc>
        <w:tc>
          <w:tcPr>
            <w:tcW w:w="869" w:type="pct"/>
            <w:vAlign w:val="bottom"/>
          </w:tcPr>
          <w:p>
            <w:pPr>
              <w:jc w:val="center"/>
              <w:rPr>
                <w:rFonts w:eastAsia="等线"/>
                <w:color w:val="000000"/>
                <w:szCs w:val="21"/>
              </w:rPr>
            </w:pPr>
            <w:r>
              <w:rPr>
                <w:rFonts w:eastAsia="等线"/>
                <w:color w:val="000000"/>
                <w:szCs w:val="21"/>
              </w:rPr>
              <w:t>0.37</w:t>
            </w:r>
          </w:p>
        </w:tc>
        <w:tc>
          <w:tcPr>
            <w:tcW w:w="1148" w:type="pct"/>
            <w:vAlign w:val="bottom"/>
          </w:tcPr>
          <w:p>
            <w:pPr>
              <w:jc w:val="center"/>
              <w:rPr>
                <w:rFonts w:eastAsia="等线"/>
                <w:color w:val="000000"/>
                <w:szCs w:val="21"/>
              </w:rPr>
            </w:pPr>
            <w:r>
              <w:rPr>
                <w:rFonts w:eastAsia="等线"/>
                <w:color w:val="000000"/>
                <w:szCs w:val="21"/>
              </w:rPr>
              <w:t>0.00007</w:t>
            </w:r>
          </w:p>
        </w:tc>
        <w:tc>
          <w:tcPr>
            <w:tcW w:w="867" w:type="pct"/>
            <w:vAlign w:val="bottom"/>
          </w:tcPr>
          <w:p>
            <w:pPr>
              <w:jc w:val="center"/>
              <w:rPr>
                <w:rFonts w:eastAsia="等线"/>
                <w:color w:val="000000"/>
                <w:szCs w:val="21"/>
              </w:rPr>
            </w:pPr>
            <w:r>
              <w:rPr>
                <w:rFonts w:eastAsia="等线"/>
                <w:color w:val="000000"/>
                <w:szCs w:val="21"/>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800</w:t>
            </w:r>
          </w:p>
        </w:tc>
        <w:tc>
          <w:tcPr>
            <w:tcW w:w="1191" w:type="pct"/>
            <w:vAlign w:val="bottom"/>
          </w:tcPr>
          <w:p>
            <w:pPr>
              <w:jc w:val="center"/>
              <w:rPr>
                <w:rFonts w:eastAsia="等线"/>
                <w:color w:val="000000"/>
                <w:szCs w:val="21"/>
              </w:rPr>
            </w:pPr>
            <w:r>
              <w:rPr>
                <w:rFonts w:eastAsia="等线"/>
                <w:color w:val="000000"/>
                <w:szCs w:val="21"/>
              </w:rPr>
              <w:t>0.00067</w:t>
            </w:r>
          </w:p>
        </w:tc>
        <w:tc>
          <w:tcPr>
            <w:tcW w:w="869" w:type="pct"/>
            <w:vAlign w:val="bottom"/>
          </w:tcPr>
          <w:p>
            <w:pPr>
              <w:jc w:val="center"/>
              <w:rPr>
                <w:rFonts w:eastAsia="等线"/>
                <w:color w:val="000000"/>
                <w:szCs w:val="21"/>
              </w:rPr>
            </w:pPr>
            <w:r>
              <w:rPr>
                <w:rFonts w:eastAsia="等线"/>
                <w:color w:val="000000"/>
                <w:szCs w:val="21"/>
              </w:rPr>
              <w:t>0.33</w:t>
            </w:r>
          </w:p>
        </w:tc>
        <w:tc>
          <w:tcPr>
            <w:tcW w:w="1148" w:type="pct"/>
            <w:vAlign w:val="bottom"/>
          </w:tcPr>
          <w:p>
            <w:pPr>
              <w:jc w:val="center"/>
              <w:rPr>
                <w:rFonts w:eastAsia="等线"/>
                <w:color w:val="000000"/>
                <w:szCs w:val="21"/>
              </w:rPr>
            </w:pPr>
            <w:r>
              <w:rPr>
                <w:rFonts w:eastAsia="等线"/>
                <w:color w:val="000000"/>
                <w:szCs w:val="21"/>
              </w:rPr>
              <w:t>0.00007</w:t>
            </w:r>
          </w:p>
        </w:tc>
        <w:tc>
          <w:tcPr>
            <w:tcW w:w="867" w:type="pct"/>
            <w:vAlign w:val="bottom"/>
          </w:tcPr>
          <w:p>
            <w:pPr>
              <w:jc w:val="center"/>
              <w:rPr>
                <w:rFonts w:eastAsia="等线"/>
                <w:color w:val="000000"/>
                <w:szCs w:val="21"/>
              </w:rPr>
            </w:pPr>
            <w:r>
              <w:rPr>
                <w:rFonts w:eastAsia="等线"/>
                <w:color w:val="000000"/>
                <w:szCs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900</w:t>
            </w:r>
          </w:p>
        </w:tc>
        <w:tc>
          <w:tcPr>
            <w:tcW w:w="1191" w:type="pct"/>
            <w:vAlign w:val="bottom"/>
          </w:tcPr>
          <w:p>
            <w:pPr>
              <w:jc w:val="center"/>
              <w:rPr>
                <w:rFonts w:eastAsia="等线"/>
                <w:color w:val="000000"/>
                <w:szCs w:val="21"/>
              </w:rPr>
            </w:pPr>
            <w:r>
              <w:rPr>
                <w:rFonts w:eastAsia="等线"/>
                <w:color w:val="000000"/>
                <w:szCs w:val="21"/>
              </w:rPr>
              <w:t>0.00061</w:t>
            </w:r>
          </w:p>
        </w:tc>
        <w:tc>
          <w:tcPr>
            <w:tcW w:w="869" w:type="pct"/>
            <w:vAlign w:val="bottom"/>
          </w:tcPr>
          <w:p>
            <w:pPr>
              <w:jc w:val="center"/>
              <w:rPr>
                <w:rFonts w:eastAsia="等线"/>
                <w:color w:val="000000"/>
                <w:szCs w:val="21"/>
              </w:rPr>
            </w:pPr>
            <w:r>
              <w:rPr>
                <w:rFonts w:eastAsia="等线"/>
                <w:color w:val="000000"/>
                <w:szCs w:val="21"/>
              </w:rPr>
              <w:t>0.31</w:t>
            </w:r>
          </w:p>
        </w:tc>
        <w:tc>
          <w:tcPr>
            <w:tcW w:w="1148" w:type="pct"/>
            <w:vAlign w:val="bottom"/>
          </w:tcPr>
          <w:p>
            <w:pPr>
              <w:jc w:val="center"/>
              <w:rPr>
                <w:rFonts w:eastAsia="等线"/>
                <w:color w:val="000000"/>
                <w:szCs w:val="21"/>
              </w:rPr>
            </w:pPr>
            <w:r>
              <w:rPr>
                <w:rFonts w:eastAsia="等线"/>
                <w:color w:val="000000"/>
                <w:szCs w:val="21"/>
              </w:rPr>
              <w:t>0.00006</w:t>
            </w:r>
          </w:p>
        </w:tc>
        <w:tc>
          <w:tcPr>
            <w:tcW w:w="867" w:type="pct"/>
            <w:vAlign w:val="bottom"/>
          </w:tcPr>
          <w:p>
            <w:pPr>
              <w:jc w:val="center"/>
              <w:rPr>
                <w:rFonts w:eastAsia="等线"/>
                <w:color w:val="000000"/>
                <w:szCs w:val="21"/>
              </w:rPr>
            </w:pPr>
            <w:r>
              <w:rPr>
                <w:rFonts w:eastAsia="等线"/>
                <w:color w:val="000000"/>
                <w:szCs w:val="21"/>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1000</w:t>
            </w:r>
          </w:p>
        </w:tc>
        <w:tc>
          <w:tcPr>
            <w:tcW w:w="1191" w:type="pct"/>
            <w:vAlign w:val="bottom"/>
          </w:tcPr>
          <w:p>
            <w:pPr>
              <w:jc w:val="center"/>
              <w:rPr>
                <w:rFonts w:eastAsia="等线"/>
                <w:color w:val="000000"/>
                <w:szCs w:val="21"/>
              </w:rPr>
            </w:pPr>
            <w:r>
              <w:rPr>
                <w:rFonts w:eastAsia="等线"/>
                <w:color w:val="000000"/>
                <w:szCs w:val="21"/>
              </w:rPr>
              <w:t>0.00057</w:t>
            </w:r>
          </w:p>
        </w:tc>
        <w:tc>
          <w:tcPr>
            <w:tcW w:w="869" w:type="pct"/>
            <w:vAlign w:val="bottom"/>
          </w:tcPr>
          <w:p>
            <w:pPr>
              <w:jc w:val="center"/>
              <w:rPr>
                <w:rFonts w:eastAsia="等线"/>
                <w:color w:val="000000"/>
                <w:szCs w:val="21"/>
              </w:rPr>
            </w:pPr>
            <w:r>
              <w:rPr>
                <w:rFonts w:eastAsia="等线"/>
                <w:color w:val="000000"/>
                <w:szCs w:val="21"/>
              </w:rPr>
              <w:t>0.28</w:t>
            </w:r>
          </w:p>
        </w:tc>
        <w:tc>
          <w:tcPr>
            <w:tcW w:w="1148" w:type="pct"/>
            <w:vAlign w:val="bottom"/>
          </w:tcPr>
          <w:p>
            <w:pPr>
              <w:jc w:val="center"/>
              <w:rPr>
                <w:rFonts w:eastAsia="等线"/>
                <w:color w:val="000000"/>
                <w:szCs w:val="21"/>
              </w:rPr>
            </w:pPr>
            <w:r>
              <w:rPr>
                <w:rFonts w:eastAsia="等线"/>
                <w:color w:val="000000"/>
                <w:szCs w:val="21"/>
              </w:rPr>
              <w:t>0.00006</w:t>
            </w:r>
          </w:p>
        </w:tc>
        <w:tc>
          <w:tcPr>
            <w:tcW w:w="867" w:type="pct"/>
            <w:vAlign w:val="bottom"/>
          </w:tcPr>
          <w:p>
            <w:pPr>
              <w:jc w:val="center"/>
              <w:rPr>
                <w:rFonts w:eastAsia="等线"/>
                <w:color w:val="000000"/>
                <w:szCs w:val="21"/>
              </w:rPr>
            </w:pPr>
            <w:r>
              <w:rPr>
                <w:rFonts w:eastAsia="等线"/>
                <w:color w:val="000000"/>
                <w:szCs w:val="21"/>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1500</w:t>
            </w:r>
          </w:p>
        </w:tc>
        <w:tc>
          <w:tcPr>
            <w:tcW w:w="1191" w:type="pct"/>
            <w:vAlign w:val="bottom"/>
          </w:tcPr>
          <w:p>
            <w:pPr>
              <w:jc w:val="center"/>
              <w:rPr>
                <w:rFonts w:eastAsia="等线"/>
                <w:color w:val="000000"/>
                <w:szCs w:val="21"/>
              </w:rPr>
            </w:pPr>
            <w:r>
              <w:rPr>
                <w:rFonts w:eastAsia="等线"/>
                <w:color w:val="000000"/>
                <w:szCs w:val="21"/>
              </w:rPr>
              <w:t>0.00046</w:t>
            </w:r>
          </w:p>
        </w:tc>
        <w:tc>
          <w:tcPr>
            <w:tcW w:w="869" w:type="pct"/>
            <w:vAlign w:val="bottom"/>
          </w:tcPr>
          <w:p>
            <w:pPr>
              <w:jc w:val="center"/>
              <w:rPr>
                <w:rFonts w:eastAsia="等线"/>
                <w:color w:val="000000"/>
                <w:szCs w:val="21"/>
              </w:rPr>
            </w:pPr>
            <w:r>
              <w:rPr>
                <w:rFonts w:eastAsia="等线"/>
                <w:color w:val="000000"/>
                <w:szCs w:val="21"/>
              </w:rPr>
              <w:t>0.23</w:t>
            </w:r>
          </w:p>
        </w:tc>
        <w:tc>
          <w:tcPr>
            <w:tcW w:w="1148" w:type="pct"/>
            <w:vAlign w:val="bottom"/>
          </w:tcPr>
          <w:p>
            <w:pPr>
              <w:jc w:val="center"/>
              <w:rPr>
                <w:rFonts w:eastAsia="等线"/>
                <w:color w:val="000000"/>
                <w:szCs w:val="21"/>
              </w:rPr>
            </w:pPr>
            <w:r>
              <w:rPr>
                <w:rFonts w:eastAsia="等线"/>
                <w:color w:val="000000"/>
                <w:szCs w:val="21"/>
              </w:rPr>
              <w:t>0.00005</w:t>
            </w:r>
          </w:p>
        </w:tc>
        <w:tc>
          <w:tcPr>
            <w:tcW w:w="867" w:type="pct"/>
            <w:vAlign w:val="bottom"/>
          </w:tcPr>
          <w:p>
            <w:pPr>
              <w:jc w:val="center"/>
              <w:rPr>
                <w:rFonts w:eastAsia="等线"/>
                <w:color w:val="000000"/>
                <w:szCs w:val="21"/>
              </w:rPr>
            </w:pPr>
            <w:r>
              <w:rPr>
                <w:rFonts w:eastAsia="等线"/>
                <w:color w:val="000000"/>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2000</w:t>
            </w:r>
          </w:p>
        </w:tc>
        <w:tc>
          <w:tcPr>
            <w:tcW w:w="1191" w:type="pct"/>
            <w:vAlign w:val="bottom"/>
          </w:tcPr>
          <w:p>
            <w:pPr>
              <w:jc w:val="center"/>
              <w:rPr>
                <w:rFonts w:eastAsia="等线"/>
                <w:color w:val="000000"/>
                <w:szCs w:val="21"/>
              </w:rPr>
            </w:pPr>
            <w:r>
              <w:rPr>
                <w:rFonts w:eastAsia="等线"/>
                <w:color w:val="000000"/>
                <w:szCs w:val="21"/>
              </w:rPr>
              <w:t>0.00041</w:t>
            </w:r>
          </w:p>
        </w:tc>
        <w:tc>
          <w:tcPr>
            <w:tcW w:w="869" w:type="pct"/>
            <w:vAlign w:val="bottom"/>
          </w:tcPr>
          <w:p>
            <w:pPr>
              <w:jc w:val="center"/>
              <w:rPr>
                <w:rFonts w:eastAsia="等线"/>
                <w:color w:val="000000"/>
                <w:szCs w:val="21"/>
              </w:rPr>
            </w:pPr>
            <w:r>
              <w:rPr>
                <w:rFonts w:eastAsia="等线"/>
                <w:color w:val="000000"/>
                <w:szCs w:val="21"/>
              </w:rPr>
              <w:t>0.21</w:t>
            </w:r>
          </w:p>
        </w:tc>
        <w:tc>
          <w:tcPr>
            <w:tcW w:w="1148" w:type="pct"/>
            <w:vAlign w:val="bottom"/>
          </w:tcPr>
          <w:p>
            <w:pPr>
              <w:jc w:val="center"/>
              <w:rPr>
                <w:rFonts w:eastAsia="等线"/>
                <w:color w:val="000000"/>
                <w:szCs w:val="21"/>
              </w:rPr>
            </w:pPr>
            <w:r>
              <w:rPr>
                <w:rFonts w:eastAsia="等线"/>
                <w:color w:val="000000"/>
                <w:szCs w:val="21"/>
              </w:rPr>
              <w:t>0.00004</w:t>
            </w:r>
          </w:p>
        </w:tc>
        <w:tc>
          <w:tcPr>
            <w:tcW w:w="867" w:type="pct"/>
            <w:vAlign w:val="bottom"/>
          </w:tcPr>
          <w:p>
            <w:pPr>
              <w:jc w:val="center"/>
              <w:rPr>
                <w:rFonts w:eastAsia="等线"/>
                <w:color w:val="000000"/>
                <w:szCs w:val="21"/>
              </w:rPr>
            </w:pPr>
            <w:r>
              <w:rPr>
                <w:rFonts w:eastAsia="等线"/>
                <w:color w:val="000000"/>
                <w:szCs w:val="21"/>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2500</w:t>
            </w:r>
          </w:p>
        </w:tc>
        <w:tc>
          <w:tcPr>
            <w:tcW w:w="1191" w:type="pct"/>
            <w:vAlign w:val="bottom"/>
          </w:tcPr>
          <w:p>
            <w:pPr>
              <w:jc w:val="center"/>
              <w:rPr>
                <w:rFonts w:eastAsia="等线"/>
                <w:color w:val="000000"/>
                <w:szCs w:val="21"/>
              </w:rPr>
            </w:pPr>
            <w:r>
              <w:rPr>
                <w:rFonts w:eastAsia="等线"/>
                <w:color w:val="000000"/>
                <w:szCs w:val="21"/>
              </w:rPr>
              <w:t>0.00038</w:t>
            </w:r>
          </w:p>
        </w:tc>
        <w:tc>
          <w:tcPr>
            <w:tcW w:w="869" w:type="pct"/>
            <w:vAlign w:val="bottom"/>
          </w:tcPr>
          <w:p>
            <w:pPr>
              <w:jc w:val="center"/>
              <w:rPr>
                <w:rFonts w:eastAsia="等线"/>
                <w:color w:val="000000"/>
                <w:szCs w:val="21"/>
              </w:rPr>
            </w:pPr>
            <w:r>
              <w:rPr>
                <w:rFonts w:eastAsia="等线"/>
                <w:color w:val="000000"/>
                <w:szCs w:val="21"/>
              </w:rPr>
              <w:t>0.19</w:t>
            </w:r>
          </w:p>
        </w:tc>
        <w:tc>
          <w:tcPr>
            <w:tcW w:w="1148" w:type="pct"/>
            <w:vAlign w:val="bottom"/>
          </w:tcPr>
          <w:p>
            <w:pPr>
              <w:jc w:val="center"/>
              <w:rPr>
                <w:rFonts w:eastAsia="等线"/>
                <w:color w:val="000000"/>
                <w:szCs w:val="21"/>
              </w:rPr>
            </w:pPr>
            <w:r>
              <w:rPr>
                <w:rFonts w:eastAsia="等线"/>
                <w:color w:val="000000"/>
                <w:szCs w:val="21"/>
              </w:rPr>
              <w:t>0.00004</w:t>
            </w:r>
          </w:p>
        </w:tc>
        <w:tc>
          <w:tcPr>
            <w:tcW w:w="867" w:type="pct"/>
            <w:vAlign w:val="bottom"/>
          </w:tcPr>
          <w:p>
            <w:pPr>
              <w:jc w:val="center"/>
              <w:rPr>
                <w:rFonts w:eastAsia="等线"/>
                <w:color w:val="000000"/>
                <w:szCs w:val="21"/>
              </w:rPr>
            </w:pPr>
            <w:r>
              <w:rPr>
                <w:rFonts w:eastAsia="等线"/>
                <w:color w:val="000000"/>
                <w:szCs w:val="21"/>
              </w:rPr>
              <w:t>0.38</w:t>
            </w:r>
          </w:p>
        </w:tc>
      </w:tr>
    </w:tbl>
    <w:p>
      <w:pPr>
        <w:spacing w:line="480" w:lineRule="exact"/>
        <w:jc w:val="center"/>
        <w:rPr>
          <w:rFonts w:ascii="黑体" w:hAnsi="黑体" w:eastAsia="黑体"/>
          <w:bCs/>
          <w:spacing w:val="6"/>
          <w:sz w:val="24"/>
        </w:rPr>
      </w:pPr>
    </w:p>
    <w:p>
      <w:pPr>
        <w:spacing w:line="480" w:lineRule="exact"/>
        <w:jc w:val="center"/>
        <w:rPr>
          <w:rFonts w:ascii="黑体" w:hAnsi="黑体" w:eastAsia="黑体"/>
          <w:bCs/>
          <w:spacing w:val="6"/>
          <w:sz w:val="24"/>
        </w:rPr>
      </w:pPr>
    </w:p>
    <w:p>
      <w:pPr>
        <w:spacing w:line="480" w:lineRule="exact"/>
        <w:jc w:val="center"/>
        <w:rPr>
          <w:rFonts w:ascii="黑体" w:hAnsi="黑体" w:eastAsia="黑体"/>
          <w:bCs/>
          <w:spacing w:val="6"/>
          <w:sz w:val="24"/>
        </w:rPr>
      </w:pPr>
    </w:p>
    <w:p>
      <w:pPr>
        <w:spacing w:line="480" w:lineRule="exact"/>
        <w:jc w:val="center"/>
        <w:rPr>
          <w:rFonts w:hint="eastAsia" w:ascii="黑体" w:hAnsi="黑体" w:eastAsia="黑体"/>
          <w:bCs/>
          <w:spacing w:val="6"/>
          <w:sz w:val="24"/>
        </w:rPr>
      </w:pPr>
    </w:p>
    <w:p>
      <w:pPr>
        <w:spacing w:line="480" w:lineRule="exact"/>
        <w:jc w:val="center"/>
        <w:rPr>
          <w:rFonts w:ascii="黑体" w:hAnsi="黑体" w:eastAsia="黑体"/>
          <w:bCs/>
          <w:spacing w:val="6"/>
          <w:sz w:val="24"/>
        </w:rPr>
      </w:pPr>
      <w:r>
        <w:rPr>
          <w:rFonts w:hint="eastAsia" w:ascii="黑体" w:hAnsi="黑体" w:eastAsia="黑体"/>
          <w:bCs/>
          <w:spacing w:val="6"/>
          <w:sz w:val="24"/>
        </w:rPr>
        <w:t>表5.2-5</w:t>
      </w:r>
      <w:r>
        <w:rPr>
          <w:rFonts w:ascii="黑体" w:hAnsi="黑体" w:eastAsia="黑体"/>
          <w:bCs/>
          <w:spacing w:val="6"/>
          <w:sz w:val="24"/>
        </w:rPr>
        <w:t xml:space="preserve">e </w:t>
      </w:r>
      <w:r>
        <w:rPr>
          <w:rFonts w:hint="eastAsia" w:ascii="黑体" w:hAnsi="黑体" w:eastAsia="黑体"/>
          <w:bCs/>
          <w:spacing w:val="6"/>
          <w:sz w:val="24"/>
        </w:rPr>
        <w:t xml:space="preserve"> 污水处理站面源估算模型计算结果</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8"/>
        <w:gridCol w:w="3213"/>
        <w:gridCol w:w="2432"/>
        <w:gridCol w:w="3327"/>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Merge w:val="restart"/>
            <w:vAlign w:val="center"/>
          </w:tcPr>
          <w:p>
            <w:pPr>
              <w:snapToGrid w:val="0"/>
              <w:jc w:val="center"/>
              <w:rPr>
                <w:bCs/>
                <w:spacing w:val="6"/>
                <w:sz w:val="24"/>
              </w:rPr>
            </w:pPr>
            <w:r>
              <w:rPr>
                <w:bCs/>
                <w:spacing w:val="6"/>
                <w:sz w:val="24"/>
              </w:rPr>
              <w:t>下风向距离（m）</w:t>
            </w:r>
          </w:p>
        </w:tc>
        <w:tc>
          <w:tcPr>
            <w:tcW w:w="2017" w:type="pct"/>
            <w:gridSpan w:val="2"/>
            <w:vAlign w:val="center"/>
          </w:tcPr>
          <w:p>
            <w:pPr>
              <w:snapToGrid w:val="0"/>
              <w:jc w:val="center"/>
              <w:rPr>
                <w:bCs/>
                <w:spacing w:val="6"/>
                <w:sz w:val="24"/>
              </w:rPr>
            </w:pPr>
            <w:r>
              <w:rPr>
                <w:rFonts w:hint="eastAsia"/>
                <w:bCs/>
                <w:spacing w:val="6"/>
                <w:sz w:val="24"/>
              </w:rPr>
              <w:t>氨</w:t>
            </w:r>
          </w:p>
        </w:tc>
        <w:tc>
          <w:tcPr>
            <w:tcW w:w="2058" w:type="pct"/>
            <w:gridSpan w:val="2"/>
            <w:tcBorders>
              <w:left w:val="single" w:color="000000" w:sz="2" w:space="0"/>
            </w:tcBorders>
            <w:vAlign w:val="center"/>
          </w:tcPr>
          <w:p>
            <w:pPr>
              <w:snapToGrid w:val="0"/>
              <w:jc w:val="center"/>
              <w:rPr>
                <w:bCs/>
                <w:spacing w:val="6"/>
                <w:sz w:val="24"/>
              </w:rPr>
            </w:pPr>
            <w:r>
              <w:rPr>
                <w:bCs/>
                <w:spacing w:val="6"/>
                <w:sz w:val="24"/>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Merge w:val="continue"/>
            <w:vAlign w:val="center"/>
          </w:tcPr>
          <w:p>
            <w:pPr>
              <w:snapToGrid w:val="0"/>
              <w:jc w:val="center"/>
              <w:rPr>
                <w:bCs/>
                <w:spacing w:val="6"/>
                <w:sz w:val="24"/>
              </w:rPr>
            </w:pPr>
          </w:p>
        </w:tc>
        <w:tc>
          <w:tcPr>
            <w:tcW w:w="1148" w:type="pct"/>
            <w:tcBorders>
              <w:right w:val="single" w:color="000000" w:sz="2" w:space="0"/>
            </w:tcBorders>
            <w:vAlign w:val="center"/>
          </w:tcPr>
          <w:p>
            <w:pPr>
              <w:snapToGrid w:val="0"/>
              <w:jc w:val="center"/>
              <w:rPr>
                <w:bCs/>
                <w:spacing w:val="6"/>
                <w:sz w:val="24"/>
              </w:rPr>
            </w:pPr>
            <w:r>
              <w:rPr>
                <w:bCs/>
                <w:spacing w:val="6"/>
                <w:sz w:val="24"/>
              </w:rPr>
              <w:t>预测质量浓度</w:t>
            </w:r>
            <w:r>
              <w:rPr>
                <w:kern w:val="0"/>
                <w:szCs w:val="21"/>
              </w:rPr>
              <w:t>（mg/m</w:t>
            </w:r>
            <w:r>
              <w:rPr>
                <w:kern w:val="0"/>
                <w:szCs w:val="21"/>
                <w:vertAlign w:val="superscript"/>
              </w:rPr>
              <w:t>3</w:t>
            </w:r>
            <w:r>
              <w:rPr>
                <w:kern w:val="0"/>
                <w:szCs w:val="21"/>
              </w:rPr>
              <w:t>）</w:t>
            </w:r>
          </w:p>
        </w:tc>
        <w:tc>
          <w:tcPr>
            <w:tcW w:w="869" w:type="pct"/>
            <w:tcBorders>
              <w:left w:val="single" w:color="000000" w:sz="2" w:space="0"/>
            </w:tcBorders>
            <w:vAlign w:val="center"/>
          </w:tcPr>
          <w:p>
            <w:pPr>
              <w:snapToGrid w:val="0"/>
              <w:jc w:val="center"/>
              <w:rPr>
                <w:bCs/>
                <w:spacing w:val="6"/>
                <w:sz w:val="24"/>
              </w:rPr>
            </w:pPr>
            <w:r>
              <w:rPr>
                <w:bCs/>
                <w:spacing w:val="6"/>
                <w:sz w:val="24"/>
              </w:rPr>
              <w:t>占标率（%）</w:t>
            </w:r>
          </w:p>
        </w:tc>
        <w:tc>
          <w:tcPr>
            <w:tcW w:w="1189" w:type="pct"/>
            <w:tcBorders>
              <w:left w:val="single" w:color="000000" w:sz="2" w:space="0"/>
            </w:tcBorders>
            <w:vAlign w:val="center"/>
          </w:tcPr>
          <w:p>
            <w:pPr>
              <w:snapToGrid w:val="0"/>
              <w:jc w:val="center"/>
              <w:rPr>
                <w:bCs/>
                <w:spacing w:val="6"/>
                <w:sz w:val="24"/>
              </w:rPr>
            </w:pPr>
            <w:r>
              <w:rPr>
                <w:bCs/>
                <w:spacing w:val="6"/>
                <w:sz w:val="24"/>
              </w:rPr>
              <w:t>预测质量浓度</w:t>
            </w:r>
            <w:r>
              <w:rPr>
                <w:kern w:val="0"/>
                <w:szCs w:val="21"/>
              </w:rPr>
              <w:t>（mg/m</w:t>
            </w:r>
            <w:r>
              <w:rPr>
                <w:kern w:val="0"/>
                <w:szCs w:val="21"/>
                <w:vertAlign w:val="superscript"/>
              </w:rPr>
              <w:t>3</w:t>
            </w:r>
            <w:r>
              <w:rPr>
                <w:kern w:val="0"/>
                <w:szCs w:val="21"/>
              </w:rPr>
              <w:t>）</w:t>
            </w:r>
          </w:p>
        </w:tc>
        <w:tc>
          <w:tcPr>
            <w:tcW w:w="869" w:type="pct"/>
            <w:tcBorders>
              <w:left w:val="single" w:color="000000" w:sz="2" w:space="0"/>
            </w:tcBorders>
            <w:vAlign w:val="center"/>
          </w:tcPr>
          <w:p>
            <w:pPr>
              <w:snapToGrid w:val="0"/>
              <w:jc w:val="center"/>
              <w:rPr>
                <w:bCs/>
                <w:spacing w:val="6"/>
                <w:sz w:val="24"/>
              </w:rPr>
            </w:pPr>
            <w:r>
              <w:rPr>
                <w:bCs/>
                <w:spacing w:val="6"/>
                <w:sz w:val="24"/>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shd w:val="clear" w:color="auto" w:fill="D8D8D8" w:themeFill="background1" w:themeFillShade="D9"/>
            <w:vAlign w:val="center"/>
          </w:tcPr>
          <w:p>
            <w:pPr>
              <w:widowControl/>
              <w:jc w:val="center"/>
              <w:rPr>
                <w:rFonts w:eastAsia="等线"/>
                <w:color w:val="000000"/>
                <w:szCs w:val="21"/>
              </w:rPr>
            </w:pPr>
            <w:r>
              <w:rPr>
                <w:rFonts w:eastAsia="等线"/>
                <w:color w:val="000000"/>
                <w:szCs w:val="21"/>
              </w:rPr>
              <w:t>10</w:t>
            </w:r>
          </w:p>
        </w:tc>
        <w:tc>
          <w:tcPr>
            <w:tcW w:w="1148" w:type="pct"/>
            <w:shd w:val="clear" w:color="auto" w:fill="D8D8D8" w:themeFill="background1" w:themeFillShade="D9"/>
            <w:vAlign w:val="bottom"/>
          </w:tcPr>
          <w:p>
            <w:pPr>
              <w:widowControl/>
              <w:jc w:val="center"/>
              <w:rPr>
                <w:rFonts w:eastAsia="等线"/>
                <w:color w:val="000000"/>
                <w:szCs w:val="21"/>
              </w:rPr>
            </w:pPr>
            <w:r>
              <w:rPr>
                <w:rFonts w:eastAsia="等线"/>
                <w:color w:val="000000"/>
                <w:szCs w:val="21"/>
              </w:rPr>
              <w:t>0.000470</w:t>
            </w:r>
          </w:p>
        </w:tc>
        <w:tc>
          <w:tcPr>
            <w:tcW w:w="869" w:type="pct"/>
            <w:shd w:val="clear" w:color="auto" w:fill="D8D8D8" w:themeFill="background1" w:themeFillShade="D9"/>
            <w:vAlign w:val="bottom"/>
          </w:tcPr>
          <w:p>
            <w:pPr>
              <w:widowControl/>
              <w:jc w:val="center"/>
              <w:rPr>
                <w:rFonts w:eastAsia="等线"/>
                <w:color w:val="000000"/>
                <w:szCs w:val="21"/>
              </w:rPr>
            </w:pPr>
            <w:r>
              <w:rPr>
                <w:rFonts w:eastAsia="等线"/>
                <w:color w:val="000000"/>
                <w:szCs w:val="21"/>
              </w:rPr>
              <w:t>0.23</w:t>
            </w:r>
          </w:p>
        </w:tc>
        <w:tc>
          <w:tcPr>
            <w:tcW w:w="1189" w:type="pct"/>
            <w:shd w:val="clear" w:color="auto" w:fill="D8D8D8" w:themeFill="background1" w:themeFillShade="D9"/>
            <w:vAlign w:val="bottom"/>
          </w:tcPr>
          <w:p>
            <w:pPr>
              <w:widowControl/>
              <w:jc w:val="center"/>
              <w:rPr>
                <w:rFonts w:eastAsia="等线"/>
                <w:color w:val="000000"/>
                <w:szCs w:val="21"/>
              </w:rPr>
            </w:pPr>
            <w:r>
              <w:rPr>
                <w:rFonts w:eastAsia="等线"/>
                <w:color w:val="000000"/>
                <w:szCs w:val="21"/>
              </w:rPr>
              <w:t>0.000009</w:t>
            </w:r>
          </w:p>
        </w:tc>
        <w:tc>
          <w:tcPr>
            <w:tcW w:w="869" w:type="pct"/>
            <w:shd w:val="clear" w:color="auto" w:fill="D8D8D8" w:themeFill="background1" w:themeFillShade="D9"/>
            <w:vAlign w:val="bottom"/>
          </w:tcPr>
          <w:p>
            <w:pPr>
              <w:widowControl/>
              <w:jc w:val="center"/>
              <w:rPr>
                <w:rFonts w:eastAsia="等线"/>
                <w:color w:val="000000"/>
                <w:szCs w:val="21"/>
              </w:rPr>
            </w:pPr>
            <w:r>
              <w:rPr>
                <w:rFonts w:eastAsia="等线"/>
                <w:color w:val="000000"/>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shd w:val="clear" w:color="auto" w:fill="auto"/>
            <w:vAlign w:val="center"/>
          </w:tcPr>
          <w:p>
            <w:pPr>
              <w:jc w:val="center"/>
              <w:rPr>
                <w:rFonts w:eastAsia="等线"/>
                <w:color w:val="000000"/>
                <w:szCs w:val="21"/>
              </w:rPr>
            </w:pPr>
            <w:r>
              <w:rPr>
                <w:rFonts w:eastAsia="等线"/>
                <w:color w:val="000000"/>
                <w:szCs w:val="21"/>
              </w:rPr>
              <w:t>50</w:t>
            </w:r>
          </w:p>
        </w:tc>
        <w:tc>
          <w:tcPr>
            <w:tcW w:w="1148" w:type="pct"/>
            <w:shd w:val="clear" w:color="auto" w:fill="auto"/>
            <w:vAlign w:val="bottom"/>
          </w:tcPr>
          <w:p>
            <w:pPr>
              <w:jc w:val="center"/>
              <w:rPr>
                <w:rFonts w:eastAsia="等线"/>
                <w:color w:val="000000"/>
                <w:szCs w:val="21"/>
              </w:rPr>
            </w:pPr>
            <w:r>
              <w:rPr>
                <w:rFonts w:eastAsia="等线"/>
                <w:color w:val="000000"/>
                <w:szCs w:val="21"/>
              </w:rPr>
              <w:t>0.000243</w:t>
            </w:r>
          </w:p>
        </w:tc>
        <w:tc>
          <w:tcPr>
            <w:tcW w:w="869" w:type="pct"/>
            <w:shd w:val="clear" w:color="auto" w:fill="auto"/>
            <w:vAlign w:val="bottom"/>
          </w:tcPr>
          <w:p>
            <w:pPr>
              <w:jc w:val="center"/>
              <w:rPr>
                <w:rFonts w:eastAsia="等线"/>
                <w:color w:val="000000"/>
                <w:szCs w:val="21"/>
              </w:rPr>
            </w:pPr>
            <w:r>
              <w:rPr>
                <w:rFonts w:eastAsia="等线"/>
                <w:color w:val="000000"/>
                <w:szCs w:val="21"/>
              </w:rPr>
              <w:t>0.12</w:t>
            </w:r>
          </w:p>
        </w:tc>
        <w:tc>
          <w:tcPr>
            <w:tcW w:w="1189" w:type="pct"/>
            <w:shd w:val="clear" w:color="auto" w:fill="auto"/>
            <w:vAlign w:val="bottom"/>
          </w:tcPr>
          <w:p>
            <w:pPr>
              <w:jc w:val="center"/>
              <w:rPr>
                <w:rFonts w:eastAsia="等线"/>
                <w:color w:val="000000"/>
                <w:szCs w:val="21"/>
              </w:rPr>
            </w:pPr>
            <w:r>
              <w:rPr>
                <w:rFonts w:eastAsia="等线"/>
                <w:color w:val="000000"/>
                <w:szCs w:val="21"/>
              </w:rPr>
              <w:t>0.000005</w:t>
            </w:r>
          </w:p>
        </w:tc>
        <w:tc>
          <w:tcPr>
            <w:tcW w:w="869" w:type="pct"/>
            <w:shd w:val="clear" w:color="auto" w:fill="auto"/>
            <w:vAlign w:val="bottom"/>
          </w:tcPr>
          <w:p>
            <w:pPr>
              <w:jc w:val="center"/>
              <w:rPr>
                <w:rFonts w:eastAsia="等线"/>
                <w:color w:val="000000"/>
                <w:szCs w:val="21"/>
              </w:rPr>
            </w:pPr>
            <w:r>
              <w:rPr>
                <w:rFonts w:eastAsia="等线"/>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100</w:t>
            </w:r>
          </w:p>
        </w:tc>
        <w:tc>
          <w:tcPr>
            <w:tcW w:w="1148" w:type="pct"/>
            <w:vAlign w:val="bottom"/>
          </w:tcPr>
          <w:p>
            <w:pPr>
              <w:jc w:val="center"/>
              <w:rPr>
                <w:rFonts w:eastAsia="等线"/>
                <w:color w:val="000000"/>
                <w:szCs w:val="21"/>
              </w:rPr>
            </w:pPr>
            <w:r>
              <w:rPr>
                <w:rFonts w:eastAsia="等线"/>
                <w:color w:val="000000"/>
                <w:szCs w:val="21"/>
              </w:rPr>
              <w:t>0.000174</w:t>
            </w:r>
          </w:p>
        </w:tc>
        <w:tc>
          <w:tcPr>
            <w:tcW w:w="869" w:type="pct"/>
            <w:vAlign w:val="bottom"/>
          </w:tcPr>
          <w:p>
            <w:pPr>
              <w:jc w:val="center"/>
              <w:rPr>
                <w:rFonts w:eastAsia="等线"/>
                <w:color w:val="000000"/>
                <w:szCs w:val="21"/>
              </w:rPr>
            </w:pPr>
            <w:r>
              <w:rPr>
                <w:rFonts w:eastAsia="等线"/>
                <w:color w:val="000000"/>
                <w:szCs w:val="21"/>
              </w:rPr>
              <w:t>0.09</w:t>
            </w:r>
          </w:p>
        </w:tc>
        <w:tc>
          <w:tcPr>
            <w:tcW w:w="1189" w:type="pct"/>
            <w:vAlign w:val="bottom"/>
          </w:tcPr>
          <w:p>
            <w:pPr>
              <w:jc w:val="center"/>
              <w:rPr>
                <w:rFonts w:eastAsia="等线"/>
                <w:color w:val="000000"/>
                <w:szCs w:val="21"/>
              </w:rPr>
            </w:pPr>
            <w:r>
              <w:rPr>
                <w:rFonts w:eastAsia="等线"/>
                <w:color w:val="000000"/>
                <w:szCs w:val="21"/>
              </w:rPr>
              <w:t>0.000003</w:t>
            </w:r>
          </w:p>
        </w:tc>
        <w:tc>
          <w:tcPr>
            <w:tcW w:w="869" w:type="pct"/>
            <w:vAlign w:val="bottom"/>
          </w:tcPr>
          <w:p>
            <w:pPr>
              <w:jc w:val="center"/>
              <w:rPr>
                <w:rFonts w:eastAsia="等线"/>
                <w:color w:val="000000"/>
                <w:szCs w:val="21"/>
              </w:rPr>
            </w:pPr>
            <w:r>
              <w:rPr>
                <w:rFonts w:eastAsia="等线"/>
                <w:color w:val="00000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200</w:t>
            </w:r>
          </w:p>
        </w:tc>
        <w:tc>
          <w:tcPr>
            <w:tcW w:w="1148" w:type="pct"/>
            <w:vAlign w:val="bottom"/>
          </w:tcPr>
          <w:p>
            <w:pPr>
              <w:jc w:val="center"/>
              <w:rPr>
                <w:rFonts w:eastAsia="等线"/>
                <w:color w:val="000000"/>
                <w:szCs w:val="21"/>
              </w:rPr>
            </w:pPr>
            <w:r>
              <w:rPr>
                <w:rFonts w:eastAsia="等线"/>
                <w:color w:val="000000"/>
                <w:szCs w:val="21"/>
              </w:rPr>
              <w:t>0.000099</w:t>
            </w:r>
          </w:p>
        </w:tc>
        <w:tc>
          <w:tcPr>
            <w:tcW w:w="869" w:type="pct"/>
            <w:vAlign w:val="bottom"/>
          </w:tcPr>
          <w:p>
            <w:pPr>
              <w:jc w:val="center"/>
              <w:rPr>
                <w:rFonts w:eastAsia="等线"/>
                <w:color w:val="000000"/>
                <w:szCs w:val="21"/>
              </w:rPr>
            </w:pPr>
            <w:r>
              <w:rPr>
                <w:rFonts w:eastAsia="等线"/>
                <w:color w:val="000000"/>
                <w:szCs w:val="21"/>
              </w:rPr>
              <w:t>0.05</w:t>
            </w:r>
          </w:p>
        </w:tc>
        <w:tc>
          <w:tcPr>
            <w:tcW w:w="1189" w:type="pct"/>
            <w:vAlign w:val="bottom"/>
          </w:tcPr>
          <w:p>
            <w:pPr>
              <w:jc w:val="center"/>
              <w:rPr>
                <w:rFonts w:eastAsia="等线"/>
                <w:color w:val="000000"/>
                <w:szCs w:val="21"/>
              </w:rPr>
            </w:pPr>
            <w:r>
              <w:rPr>
                <w:rFonts w:eastAsia="等线"/>
                <w:color w:val="000000"/>
                <w:szCs w:val="21"/>
              </w:rPr>
              <w:t>0.000002</w:t>
            </w:r>
          </w:p>
        </w:tc>
        <w:tc>
          <w:tcPr>
            <w:tcW w:w="869" w:type="pct"/>
            <w:vAlign w:val="bottom"/>
          </w:tcPr>
          <w:p>
            <w:pPr>
              <w:jc w:val="center"/>
              <w:rPr>
                <w:rFonts w:eastAsia="等线"/>
                <w:color w:val="000000"/>
                <w:szCs w:val="21"/>
              </w:rPr>
            </w:pPr>
            <w:r>
              <w:rPr>
                <w:rFonts w:eastAsia="等线"/>
                <w:color w:val="00000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300</w:t>
            </w:r>
          </w:p>
        </w:tc>
        <w:tc>
          <w:tcPr>
            <w:tcW w:w="1148" w:type="pct"/>
            <w:vAlign w:val="bottom"/>
          </w:tcPr>
          <w:p>
            <w:pPr>
              <w:jc w:val="center"/>
              <w:rPr>
                <w:rFonts w:eastAsia="等线"/>
                <w:color w:val="000000"/>
                <w:szCs w:val="21"/>
              </w:rPr>
            </w:pPr>
            <w:r>
              <w:rPr>
                <w:rFonts w:eastAsia="等线"/>
                <w:color w:val="000000"/>
                <w:szCs w:val="21"/>
              </w:rPr>
              <w:t>0.000073</w:t>
            </w:r>
          </w:p>
        </w:tc>
        <w:tc>
          <w:tcPr>
            <w:tcW w:w="869" w:type="pct"/>
            <w:vAlign w:val="bottom"/>
          </w:tcPr>
          <w:p>
            <w:pPr>
              <w:jc w:val="center"/>
              <w:rPr>
                <w:rFonts w:eastAsia="等线"/>
                <w:color w:val="000000"/>
                <w:szCs w:val="21"/>
              </w:rPr>
            </w:pPr>
            <w:r>
              <w:rPr>
                <w:rFonts w:eastAsia="等线"/>
                <w:color w:val="000000"/>
                <w:szCs w:val="21"/>
              </w:rPr>
              <w:t>0.04</w:t>
            </w:r>
          </w:p>
        </w:tc>
        <w:tc>
          <w:tcPr>
            <w:tcW w:w="1189" w:type="pct"/>
            <w:vAlign w:val="bottom"/>
          </w:tcPr>
          <w:p>
            <w:pPr>
              <w:jc w:val="center"/>
              <w:rPr>
                <w:rFonts w:eastAsia="等线"/>
                <w:color w:val="000000"/>
                <w:szCs w:val="21"/>
              </w:rPr>
            </w:pPr>
            <w:r>
              <w:rPr>
                <w:rFonts w:eastAsia="等线"/>
                <w:color w:val="000000"/>
                <w:szCs w:val="21"/>
              </w:rPr>
              <w:t>0.000001</w:t>
            </w:r>
          </w:p>
        </w:tc>
        <w:tc>
          <w:tcPr>
            <w:tcW w:w="869" w:type="pct"/>
            <w:vAlign w:val="bottom"/>
          </w:tcPr>
          <w:p>
            <w:pPr>
              <w:jc w:val="center"/>
              <w:rPr>
                <w:rFonts w:eastAsia="等线"/>
                <w:color w:val="000000"/>
                <w:szCs w:val="21"/>
              </w:rPr>
            </w:pPr>
            <w:r>
              <w:rPr>
                <w:rFonts w:eastAsia="等线"/>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400</w:t>
            </w:r>
          </w:p>
        </w:tc>
        <w:tc>
          <w:tcPr>
            <w:tcW w:w="1148" w:type="pct"/>
            <w:vAlign w:val="bottom"/>
          </w:tcPr>
          <w:p>
            <w:pPr>
              <w:jc w:val="center"/>
              <w:rPr>
                <w:rFonts w:eastAsia="等线"/>
                <w:color w:val="000000"/>
                <w:szCs w:val="21"/>
              </w:rPr>
            </w:pPr>
            <w:r>
              <w:rPr>
                <w:rFonts w:eastAsia="等线"/>
                <w:color w:val="000000"/>
                <w:szCs w:val="21"/>
              </w:rPr>
              <w:t>0.000060</w:t>
            </w:r>
          </w:p>
        </w:tc>
        <w:tc>
          <w:tcPr>
            <w:tcW w:w="869" w:type="pct"/>
            <w:vAlign w:val="bottom"/>
          </w:tcPr>
          <w:p>
            <w:pPr>
              <w:jc w:val="center"/>
              <w:rPr>
                <w:rFonts w:eastAsia="等线"/>
                <w:color w:val="000000"/>
                <w:szCs w:val="21"/>
              </w:rPr>
            </w:pPr>
            <w:r>
              <w:rPr>
                <w:rFonts w:eastAsia="等线"/>
                <w:color w:val="000000"/>
                <w:szCs w:val="21"/>
              </w:rPr>
              <w:t>0.03</w:t>
            </w:r>
          </w:p>
        </w:tc>
        <w:tc>
          <w:tcPr>
            <w:tcW w:w="1189" w:type="pct"/>
            <w:vAlign w:val="bottom"/>
          </w:tcPr>
          <w:p>
            <w:pPr>
              <w:jc w:val="center"/>
              <w:rPr>
                <w:rFonts w:eastAsia="等线"/>
                <w:color w:val="000000"/>
                <w:szCs w:val="21"/>
              </w:rPr>
            </w:pPr>
            <w:r>
              <w:rPr>
                <w:rFonts w:eastAsia="等线"/>
                <w:color w:val="000000"/>
                <w:szCs w:val="21"/>
              </w:rPr>
              <w:t>0.000001</w:t>
            </w:r>
          </w:p>
        </w:tc>
        <w:tc>
          <w:tcPr>
            <w:tcW w:w="869" w:type="pct"/>
            <w:vAlign w:val="bottom"/>
          </w:tcPr>
          <w:p>
            <w:pPr>
              <w:jc w:val="center"/>
              <w:rPr>
                <w:rFonts w:eastAsia="等线"/>
                <w:color w:val="000000"/>
                <w:szCs w:val="21"/>
              </w:rPr>
            </w:pPr>
            <w:r>
              <w:rPr>
                <w:rFonts w:eastAsia="等线"/>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500</w:t>
            </w:r>
          </w:p>
        </w:tc>
        <w:tc>
          <w:tcPr>
            <w:tcW w:w="1148" w:type="pct"/>
            <w:vAlign w:val="bottom"/>
          </w:tcPr>
          <w:p>
            <w:pPr>
              <w:jc w:val="center"/>
              <w:rPr>
                <w:rFonts w:eastAsia="等线"/>
                <w:color w:val="000000"/>
                <w:szCs w:val="21"/>
              </w:rPr>
            </w:pPr>
            <w:r>
              <w:rPr>
                <w:rFonts w:eastAsia="等线"/>
                <w:color w:val="000000"/>
                <w:szCs w:val="21"/>
              </w:rPr>
              <w:t>0.000051</w:t>
            </w:r>
          </w:p>
        </w:tc>
        <w:tc>
          <w:tcPr>
            <w:tcW w:w="869" w:type="pct"/>
            <w:vAlign w:val="bottom"/>
          </w:tcPr>
          <w:p>
            <w:pPr>
              <w:jc w:val="center"/>
              <w:rPr>
                <w:rFonts w:eastAsia="等线"/>
                <w:color w:val="000000"/>
                <w:szCs w:val="21"/>
              </w:rPr>
            </w:pPr>
            <w:r>
              <w:rPr>
                <w:rFonts w:eastAsia="等线"/>
                <w:color w:val="000000"/>
                <w:szCs w:val="21"/>
              </w:rPr>
              <w:t>0.03</w:t>
            </w:r>
          </w:p>
        </w:tc>
        <w:tc>
          <w:tcPr>
            <w:tcW w:w="1189" w:type="pct"/>
            <w:vAlign w:val="bottom"/>
          </w:tcPr>
          <w:p>
            <w:pPr>
              <w:jc w:val="center"/>
              <w:rPr>
                <w:rFonts w:eastAsia="等线"/>
                <w:color w:val="000000"/>
                <w:szCs w:val="21"/>
              </w:rPr>
            </w:pPr>
            <w:r>
              <w:rPr>
                <w:rFonts w:eastAsia="等线"/>
                <w:color w:val="000000"/>
                <w:szCs w:val="21"/>
              </w:rPr>
              <w:t>0.000001</w:t>
            </w:r>
          </w:p>
        </w:tc>
        <w:tc>
          <w:tcPr>
            <w:tcW w:w="869" w:type="pct"/>
            <w:vAlign w:val="bottom"/>
          </w:tcPr>
          <w:p>
            <w:pPr>
              <w:jc w:val="center"/>
              <w:rPr>
                <w:rFonts w:eastAsia="等线"/>
                <w:color w:val="000000"/>
                <w:szCs w:val="21"/>
              </w:rPr>
            </w:pPr>
            <w:r>
              <w:rPr>
                <w:rFonts w:eastAsia="等线"/>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600</w:t>
            </w:r>
          </w:p>
        </w:tc>
        <w:tc>
          <w:tcPr>
            <w:tcW w:w="1148" w:type="pct"/>
            <w:vAlign w:val="bottom"/>
          </w:tcPr>
          <w:p>
            <w:pPr>
              <w:jc w:val="center"/>
              <w:rPr>
                <w:rFonts w:eastAsia="等线"/>
                <w:color w:val="000000"/>
                <w:szCs w:val="21"/>
              </w:rPr>
            </w:pPr>
            <w:r>
              <w:rPr>
                <w:rFonts w:eastAsia="等线"/>
                <w:color w:val="000000"/>
                <w:szCs w:val="21"/>
              </w:rPr>
              <w:t>0.000045</w:t>
            </w:r>
          </w:p>
        </w:tc>
        <w:tc>
          <w:tcPr>
            <w:tcW w:w="869" w:type="pct"/>
            <w:vAlign w:val="bottom"/>
          </w:tcPr>
          <w:p>
            <w:pPr>
              <w:jc w:val="center"/>
              <w:rPr>
                <w:rFonts w:eastAsia="等线"/>
                <w:color w:val="000000"/>
                <w:szCs w:val="21"/>
              </w:rPr>
            </w:pPr>
            <w:r>
              <w:rPr>
                <w:rFonts w:eastAsia="等线"/>
                <w:color w:val="000000"/>
                <w:szCs w:val="21"/>
              </w:rPr>
              <w:t>0.02</w:t>
            </w:r>
          </w:p>
        </w:tc>
        <w:tc>
          <w:tcPr>
            <w:tcW w:w="1189" w:type="pct"/>
            <w:vAlign w:val="bottom"/>
          </w:tcPr>
          <w:p>
            <w:pPr>
              <w:jc w:val="center"/>
              <w:rPr>
                <w:rFonts w:eastAsia="等线"/>
                <w:color w:val="000000"/>
                <w:szCs w:val="21"/>
              </w:rPr>
            </w:pPr>
            <w:r>
              <w:rPr>
                <w:rFonts w:eastAsia="等线"/>
                <w:color w:val="000000"/>
                <w:szCs w:val="21"/>
              </w:rPr>
              <w:t>0.000001</w:t>
            </w:r>
          </w:p>
        </w:tc>
        <w:tc>
          <w:tcPr>
            <w:tcW w:w="869" w:type="pct"/>
            <w:vAlign w:val="bottom"/>
          </w:tcPr>
          <w:p>
            <w:pPr>
              <w:jc w:val="center"/>
              <w:rPr>
                <w:rFonts w:eastAsia="等线"/>
                <w:color w:val="000000"/>
                <w:szCs w:val="21"/>
              </w:rPr>
            </w:pPr>
            <w:r>
              <w:rPr>
                <w:rFonts w:eastAsia="等线"/>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700</w:t>
            </w:r>
          </w:p>
        </w:tc>
        <w:tc>
          <w:tcPr>
            <w:tcW w:w="1148" w:type="pct"/>
            <w:vAlign w:val="bottom"/>
          </w:tcPr>
          <w:p>
            <w:pPr>
              <w:jc w:val="center"/>
              <w:rPr>
                <w:rFonts w:eastAsia="等线"/>
                <w:color w:val="000000"/>
                <w:szCs w:val="21"/>
              </w:rPr>
            </w:pPr>
            <w:r>
              <w:rPr>
                <w:rFonts w:eastAsia="等线"/>
                <w:color w:val="000000"/>
                <w:szCs w:val="21"/>
              </w:rPr>
              <w:t>0.000040</w:t>
            </w:r>
          </w:p>
        </w:tc>
        <w:tc>
          <w:tcPr>
            <w:tcW w:w="869" w:type="pct"/>
            <w:vAlign w:val="bottom"/>
          </w:tcPr>
          <w:p>
            <w:pPr>
              <w:jc w:val="center"/>
              <w:rPr>
                <w:rFonts w:eastAsia="等线"/>
                <w:color w:val="000000"/>
                <w:szCs w:val="21"/>
              </w:rPr>
            </w:pPr>
            <w:r>
              <w:rPr>
                <w:rFonts w:eastAsia="等线"/>
                <w:color w:val="000000"/>
                <w:szCs w:val="21"/>
              </w:rPr>
              <w:t>0.02</w:t>
            </w:r>
          </w:p>
        </w:tc>
        <w:tc>
          <w:tcPr>
            <w:tcW w:w="1189" w:type="pct"/>
            <w:vAlign w:val="bottom"/>
          </w:tcPr>
          <w:p>
            <w:pPr>
              <w:jc w:val="center"/>
              <w:rPr>
                <w:rFonts w:eastAsia="等线"/>
                <w:color w:val="000000"/>
                <w:szCs w:val="21"/>
              </w:rPr>
            </w:pPr>
            <w:r>
              <w:rPr>
                <w:rFonts w:eastAsia="等线"/>
                <w:color w:val="000000"/>
                <w:szCs w:val="21"/>
              </w:rPr>
              <w:t>0.000001</w:t>
            </w:r>
          </w:p>
        </w:tc>
        <w:tc>
          <w:tcPr>
            <w:tcW w:w="869" w:type="pct"/>
            <w:vAlign w:val="bottom"/>
          </w:tcPr>
          <w:p>
            <w:pPr>
              <w:jc w:val="center"/>
              <w:rPr>
                <w:rFonts w:eastAsia="等线"/>
                <w:color w:val="000000"/>
                <w:szCs w:val="21"/>
              </w:rPr>
            </w:pPr>
            <w:r>
              <w:rPr>
                <w:rFonts w:eastAsia="等线"/>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800</w:t>
            </w:r>
          </w:p>
        </w:tc>
        <w:tc>
          <w:tcPr>
            <w:tcW w:w="1148" w:type="pct"/>
            <w:vAlign w:val="bottom"/>
          </w:tcPr>
          <w:p>
            <w:pPr>
              <w:jc w:val="center"/>
              <w:rPr>
                <w:rFonts w:eastAsia="等线"/>
                <w:color w:val="000000"/>
                <w:szCs w:val="21"/>
              </w:rPr>
            </w:pPr>
            <w:r>
              <w:rPr>
                <w:rFonts w:eastAsia="等线"/>
                <w:color w:val="000000"/>
                <w:szCs w:val="21"/>
              </w:rPr>
              <w:t>0.000036</w:t>
            </w:r>
          </w:p>
        </w:tc>
        <w:tc>
          <w:tcPr>
            <w:tcW w:w="869" w:type="pct"/>
            <w:vAlign w:val="bottom"/>
          </w:tcPr>
          <w:p>
            <w:pPr>
              <w:jc w:val="center"/>
              <w:rPr>
                <w:rFonts w:eastAsia="等线"/>
                <w:color w:val="000000"/>
                <w:szCs w:val="21"/>
              </w:rPr>
            </w:pPr>
            <w:r>
              <w:rPr>
                <w:rFonts w:eastAsia="等线"/>
                <w:color w:val="000000"/>
                <w:szCs w:val="21"/>
              </w:rPr>
              <w:t>0.02</w:t>
            </w:r>
          </w:p>
        </w:tc>
        <w:tc>
          <w:tcPr>
            <w:tcW w:w="1189" w:type="pct"/>
            <w:vAlign w:val="bottom"/>
          </w:tcPr>
          <w:p>
            <w:pPr>
              <w:jc w:val="center"/>
              <w:rPr>
                <w:rFonts w:eastAsia="等线"/>
                <w:color w:val="000000"/>
                <w:szCs w:val="21"/>
              </w:rPr>
            </w:pPr>
            <w:r>
              <w:rPr>
                <w:rFonts w:eastAsia="等线"/>
                <w:color w:val="000000"/>
                <w:szCs w:val="21"/>
              </w:rPr>
              <w:t>0.000001</w:t>
            </w:r>
          </w:p>
        </w:tc>
        <w:tc>
          <w:tcPr>
            <w:tcW w:w="869" w:type="pct"/>
            <w:vAlign w:val="bottom"/>
          </w:tcPr>
          <w:p>
            <w:pPr>
              <w:jc w:val="center"/>
              <w:rPr>
                <w:rFonts w:eastAsia="等线"/>
                <w:color w:val="000000"/>
                <w:szCs w:val="21"/>
              </w:rPr>
            </w:pPr>
            <w:r>
              <w:rPr>
                <w:rFonts w:eastAsia="等线"/>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900</w:t>
            </w:r>
          </w:p>
        </w:tc>
        <w:tc>
          <w:tcPr>
            <w:tcW w:w="1148" w:type="pct"/>
            <w:vAlign w:val="bottom"/>
          </w:tcPr>
          <w:p>
            <w:pPr>
              <w:jc w:val="center"/>
              <w:rPr>
                <w:rFonts w:eastAsia="等线"/>
                <w:color w:val="000000"/>
                <w:szCs w:val="21"/>
              </w:rPr>
            </w:pPr>
            <w:r>
              <w:rPr>
                <w:rFonts w:eastAsia="等线"/>
                <w:color w:val="000000"/>
                <w:szCs w:val="21"/>
              </w:rPr>
              <w:t>0.000034</w:t>
            </w:r>
          </w:p>
        </w:tc>
        <w:tc>
          <w:tcPr>
            <w:tcW w:w="869" w:type="pct"/>
            <w:vAlign w:val="bottom"/>
          </w:tcPr>
          <w:p>
            <w:pPr>
              <w:jc w:val="center"/>
              <w:rPr>
                <w:rFonts w:eastAsia="等线"/>
                <w:color w:val="000000"/>
                <w:szCs w:val="21"/>
              </w:rPr>
            </w:pPr>
            <w:r>
              <w:rPr>
                <w:rFonts w:eastAsia="等线"/>
                <w:color w:val="000000"/>
                <w:szCs w:val="21"/>
              </w:rPr>
              <w:t>0.02</w:t>
            </w:r>
          </w:p>
        </w:tc>
        <w:tc>
          <w:tcPr>
            <w:tcW w:w="1189" w:type="pct"/>
            <w:vAlign w:val="bottom"/>
          </w:tcPr>
          <w:p>
            <w:pPr>
              <w:jc w:val="center"/>
              <w:rPr>
                <w:rFonts w:eastAsia="等线"/>
                <w:color w:val="000000"/>
                <w:szCs w:val="21"/>
              </w:rPr>
            </w:pPr>
            <w:r>
              <w:rPr>
                <w:rFonts w:eastAsia="等线"/>
                <w:color w:val="000000"/>
                <w:szCs w:val="21"/>
              </w:rPr>
              <w:t>0.000001</w:t>
            </w:r>
          </w:p>
        </w:tc>
        <w:tc>
          <w:tcPr>
            <w:tcW w:w="869" w:type="pct"/>
            <w:vAlign w:val="bottom"/>
          </w:tcPr>
          <w:p>
            <w:pPr>
              <w:jc w:val="center"/>
              <w:rPr>
                <w:rFonts w:eastAsia="等线"/>
                <w:color w:val="000000"/>
                <w:szCs w:val="21"/>
              </w:rPr>
            </w:pPr>
            <w:r>
              <w:rPr>
                <w:rFonts w:eastAsia="等线"/>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1000</w:t>
            </w:r>
          </w:p>
        </w:tc>
        <w:tc>
          <w:tcPr>
            <w:tcW w:w="1148" w:type="pct"/>
            <w:vAlign w:val="bottom"/>
          </w:tcPr>
          <w:p>
            <w:pPr>
              <w:jc w:val="center"/>
              <w:rPr>
                <w:rFonts w:eastAsia="等线"/>
                <w:color w:val="000000"/>
                <w:szCs w:val="21"/>
              </w:rPr>
            </w:pPr>
            <w:r>
              <w:rPr>
                <w:rFonts w:eastAsia="等线"/>
                <w:color w:val="000000"/>
                <w:szCs w:val="21"/>
              </w:rPr>
              <w:t>0.000031</w:t>
            </w:r>
          </w:p>
        </w:tc>
        <w:tc>
          <w:tcPr>
            <w:tcW w:w="869" w:type="pct"/>
            <w:vAlign w:val="bottom"/>
          </w:tcPr>
          <w:p>
            <w:pPr>
              <w:jc w:val="center"/>
              <w:rPr>
                <w:rFonts w:eastAsia="等线"/>
                <w:color w:val="000000"/>
                <w:szCs w:val="21"/>
              </w:rPr>
            </w:pPr>
            <w:r>
              <w:rPr>
                <w:rFonts w:eastAsia="等线"/>
                <w:color w:val="000000"/>
                <w:szCs w:val="21"/>
              </w:rPr>
              <w:t>0.02</w:t>
            </w:r>
          </w:p>
        </w:tc>
        <w:tc>
          <w:tcPr>
            <w:tcW w:w="1189" w:type="pct"/>
            <w:vAlign w:val="bottom"/>
          </w:tcPr>
          <w:p>
            <w:pPr>
              <w:jc w:val="center"/>
              <w:rPr>
                <w:rFonts w:eastAsia="等线"/>
                <w:color w:val="000000"/>
                <w:szCs w:val="21"/>
              </w:rPr>
            </w:pPr>
            <w:r>
              <w:rPr>
                <w:rFonts w:eastAsia="等线"/>
                <w:color w:val="000000"/>
                <w:szCs w:val="21"/>
              </w:rPr>
              <w:t>0.000001</w:t>
            </w:r>
          </w:p>
        </w:tc>
        <w:tc>
          <w:tcPr>
            <w:tcW w:w="869" w:type="pct"/>
            <w:vAlign w:val="bottom"/>
          </w:tcPr>
          <w:p>
            <w:pPr>
              <w:jc w:val="center"/>
              <w:rPr>
                <w:rFonts w:eastAsia="等线"/>
                <w:color w:val="000000"/>
                <w:szCs w:val="21"/>
              </w:rPr>
            </w:pPr>
            <w:r>
              <w:rPr>
                <w:rFonts w:eastAsia="等线"/>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1500</w:t>
            </w:r>
          </w:p>
        </w:tc>
        <w:tc>
          <w:tcPr>
            <w:tcW w:w="1148" w:type="pct"/>
            <w:vAlign w:val="bottom"/>
          </w:tcPr>
          <w:p>
            <w:pPr>
              <w:jc w:val="center"/>
              <w:rPr>
                <w:rFonts w:eastAsia="等线"/>
                <w:color w:val="000000"/>
                <w:szCs w:val="21"/>
              </w:rPr>
            </w:pPr>
            <w:r>
              <w:rPr>
                <w:rFonts w:eastAsia="等线"/>
                <w:color w:val="000000"/>
                <w:szCs w:val="21"/>
              </w:rPr>
              <w:t>0.000025</w:t>
            </w:r>
          </w:p>
        </w:tc>
        <w:tc>
          <w:tcPr>
            <w:tcW w:w="869" w:type="pct"/>
            <w:vAlign w:val="bottom"/>
          </w:tcPr>
          <w:p>
            <w:pPr>
              <w:jc w:val="center"/>
              <w:rPr>
                <w:rFonts w:eastAsia="等线"/>
                <w:color w:val="000000"/>
                <w:szCs w:val="21"/>
              </w:rPr>
            </w:pPr>
            <w:r>
              <w:rPr>
                <w:rFonts w:eastAsia="等线"/>
                <w:color w:val="000000"/>
                <w:szCs w:val="21"/>
              </w:rPr>
              <w:t>0.01</w:t>
            </w:r>
          </w:p>
        </w:tc>
        <w:tc>
          <w:tcPr>
            <w:tcW w:w="1189" w:type="pct"/>
            <w:vAlign w:val="bottom"/>
          </w:tcPr>
          <w:p>
            <w:pPr>
              <w:jc w:val="center"/>
              <w:rPr>
                <w:rFonts w:eastAsia="等线"/>
                <w:color w:val="000000"/>
                <w:szCs w:val="21"/>
              </w:rPr>
            </w:pPr>
            <w:r>
              <w:rPr>
                <w:rFonts w:eastAsia="等线"/>
                <w:color w:val="000000"/>
                <w:szCs w:val="21"/>
              </w:rPr>
              <w:t>0.000000</w:t>
            </w:r>
          </w:p>
        </w:tc>
        <w:tc>
          <w:tcPr>
            <w:tcW w:w="869" w:type="pct"/>
            <w:vAlign w:val="bottom"/>
          </w:tcPr>
          <w:p>
            <w:pPr>
              <w:jc w:val="center"/>
              <w:rPr>
                <w:rFonts w:eastAsia="等线"/>
                <w:color w:val="000000"/>
                <w:szCs w:val="21"/>
              </w:rPr>
            </w:pPr>
            <w:r>
              <w:rPr>
                <w:rFonts w:eastAsia="等线"/>
                <w:color w:val="00000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2000</w:t>
            </w:r>
          </w:p>
        </w:tc>
        <w:tc>
          <w:tcPr>
            <w:tcW w:w="1148" w:type="pct"/>
            <w:vAlign w:val="bottom"/>
          </w:tcPr>
          <w:p>
            <w:pPr>
              <w:jc w:val="center"/>
              <w:rPr>
                <w:rFonts w:eastAsia="等线"/>
                <w:color w:val="000000"/>
                <w:szCs w:val="21"/>
              </w:rPr>
            </w:pPr>
            <w:r>
              <w:rPr>
                <w:rFonts w:eastAsia="等线"/>
                <w:color w:val="000000"/>
                <w:szCs w:val="21"/>
              </w:rPr>
              <w:t>0.000023</w:t>
            </w:r>
          </w:p>
        </w:tc>
        <w:tc>
          <w:tcPr>
            <w:tcW w:w="869" w:type="pct"/>
            <w:vAlign w:val="bottom"/>
          </w:tcPr>
          <w:p>
            <w:pPr>
              <w:jc w:val="center"/>
              <w:rPr>
                <w:rFonts w:eastAsia="等线"/>
                <w:color w:val="000000"/>
                <w:szCs w:val="21"/>
              </w:rPr>
            </w:pPr>
            <w:r>
              <w:rPr>
                <w:rFonts w:eastAsia="等线"/>
                <w:color w:val="000000"/>
                <w:szCs w:val="21"/>
              </w:rPr>
              <w:t>0.01</w:t>
            </w:r>
          </w:p>
        </w:tc>
        <w:tc>
          <w:tcPr>
            <w:tcW w:w="1189" w:type="pct"/>
            <w:vAlign w:val="bottom"/>
          </w:tcPr>
          <w:p>
            <w:pPr>
              <w:jc w:val="center"/>
              <w:rPr>
                <w:rFonts w:eastAsia="等线"/>
                <w:color w:val="000000"/>
                <w:szCs w:val="21"/>
              </w:rPr>
            </w:pPr>
            <w:r>
              <w:rPr>
                <w:rFonts w:eastAsia="等线"/>
                <w:color w:val="000000"/>
                <w:szCs w:val="21"/>
              </w:rPr>
              <w:t>0.000000</w:t>
            </w:r>
          </w:p>
        </w:tc>
        <w:tc>
          <w:tcPr>
            <w:tcW w:w="869" w:type="pct"/>
            <w:vAlign w:val="bottom"/>
          </w:tcPr>
          <w:p>
            <w:pPr>
              <w:jc w:val="center"/>
              <w:rPr>
                <w:rFonts w:eastAsia="等线"/>
                <w:color w:val="000000"/>
                <w:szCs w:val="21"/>
              </w:rPr>
            </w:pPr>
            <w:r>
              <w:rPr>
                <w:rFonts w:eastAsia="等线"/>
                <w:color w:val="00000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pct"/>
            <w:vAlign w:val="center"/>
          </w:tcPr>
          <w:p>
            <w:pPr>
              <w:jc w:val="center"/>
              <w:rPr>
                <w:rFonts w:eastAsia="等线"/>
                <w:color w:val="000000"/>
                <w:szCs w:val="21"/>
              </w:rPr>
            </w:pPr>
            <w:r>
              <w:rPr>
                <w:rFonts w:eastAsia="等线"/>
                <w:color w:val="000000"/>
                <w:szCs w:val="21"/>
              </w:rPr>
              <w:t>2500</w:t>
            </w:r>
          </w:p>
        </w:tc>
        <w:tc>
          <w:tcPr>
            <w:tcW w:w="1148" w:type="pct"/>
            <w:vAlign w:val="bottom"/>
          </w:tcPr>
          <w:p>
            <w:pPr>
              <w:jc w:val="center"/>
              <w:rPr>
                <w:rFonts w:eastAsia="等线"/>
                <w:color w:val="000000"/>
                <w:szCs w:val="21"/>
              </w:rPr>
            </w:pPr>
            <w:r>
              <w:rPr>
                <w:rFonts w:eastAsia="等线"/>
                <w:color w:val="000000"/>
                <w:szCs w:val="21"/>
              </w:rPr>
              <w:t>0.000021</w:t>
            </w:r>
          </w:p>
        </w:tc>
        <w:tc>
          <w:tcPr>
            <w:tcW w:w="869" w:type="pct"/>
            <w:vAlign w:val="bottom"/>
          </w:tcPr>
          <w:p>
            <w:pPr>
              <w:jc w:val="center"/>
              <w:rPr>
                <w:rFonts w:eastAsia="等线"/>
                <w:color w:val="000000"/>
                <w:szCs w:val="21"/>
              </w:rPr>
            </w:pPr>
            <w:r>
              <w:rPr>
                <w:rFonts w:eastAsia="等线"/>
                <w:color w:val="000000"/>
                <w:szCs w:val="21"/>
              </w:rPr>
              <w:t>0.01</w:t>
            </w:r>
          </w:p>
        </w:tc>
        <w:tc>
          <w:tcPr>
            <w:tcW w:w="1189" w:type="pct"/>
            <w:vAlign w:val="bottom"/>
          </w:tcPr>
          <w:p>
            <w:pPr>
              <w:jc w:val="center"/>
              <w:rPr>
                <w:rFonts w:eastAsia="等线"/>
                <w:color w:val="000000"/>
                <w:szCs w:val="21"/>
              </w:rPr>
            </w:pPr>
            <w:r>
              <w:rPr>
                <w:rFonts w:eastAsia="等线"/>
                <w:color w:val="000000"/>
                <w:szCs w:val="21"/>
              </w:rPr>
              <w:t>0.000000</w:t>
            </w:r>
          </w:p>
        </w:tc>
        <w:tc>
          <w:tcPr>
            <w:tcW w:w="869" w:type="pct"/>
            <w:vAlign w:val="bottom"/>
          </w:tcPr>
          <w:p>
            <w:pPr>
              <w:jc w:val="center"/>
              <w:rPr>
                <w:rFonts w:eastAsia="等线"/>
                <w:color w:val="000000"/>
                <w:szCs w:val="21"/>
              </w:rPr>
            </w:pPr>
            <w:r>
              <w:rPr>
                <w:rFonts w:eastAsia="等线"/>
                <w:color w:val="000000"/>
                <w:szCs w:val="21"/>
              </w:rPr>
              <w:t>0.00</w:t>
            </w:r>
          </w:p>
        </w:tc>
      </w:tr>
    </w:tbl>
    <w:p>
      <w:pPr>
        <w:spacing w:line="480" w:lineRule="exact"/>
        <w:rPr>
          <w:b/>
          <w:sz w:val="24"/>
          <w:szCs w:val="24"/>
        </w:rPr>
      </w:pPr>
    </w:p>
    <w:p>
      <w:pPr>
        <w:spacing w:line="480" w:lineRule="exact"/>
        <w:rPr>
          <w:b/>
          <w:sz w:val="24"/>
          <w:szCs w:val="24"/>
        </w:rPr>
      </w:pPr>
    </w:p>
    <w:p>
      <w:pPr>
        <w:spacing w:line="480" w:lineRule="exact"/>
        <w:rPr>
          <w:b/>
          <w:sz w:val="24"/>
          <w:szCs w:val="24"/>
        </w:rPr>
        <w:sectPr>
          <w:pgSz w:w="16838" w:h="11906" w:orient="landscape"/>
          <w:pgMar w:top="1588" w:right="1531" w:bottom="1588" w:left="1531" w:header="851" w:footer="992" w:gutter="0"/>
          <w:cols w:space="425" w:num="1"/>
          <w:docGrid w:type="linesAndChars" w:linePitch="312" w:charSpace="0"/>
        </w:sectPr>
      </w:pPr>
    </w:p>
    <w:p>
      <w:pPr>
        <w:spacing w:line="480" w:lineRule="exact"/>
        <w:ind w:firstLine="482"/>
        <w:rPr>
          <w:bCs/>
          <w:spacing w:val="6"/>
          <w:sz w:val="24"/>
        </w:rPr>
      </w:pPr>
      <w:r>
        <w:rPr>
          <w:bCs/>
          <w:spacing w:val="6"/>
          <w:sz w:val="24"/>
        </w:rPr>
        <w:t>（</w:t>
      </w:r>
      <w:r>
        <w:rPr>
          <w:rFonts w:hint="eastAsia"/>
          <w:bCs/>
          <w:spacing w:val="6"/>
          <w:sz w:val="24"/>
        </w:rPr>
        <w:t>6</w:t>
      </w:r>
      <w:r>
        <w:rPr>
          <w:bCs/>
          <w:spacing w:val="6"/>
          <w:sz w:val="24"/>
        </w:rPr>
        <w:t>）评价等级及评价范围</w:t>
      </w:r>
    </w:p>
    <w:p>
      <w:pPr>
        <w:spacing w:line="480" w:lineRule="exact"/>
        <w:ind w:firstLine="482"/>
        <w:rPr>
          <w:bCs/>
          <w:spacing w:val="6"/>
          <w:sz w:val="24"/>
        </w:rPr>
      </w:pPr>
      <w:r>
        <w:rPr>
          <w:bCs/>
          <w:spacing w:val="6"/>
          <w:sz w:val="24"/>
        </w:rPr>
        <w:t>根据《环境影响评价技术导则  大气环境》（HJ2.2-2018）评价等级判别表和本次估算模型计算结果可知，本次评价等级为二级，评价范围边长为5km。</w:t>
      </w:r>
    </w:p>
    <w:p>
      <w:pPr>
        <w:keepNext/>
        <w:keepLines/>
        <w:spacing w:line="480" w:lineRule="exact"/>
        <w:outlineLvl w:val="3"/>
        <w:rPr>
          <w:b/>
          <w:sz w:val="24"/>
        </w:rPr>
      </w:pPr>
      <w:bookmarkStart w:id="91" w:name="_Hlk9001491"/>
      <w:r>
        <w:rPr>
          <w:b/>
          <w:sz w:val="24"/>
        </w:rPr>
        <w:t>5.2.1.2</w:t>
      </w:r>
      <w:r>
        <w:rPr>
          <w:rFonts w:hint="eastAsia"/>
          <w:b/>
          <w:sz w:val="24"/>
        </w:rPr>
        <w:t>大气污染物源强核算</w:t>
      </w:r>
    </w:p>
    <w:bookmarkEnd w:id="91"/>
    <w:p>
      <w:pPr>
        <w:pStyle w:val="108"/>
        <w:ind w:firstLine="480"/>
        <w:rPr>
          <w:rFonts w:ascii="Times New Roman" w:hAnsi="Times New Roman" w:cs="Times New Roman"/>
        </w:rPr>
      </w:pPr>
      <w:r>
        <w:rPr>
          <w:rFonts w:ascii="Times New Roman" w:cs="Times New Roman"/>
        </w:rPr>
        <w:t>根据《环境影响评价技术导则</w:t>
      </w:r>
      <w:r>
        <w:rPr>
          <w:rFonts w:ascii="Times New Roman" w:hAnsi="Times New Roman" w:cs="Times New Roman"/>
        </w:rPr>
        <w:t>-</w:t>
      </w:r>
      <w:r>
        <w:rPr>
          <w:rFonts w:ascii="Times New Roman" w:cs="Times New Roman"/>
        </w:rPr>
        <w:t>大气环境》（</w:t>
      </w:r>
      <w:r>
        <w:rPr>
          <w:rFonts w:ascii="Times New Roman" w:hAnsi="Times New Roman" w:cs="Times New Roman"/>
        </w:rPr>
        <w:t>HJ2.2-2018</w:t>
      </w:r>
      <w:r>
        <w:rPr>
          <w:rFonts w:ascii="Times New Roman" w:cs="Times New Roman"/>
        </w:rPr>
        <w:t>），本项目不进行进一步预测与评价，只对污染物排放量进行核算。</w:t>
      </w:r>
    </w:p>
    <w:p>
      <w:pPr>
        <w:pStyle w:val="108"/>
        <w:ind w:firstLine="480"/>
        <w:rPr>
          <w:rFonts w:ascii="Times New Roman" w:cs="Times New Roman"/>
        </w:rPr>
      </w:pPr>
      <w:r>
        <w:rPr>
          <w:rFonts w:hint="eastAsia" w:ascii="Times New Roman" w:cs="Times New Roman"/>
        </w:rPr>
        <w:t>本项目污染物排放量核算见表5.2-6、表5.2-</w:t>
      </w:r>
      <w:r>
        <w:rPr>
          <w:rFonts w:ascii="Times New Roman" w:cs="Times New Roman"/>
        </w:rPr>
        <w:t>7</w:t>
      </w:r>
      <w:r>
        <w:rPr>
          <w:rFonts w:hint="eastAsia" w:ascii="Times New Roman" w:cs="Times New Roman"/>
        </w:rPr>
        <w:t>。</w:t>
      </w:r>
    </w:p>
    <w:p>
      <w:pPr>
        <w:spacing w:line="480" w:lineRule="atLeast"/>
        <w:jc w:val="center"/>
        <w:rPr>
          <w:rFonts w:ascii="黑体" w:hAnsi="黑体" w:eastAsia="黑体"/>
          <w:kern w:val="0"/>
          <w:sz w:val="24"/>
        </w:rPr>
      </w:pPr>
      <w:r>
        <w:rPr>
          <w:rFonts w:hint="eastAsia" w:ascii="黑体" w:hAnsi="黑体" w:eastAsia="黑体"/>
          <w:kern w:val="0"/>
          <w:sz w:val="24"/>
        </w:rPr>
        <w:t>表5.2-6 大气污染物有组织排放量核算表</w:t>
      </w:r>
    </w:p>
    <w:tbl>
      <w:tblPr>
        <w:tblStyle w:val="31"/>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53"/>
        <w:gridCol w:w="2716"/>
        <w:gridCol w:w="1435"/>
        <w:gridCol w:w="1578"/>
        <w:gridCol w:w="1437"/>
        <w:gridCol w:w="134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5" w:type="pct"/>
            <w:vMerge w:val="restart"/>
            <w:tcBorders>
              <w:tl2br w:val="nil"/>
              <w:tr2bl w:val="nil"/>
            </w:tcBorders>
            <w:shd w:val="clear" w:color="000000" w:fill="FFFFFF"/>
            <w:vAlign w:val="center"/>
          </w:tcPr>
          <w:p>
            <w:pPr>
              <w:widowControl/>
              <w:spacing w:line="240" w:lineRule="atLeast"/>
              <w:jc w:val="center"/>
              <w:rPr>
                <w:rFonts w:ascii="宋体" w:hAnsi="宋体" w:cs="宋体"/>
                <w:b/>
                <w:kern w:val="0"/>
                <w:szCs w:val="21"/>
              </w:rPr>
            </w:pPr>
            <w:bookmarkStart w:id="92" w:name="_Hlk9001520"/>
            <w:r>
              <w:rPr>
                <w:rFonts w:hint="eastAsia" w:ascii="宋体" w:hAnsi="宋体" w:cs="宋体"/>
                <w:b/>
                <w:kern w:val="0"/>
                <w:szCs w:val="21"/>
              </w:rPr>
              <w:t>序号</w:t>
            </w:r>
          </w:p>
        </w:tc>
        <w:tc>
          <w:tcPr>
            <w:tcW w:w="1499" w:type="pct"/>
            <w:vMerge w:val="restart"/>
            <w:tcBorders>
              <w:tl2br w:val="nil"/>
              <w:tr2bl w:val="nil"/>
            </w:tcBorders>
            <w:shd w:val="clear" w:color="000000" w:fill="FFFFFF"/>
            <w:vAlign w:val="center"/>
          </w:tcPr>
          <w:p>
            <w:pPr>
              <w:widowControl/>
              <w:spacing w:line="240" w:lineRule="atLeast"/>
              <w:jc w:val="center"/>
              <w:rPr>
                <w:rFonts w:ascii="宋体" w:hAnsi="宋体" w:cs="宋体"/>
                <w:b/>
                <w:kern w:val="0"/>
                <w:szCs w:val="21"/>
              </w:rPr>
            </w:pPr>
            <w:r>
              <w:rPr>
                <w:rFonts w:hint="eastAsia" w:ascii="宋体" w:hAnsi="宋体" w:cs="宋体"/>
                <w:b/>
                <w:kern w:val="0"/>
                <w:szCs w:val="21"/>
              </w:rPr>
              <w:t>排放口</w:t>
            </w:r>
          </w:p>
          <w:p>
            <w:pPr>
              <w:widowControl/>
              <w:spacing w:line="240" w:lineRule="atLeast"/>
              <w:jc w:val="center"/>
              <w:rPr>
                <w:rFonts w:ascii="宋体" w:hAnsi="宋体" w:cs="宋体"/>
                <w:b/>
                <w:kern w:val="0"/>
                <w:szCs w:val="21"/>
              </w:rPr>
            </w:pPr>
            <w:r>
              <w:rPr>
                <w:rFonts w:hint="eastAsia" w:ascii="宋体" w:hAnsi="宋体" w:cs="宋体"/>
                <w:b/>
                <w:kern w:val="0"/>
                <w:szCs w:val="21"/>
              </w:rPr>
              <w:t>编号</w:t>
            </w:r>
          </w:p>
        </w:tc>
        <w:tc>
          <w:tcPr>
            <w:tcW w:w="792" w:type="pct"/>
            <w:vMerge w:val="restart"/>
            <w:tcBorders>
              <w:tl2br w:val="nil"/>
              <w:tr2bl w:val="nil"/>
            </w:tcBorders>
            <w:shd w:val="clear" w:color="000000" w:fill="FFFFFF"/>
            <w:vAlign w:val="center"/>
          </w:tcPr>
          <w:p>
            <w:pPr>
              <w:widowControl/>
              <w:spacing w:line="240" w:lineRule="atLeast"/>
              <w:jc w:val="center"/>
              <w:rPr>
                <w:rFonts w:ascii="宋体" w:hAnsi="宋体" w:cs="宋体"/>
                <w:b/>
                <w:kern w:val="0"/>
                <w:szCs w:val="21"/>
              </w:rPr>
            </w:pPr>
            <w:r>
              <w:rPr>
                <w:rFonts w:hint="eastAsia" w:ascii="宋体" w:hAnsi="宋体" w:cs="宋体"/>
                <w:b/>
                <w:kern w:val="0"/>
                <w:szCs w:val="21"/>
              </w:rPr>
              <w:t>污染物</w:t>
            </w:r>
          </w:p>
        </w:tc>
        <w:tc>
          <w:tcPr>
            <w:tcW w:w="871" w:type="pct"/>
            <w:vMerge w:val="restart"/>
            <w:tcBorders>
              <w:tl2br w:val="nil"/>
              <w:tr2bl w:val="nil"/>
            </w:tcBorders>
            <w:shd w:val="clear" w:color="000000" w:fill="FFFFFF"/>
            <w:vAlign w:val="center"/>
          </w:tcPr>
          <w:p>
            <w:pPr>
              <w:widowControl/>
              <w:spacing w:line="240" w:lineRule="atLeast"/>
              <w:jc w:val="center"/>
              <w:rPr>
                <w:rFonts w:ascii="宋体" w:hAnsi="宋体" w:cs="宋体"/>
                <w:b/>
                <w:kern w:val="0"/>
                <w:szCs w:val="21"/>
              </w:rPr>
            </w:pPr>
            <w:r>
              <w:rPr>
                <w:rFonts w:hint="eastAsia" w:ascii="宋体" w:hAnsi="宋体" w:cs="宋体"/>
                <w:b/>
                <w:kern w:val="0"/>
                <w:szCs w:val="21"/>
              </w:rPr>
              <w:t>排放浓度</w:t>
            </w:r>
            <w:r>
              <w:rPr>
                <w:b/>
                <w:kern w:val="0"/>
                <w:szCs w:val="21"/>
              </w:rPr>
              <w:t>/(μg/m</w:t>
            </w:r>
            <w:r>
              <w:rPr>
                <w:b/>
                <w:kern w:val="0"/>
                <w:szCs w:val="21"/>
                <w:vertAlign w:val="superscript"/>
              </w:rPr>
              <w:t>3</w:t>
            </w:r>
            <w:r>
              <w:rPr>
                <w:rFonts w:hint="eastAsia" w:ascii="宋体" w:hAnsi="宋体" w:cs="宋体"/>
                <w:b/>
                <w:kern w:val="0"/>
                <w:szCs w:val="21"/>
              </w:rPr>
              <w:t>）</w:t>
            </w:r>
          </w:p>
        </w:tc>
        <w:tc>
          <w:tcPr>
            <w:tcW w:w="793" w:type="pct"/>
            <w:vMerge w:val="restart"/>
            <w:tcBorders>
              <w:tl2br w:val="nil"/>
              <w:tr2bl w:val="nil"/>
            </w:tcBorders>
            <w:shd w:val="clear" w:color="000000" w:fill="FFFFFF"/>
            <w:vAlign w:val="center"/>
          </w:tcPr>
          <w:p>
            <w:pPr>
              <w:widowControl/>
              <w:spacing w:line="240" w:lineRule="atLeast"/>
              <w:jc w:val="center"/>
              <w:rPr>
                <w:rFonts w:ascii="宋体" w:hAnsi="宋体" w:cs="宋体"/>
                <w:b/>
                <w:kern w:val="0"/>
                <w:szCs w:val="21"/>
              </w:rPr>
            </w:pPr>
            <w:r>
              <w:rPr>
                <w:rFonts w:hint="eastAsia" w:ascii="宋体" w:hAnsi="宋体" w:cs="宋体"/>
                <w:b/>
                <w:kern w:val="0"/>
                <w:szCs w:val="21"/>
              </w:rPr>
              <w:t>排放速率</w:t>
            </w:r>
            <w:r>
              <w:rPr>
                <w:b/>
                <w:kern w:val="0"/>
                <w:szCs w:val="21"/>
              </w:rPr>
              <w:t>/</w:t>
            </w:r>
            <w:r>
              <w:rPr>
                <w:rFonts w:hint="eastAsia" w:ascii="宋体" w:hAnsi="宋体" w:cs="宋体"/>
                <w:b/>
                <w:kern w:val="0"/>
                <w:szCs w:val="21"/>
              </w:rPr>
              <w:t>（</w:t>
            </w:r>
            <w:r>
              <w:rPr>
                <w:b/>
                <w:kern w:val="0"/>
                <w:szCs w:val="21"/>
              </w:rPr>
              <w:t>kg/h</w:t>
            </w:r>
            <w:r>
              <w:rPr>
                <w:rFonts w:hint="eastAsia" w:ascii="宋体" w:hAnsi="宋体" w:cs="宋体"/>
                <w:b/>
                <w:kern w:val="0"/>
                <w:szCs w:val="21"/>
              </w:rPr>
              <w:t>）</w:t>
            </w:r>
          </w:p>
        </w:tc>
        <w:tc>
          <w:tcPr>
            <w:tcW w:w="740" w:type="pct"/>
            <w:vMerge w:val="restart"/>
            <w:tcBorders>
              <w:tl2br w:val="nil"/>
              <w:tr2bl w:val="nil"/>
            </w:tcBorders>
            <w:shd w:val="clear" w:color="000000" w:fill="FFFFFF"/>
            <w:vAlign w:val="center"/>
          </w:tcPr>
          <w:p>
            <w:pPr>
              <w:widowControl/>
              <w:spacing w:line="240" w:lineRule="atLeast"/>
              <w:jc w:val="center"/>
              <w:rPr>
                <w:rFonts w:ascii="宋体" w:hAnsi="宋体" w:cs="宋体"/>
                <w:b/>
                <w:kern w:val="0"/>
                <w:szCs w:val="21"/>
              </w:rPr>
            </w:pPr>
            <w:r>
              <w:rPr>
                <w:rFonts w:hint="eastAsia" w:ascii="宋体" w:hAnsi="宋体" w:cs="宋体"/>
                <w:b/>
                <w:kern w:val="0"/>
                <w:szCs w:val="21"/>
              </w:rPr>
              <w:t>年排放量</w:t>
            </w:r>
            <w:r>
              <w:rPr>
                <w:b/>
                <w:kern w:val="0"/>
                <w:szCs w:val="21"/>
              </w:rPr>
              <w:t>/</w:t>
            </w:r>
            <w:r>
              <w:rPr>
                <w:rFonts w:hint="eastAsia" w:ascii="宋体" w:hAnsi="宋体" w:cs="宋体"/>
                <w:b/>
                <w:kern w:val="0"/>
                <w:szCs w:val="21"/>
              </w:rPr>
              <w:t>（</w:t>
            </w:r>
            <w:r>
              <w:rPr>
                <w:b/>
                <w:kern w:val="0"/>
                <w:szCs w:val="21"/>
              </w:rPr>
              <w:t>t/a</w:t>
            </w:r>
            <w:r>
              <w:rPr>
                <w:rFonts w:hint="eastAsia" w:ascii="宋体" w:hAnsi="宋体" w:cs="宋体"/>
                <w:b/>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5" w:type="pct"/>
            <w:vMerge w:val="continue"/>
            <w:tcBorders>
              <w:tl2br w:val="nil"/>
              <w:tr2bl w:val="nil"/>
            </w:tcBorders>
            <w:vAlign w:val="center"/>
          </w:tcPr>
          <w:p>
            <w:pPr>
              <w:widowControl/>
              <w:spacing w:line="240" w:lineRule="atLeast"/>
              <w:jc w:val="center"/>
              <w:rPr>
                <w:rFonts w:ascii="宋体" w:hAnsi="宋体" w:cs="宋体"/>
                <w:kern w:val="0"/>
                <w:szCs w:val="21"/>
              </w:rPr>
            </w:pPr>
          </w:p>
        </w:tc>
        <w:tc>
          <w:tcPr>
            <w:tcW w:w="1499" w:type="pct"/>
            <w:vMerge w:val="continue"/>
            <w:tcBorders>
              <w:tl2br w:val="nil"/>
              <w:tr2bl w:val="nil"/>
            </w:tcBorders>
            <w:vAlign w:val="center"/>
          </w:tcPr>
          <w:p>
            <w:pPr>
              <w:widowControl/>
              <w:spacing w:line="240" w:lineRule="atLeast"/>
              <w:jc w:val="center"/>
              <w:rPr>
                <w:rFonts w:ascii="宋体" w:hAnsi="宋体" w:cs="宋体"/>
                <w:kern w:val="0"/>
                <w:szCs w:val="21"/>
              </w:rPr>
            </w:pPr>
          </w:p>
        </w:tc>
        <w:tc>
          <w:tcPr>
            <w:tcW w:w="792" w:type="pct"/>
            <w:vMerge w:val="continue"/>
            <w:tcBorders>
              <w:tl2br w:val="nil"/>
              <w:tr2bl w:val="nil"/>
            </w:tcBorders>
            <w:vAlign w:val="center"/>
          </w:tcPr>
          <w:p>
            <w:pPr>
              <w:widowControl/>
              <w:spacing w:line="240" w:lineRule="atLeast"/>
              <w:jc w:val="center"/>
              <w:rPr>
                <w:rFonts w:ascii="宋体" w:hAnsi="宋体" w:cs="宋体"/>
                <w:kern w:val="0"/>
                <w:szCs w:val="21"/>
              </w:rPr>
            </w:pPr>
          </w:p>
        </w:tc>
        <w:tc>
          <w:tcPr>
            <w:tcW w:w="871" w:type="pct"/>
            <w:vMerge w:val="continue"/>
            <w:tcBorders>
              <w:tl2br w:val="nil"/>
              <w:tr2bl w:val="nil"/>
            </w:tcBorders>
            <w:vAlign w:val="center"/>
          </w:tcPr>
          <w:p>
            <w:pPr>
              <w:widowControl/>
              <w:spacing w:line="240" w:lineRule="atLeast"/>
              <w:jc w:val="center"/>
              <w:rPr>
                <w:rFonts w:ascii="宋体" w:hAnsi="宋体" w:cs="宋体"/>
                <w:kern w:val="0"/>
                <w:szCs w:val="21"/>
              </w:rPr>
            </w:pPr>
          </w:p>
        </w:tc>
        <w:tc>
          <w:tcPr>
            <w:tcW w:w="793" w:type="pct"/>
            <w:vMerge w:val="continue"/>
            <w:tcBorders>
              <w:tl2br w:val="nil"/>
              <w:tr2bl w:val="nil"/>
            </w:tcBorders>
            <w:vAlign w:val="center"/>
          </w:tcPr>
          <w:p>
            <w:pPr>
              <w:widowControl/>
              <w:spacing w:line="240" w:lineRule="atLeast"/>
              <w:jc w:val="center"/>
              <w:rPr>
                <w:rFonts w:ascii="宋体" w:hAnsi="宋体" w:cs="宋体"/>
                <w:kern w:val="0"/>
                <w:szCs w:val="21"/>
              </w:rPr>
            </w:pPr>
          </w:p>
        </w:tc>
        <w:tc>
          <w:tcPr>
            <w:tcW w:w="740" w:type="pct"/>
            <w:vMerge w:val="continue"/>
            <w:tcBorders>
              <w:tl2br w:val="nil"/>
              <w:tr2bl w:val="nil"/>
            </w:tcBorders>
            <w:vAlign w:val="center"/>
          </w:tcPr>
          <w:p>
            <w:pPr>
              <w:widowControl/>
              <w:spacing w:line="240" w:lineRule="atLeast"/>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000" w:type="pct"/>
            <w:gridSpan w:val="6"/>
            <w:tcBorders>
              <w:tl2br w:val="nil"/>
              <w:tr2bl w:val="nil"/>
            </w:tcBorders>
            <w:shd w:val="clear" w:color="000000" w:fill="FFFFFF"/>
            <w:vAlign w:val="center"/>
          </w:tcPr>
          <w:p>
            <w:pPr>
              <w:widowControl/>
              <w:spacing w:line="240" w:lineRule="atLeast"/>
              <w:jc w:val="center"/>
              <w:rPr>
                <w:kern w:val="0"/>
                <w:szCs w:val="21"/>
              </w:rPr>
            </w:pPr>
            <w:r>
              <w:rPr>
                <w:rFonts w:hint="eastAsia" w:ascii="宋体" w:hAnsi="宋体" w:cs="宋体"/>
                <w:kern w:val="0"/>
                <w:szCs w:val="21"/>
              </w:rPr>
              <w:t>一般排放口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5" w:type="pct"/>
            <w:vMerge w:val="restar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1</w:t>
            </w:r>
          </w:p>
        </w:tc>
        <w:tc>
          <w:tcPr>
            <w:tcW w:w="1499" w:type="pct"/>
            <w:vMerge w:val="restar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燃气锅炉排气筒DA0</w:t>
            </w:r>
            <w:r>
              <w:rPr>
                <w:kern w:val="0"/>
                <w:szCs w:val="21"/>
              </w:rPr>
              <w:t>0</w:t>
            </w:r>
            <w:r>
              <w:rPr>
                <w:rFonts w:hint="eastAsia"/>
                <w:kern w:val="0"/>
                <w:szCs w:val="21"/>
              </w:rPr>
              <w:t>1</w:t>
            </w:r>
          </w:p>
        </w:tc>
        <w:tc>
          <w:tcPr>
            <w:tcW w:w="792" w:type="pc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颗粒物</w:t>
            </w:r>
          </w:p>
        </w:tc>
        <w:tc>
          <w:tcPr>
            <w:tcW w:w="871" w:type="pc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8</w:t>
            </w:r>
            <w:r>
              <w:rPr>
                <w:kern w:val="0"/>
                <w:szCs w:val="21"/>
              </w:rPr>
              <w:t>200</w:t>
            </w:r>
          </w:p>
        </w:tc>
        <w:tc>
          <w:tcPr>
            <w:tcW w:w="793" w:type="pct"/>
            <w:tcBorders>
              <w:tl2br w:val="nil"/>
              <w:tr2bl w:val="nil"/>
            </w:tcBorders>
            <w:shd w:val="clear" w:color="000000" w:fill="FFFFFF"/>
            <w:vAlign w:val="center"/>
          </w:tcPr>
          <w:p>
            <w:pPr>
              <w:widowControl/>
              <w:spacing w:line="240" w:lineRule="atLeast"/>
              <w:jc w:val="center"/>
              <w:rPr>
                <w:color w:val="000000"/>
                <w:kern w:val="0"/>
                <w:szCs w:val="21"/>
              </w:rPr>
            </w:pPr>
            <w:r>
              <w:rPr>
                <w:color w:val="000000"/>
                <w:kern w:val="0"/>
                <w:szCs w:val="21"/>
              </w:rPr>
              <w:t>0.025</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color w:val="000000"/>
                <w:kern w:val="0"/>
                <w:szCs w:val="21"/>
              </w:rPr>
              <w:t>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5" w:type="pct"/>
            <w:vMerge w:val="continue"/>
            <w:tcBorders>
              <w:tl2br w:val="nil"/>
              <w:tr2bl w:val="nil"/>
            </w:tcBorders>
            <w:shd w:val="clear" w:color="000000" w:fill="FFFFFF"/>
            <w:vAlign w:val="center"/>
          </w:tcPr>
          <w:p>
            <w:pPr>
              <w:widowControl/>
              <w:spacing w:line="240" w:lineRule="atLeast"/>
              <w:jc w:val="center"/>
              <w:rPr>
                <w:kern w:val="0"/>
                <w:szCs w:val="21"/>
              </w:rPr>
            </w:pPr>
          </w:p>
        </w:tc>
        <w:tc>
          <w:tcPr>
            <w:tcW w:w="1499" w:type="pct"/>
            <w:vMerge w:val="continue"/>
            <w:tcBorders>
              <w:tl2br w:val="nil"/>
              <w:tr2bl w:val="nil"/>
            </w:tcBorders>
            <w:shd w:val="clear" w:color="000000" w:fill="FFFFFF"/>
            <w:vAlign w:val="center"/>
          </w:tcPr>
          <w:p>
            <w:pPr>
              <w:widowControl/>
              <w:spacing w:line="240" w:lineRule="atLeast"/>
              <w:jc w:val="center"/>
              <w:rPr>
                <w:kern w:val="0"/>
                <w:szCs w:val="21"/>
              </w:rPr>
            </w:pPr>
          </w:p>
        </w:tc>
        <w:tc>
          <w:tcPr>
            <w:tcW w:w="792" w:type="pc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氮氧化物</w:t>
            </w:r>
          </w:p>
        </w:tc>
        <w:tc>
          <w:tcPr>
            <w:tcW w:w="871" w:type="pc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8</w:t>
            </w:r>
            <w:r>
              <w:rPr>
                <w:kern w:val="0"/>
                <w:szCs w:val="21"/>
              </w:rPr>
              <w:t>2400</w:t>
            </w:r>
          </w:p>
        </w:tc>
        <w:tc>
          <w:tcPr>
            <w:tcW w:w="793" w:type="pct"/>
            <w:tcBorders>
              <w:tl2br w:val="nil"/>
              <w:tr2bl w:val="nil"/>
            </w:tcBorders>
            <w:shd w:val="clear" w:color="000000" w:fill="FFFFFF"/>
            <w:vAlign w:val="center"/>
          </w:tcPr>
          <w:p>
            <w:pPr>
              <w:widowControl/>
              <w:spacing w:line="240" w:lineRule="atLeast"/>
              <w:jc w:val="center"/>
              <w:rPr>
                <w:color w:val="000000"/>
                <w:kern w:val="0"/>
                <w:szCs w:val="21"/>
              </w:rPr>
            </w:pPr>
            <w:r>
              <w:rPr>
                <w:rFonts w:hint="eastAsia"/>
                <w:color w:val="000000"/>
                <w:kern w:val="0"/>
                <w:szCs w:val="21"/>
              </w:rPr>
              <w:t>0</w:t>
            </w:r>
            <w:r>
              <w:rPr>
                <w:color w:val="000000"/>
                <w:kern w:val="0"/>
                <w:szCs w:val="21"/>
              </w:rPr>
              <w:t>.25</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color w:val="000000"/>
                <w:kern w:val="0"/>
                <w:szCs w:val="21"/>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5" w:type="pct"/>
            <w:vMerge w:val="restar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2</w:t>
            </w:r>
          </w:p>
        </w:tc>
        <w:tc>
          <w:tcPr>
            <w:tcW w:w="1499" w:type="pct"/>
            <w:vMerge w:val="restar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发酵罐废气排气筒DA002</w:t>
            </w:r>
          </w:p>
        </w:tc>
        <w:tc>
          <w:tcPr>
            <w:tcW w:w="792" w:type="pc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NH</w:t>
            </w:r>
            <w:r>
              <w:rPr>
                <w:rFonts w:hint="eastAsia"/>
                <w:kern w:val="0"/>
                <w:szCs w:val="21"/>
                <w:vertAlign w:val="subscript"/>
              </w:rPr>
              <w:t>3</w:t>
            </w:r>
          </w:p>
        </w:tc>
        <w:tc>
          <w:tcPr>
            <w:tcW w:w="871" w:type="pc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w:t>
            </w:r>
          </w:p>
        </w:tc>
        <w:tc>
          <w:tcPr>
            <w:tcW w:w="793" w:type="pct"/>
            <w:tcBorders>
              <w:tl2br w:val="nil"/>
              <w:tr2bl w:val="nil"/>
            </w:tcBorders>
            <w:shd w:val="clear" w:color="000000" w:fill="FFFFFF"/>
            <w:vAlign w:val="center"/>
          </w:tcPr>
          <w:p>
            <w:pPr>
              <w:widowControl/>
              <w:spacing w:line="240" w:lineRule="atLeast"/>
              <w:jc w:val="center"/>
              <w:rPr>
                <w:color w:val="000000"/>
                <w:kern w:val="0"/>
                <w:szCs w:val="21"/>
              </w:rPr>
            </w:pPr>
            <w:r>
              <w:rPr>
                <w:rFonts w:hint="eastAsia"/>
                <w:color w:val="000000"/>
                <w:kern w:val="0"/>
                <w:szCs w:val="21"/>
              </w:rPr>
              <w:t>0.0</w:t>
            </w:r>
            <w:r>
              <w:rPr>
                <w:color w:val="000000"/>
                <w:kern w:val="0"/>
                <w:szCs w:val="21"/>
              </w:rPr>
              <w:t>6</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rFonts w:hint="eastAsia"/>
                <w:color w:val="000000"/>
                <w:kern w:val="0"/>
                <w:szCs w:val="21"/>
              </w:rPr>
              <w:t>0.</w:t>
            </w:r>
            <w:r>
              <w:rPr>
                <w:color w:val="000000"/>
                <w:kern w:val="0"/>
                <w:szCs w:val="21"/>
              </w:rPr>
              <w:t>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5" w:type="pct"/>
            <w:vMerge w:val="continue"/>
            <w:tcBorders>
              <w:tl2br w:val="nil"/>
              <w:tr2bl w:val="nil"/>
            </w:tcBorders>
            <w:shd w:val="clear" w:color="000000" w:fill="FFFFFF"/>
            <w:vAlign w:val="center"/>
          </w:tcPr>
          <w:p>
            <w:pPr>
              <w:widowControl/>
              <w:spacing w:line="240" w:lineRule="atLeast"/>
              <w:jc w:val="center"/>
              <w:rPr>
                <w:kern w:val="0"/>
                <w:szCs w:val="21"/>
              </w:rPr>
            </w:pPr>
          </w:p>
        </w:tc>
        <w:tc>
          <w:tcPr>
            <w:tcW w:w="1499" w:type="pct"/>
            <w:vMerge w:val="continue"/>
            <w:tcBorders>
              <w:tl2br w:val="nil"/>
              <w:tr2bl w:val="nil"/>
            </w:tcBorders>
            <w:shd w:val="clear" w:color="000000" w:fill="FFFFFF"/>
            <w:vAlign w:val="center"/>
          </w:tcPr>
          <w:p>
            <w:pPr>
              <w:widowControl/>
              <w:spacing w:line="240" w:lineRule="atLeast"/>
              <w:jc w:val="center"/>
              <w:rPr>
                <w:kern w:val="0"/>
                <w:szCs w:val="21"/>
              </w:rPr>
            </w:pPr>
          </w:p>
        </w:tc>
        <w:tc>
          <w:tcPr>
            <w:tcW w:w="792" w:type="pc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H</w:t>
            </w:r>
            <w:r>
              <w:rPr>
                <w:rFonts w:hint="eastAsia"/>
                <w:kern w:val="0"/>
                <w:szCs w:val="21"/>
                <w:vertAlign w:val="subscript"/>
              </w:rPr>
              <w:t>2</w:t>
            </w:r>
            <w:r>
              <w:rPr>
                <w:rFonts w:hint="eastAsia"/>
                <w:kern w:val="0"/>
                <w:szCs w:val="21"/>
              </w:rPr>
              <w:t>S</w:t>
            </w:r>
          </w:p>
        </w:tc>
        <w:tc>
          <w:tcPr>
            <w:tcW w:w="871" w:type="pct"/>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w:t>
            </w:r>
          </w:p>
        </w:tc>
        <w:tc>
          <w:tcPr>
            <w:tcW w:w="793" w:type="pct"/>
            <w:tcBorders>
              <w:tl2br w:val="nil"/>
              <w:tr2bl w:val="nil"/>
            </w:tcBorders>
            <w:shd w:val="clear" w:color="000000" w:fill="FFFFFF"/>
            <w:vAlign w:val="center"/>
          </w:tcPr>
          <w:p>
            <w:pPr>
              <w:widowControl/>
              <w:spacing w:line="240" w:lineRule="atLeast"/>
              <w:jc w:val="center"/>
              <w:rPr>
                <w:color w:val="000000"/>
                <w:kern w:val="0"/>
                <w:szCs w:val="21"/>
              </w:rPr>
            </w:pPr>
            <w:r>
              <w:rPr>
                <w:rFonts w:hint="eastAsia"/>
                <w:color w:val="000000"/>
                <w:kern w:val="0"/>
                <w:szCs w:val="21"/>
              </w:rPr>
              <w:t>0.00</w:t>
            </w:r>
            <w:r>
              <w:rPr>
                <w:color w:val="000000"/>
                <w:kern w:val="0"/>
                <w:szCs w:val="21"/>
              </w:rPr>
              <w:t>6</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rFonts w:hint="eastAsia"/>
                <w:color w:val="000000"/>
                <w:kern w:val="0"/>
                <w:szCs w:val="21"/>
              </w:rPr>
              <w:t>0.0</w:t>
            </w:r>
            <w:r>
              <w:rPr>
                <w:color w:val="000000"/>
                <w:kern w:val="0"/>
                <w:szCs w:val="21"/>
              </w:rPr>
              <w:t>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04" w:type="pct"/>
            <w:gridSpan w:val="2"/>
            <w:vMerge w:val="restart"/>
            <w:tcBorders>
              <w:tl2br w:val="nil"/>
              <w:tr2bl w:val="nil"/>
            </w:tcBorders>
            <w:shd w:val="clear" w:color="000000" w:fill="FFFFFF"/>
            <w:vAlign w:val="center"/>
          </w:tcPr>
          <w:p>
            <w:pPr>
              <w:widowControl/>
              <w:spacing w:line="240" w:lineRule="atLeast"/>
              <w:jc w:val="center"/>
              <w:rPr>
                <w:rFonts w:ascii="宋体" w:hAnsi="宋体" w:cs="宋体"/>
                <w:kern w:val="0"/>
                <w:szCs w:val="21"/>
              </w:rPr>
            </w:pPr>
            <w:r>
              <w:rPr>
                <w:rFonts w:hint="eastAsia" w:ascii="宋体" w:hAnsi="宋体" w:cs="宋体"/>
                <w:kern w:val="0"/>
                <w:szCs w:val="21"/>
              </w:rPr>
              <w:t>一般排放口合计</w:t>
            </w:r>
          </w:p>
        </w:tc>
        <w:tc>
          <w:tcPr>
            <w:tcW w:w="2456" w:type="pct"/>
            <w:gridSpan w:val="3"/>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颗粒物</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color w:val="000000"/>
                <w:kern w:val="0"/>
                <w:szCs w:val="21"/>
              </w:rPr>
              <w:t>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04" w:type="pct"/>
            <w:gridSpan w:val="2"/>
            <w:vMerge w:val="continue"/>
            <w:tcBorders>
              <w:tl2br w:val="nil"/>
              <w:tr2bl w:val="nil"/>
            </w:tcBorders>
            <w:shd w:val="clear" w:color="000000" w:fill="FFFFFF"/>
            <w:vAlign w:val="center"/>
          </w:tcPr>
          <w:p>
            <w:pPr>
              <w:widowControl/>
              <w:spacing w:line="240" w:lineRule="atLeast"/>
              <w:jc w:val="center"/>
              <w:rPr>
                <w:rFonts w:ascii="宋体" w:hAnsi="宋体" w:cs="宋体"/>
                <w:kern w:val="0"/>
                <w:szCs w:val="21"/>
              </w:rPr>
            </w:pPr>
          </w:p>
        </w:tc>
        <w:tc>
          <w:tcPr>
            <w:tcW w:w="2456" w:type="pct"/>
            <w:gridSpan w:val="3"/>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氮氧化物</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color w:val="000000"/>
                <w:kern w:val="0"/>
                <w:szCs w:val="21"/>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04" w:type="pct"/>
            <w:gridSpan w:val="2"/>
            <w:vMerge w:val="continue"/>
            <w:tcBorders>
              <w:tl2br w:val="nil"/>
              <w:tr2bl w:val="nil"/>
            </w:tcBorders>
            <w:shd w:val="clear" w:color="000000" w:fill="FFFFFF"/>
            <w:vAlign w:val="center"/>
          </w:tcPr>
          <w:p>
            <w:pPr>
              <w:widowControl/>
              <w:spacing w:line="240" w:lineRule="atLeast"/>
              <w:jc w:val="center"/>
              <w:rPr>
                <w:rFonts w:ascii="宋体" w:hAnsi="宋体" w:cs="宋体"/>
                <w:kern w:val="0"/>
                <w:szCs w:val="21"/>
              </w:rPr>
            </w:pPr>
          </w:p>
        </w:tc>
        <w:tc>
          <w:tcPr>
            <w:tcW w:w="2456" w:type="pct"/>
            <w:gridSpan w:val="3"/>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NH</w:t>
            </w:r>
            <w:r>
              <w:rPr>
                <w:rFonts w:hint="eastAsia"/>
                <w:kern w:val="0"/>
                <w:szCs w:val="21"/>
                <w:vertAlign w:val="subscript"/>
              </w:rPr>
              <w:t>3</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rFonts w:hint="eastAsia"/>
                <w:color w:val="000000"/>
                <w:kern w:val="0"/>
                <w:szCs w:val="21"/>
              </w:rPr>
              <w:t>0.</w:t>
            </w:r>
            <w:r>
              <w:rPr>
                <w:color w:val="000000"/>
                <w:kern w:val="0"/>
                <w:szCs w:val="21"/>
              </w:rPr>
              <w:t>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04" w:type="pct"/>
            <w:gridSpan w:val="2"/>
            <w:vMerge w:val="continue"/>
            <w:tcBorders>
              <w:tl2br w:val="nil"/>
              <w:tr2bl w:val="nil"/>
            </w:tcBorders>
            <w:shd w:val="clear" w:color="000000" w:fill="FFFFFF"/>
            <w:vAlign w:val="center"/>
          </w:tcPr>
          <w:p>
            <w:pPr>
              <w:widowControl/>
              <w:spacing w:line="240" w:lineRule="atLeast"/>
              <w:jc w:val="center"/>
              <w:rPr>
                <w:rFonts w:ascii="宋体" w:hAnsi="宋体" w:cs="宋体"/>
                <w:kern w:val="0"/>
                <w:szCs w:val="21"/>
              </w:rPr>
            </w:pPr>
          </w:p>
        </w:tc>
        <w:tc>
          <w:tcPr>
            <w:tcW w:w="2456" w:type="pct"/>
            <w:gridSpan w:val="3"/>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H</w:t>
            </w:r>
            <w:r>
              <w:rPr>
                <w:rFonts w:hint="eastAsia"/>
                <w:kern w:val="0"/>
                <w:szCs w:val="21"/>
                <w:vertAlign w:val="subscript"/>
              </w:rPr>
              <w:t>2</w:t>
            </w:r>
            <w:r>
              <w:rPr>
                <w:rFonts w:hint="eastAsia"/>
                <w:kern w:val="0"/>
                <w:szCs w:val="21"/>
              </w:rPr>
              <w:t>S</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rFonts w:hint="eastAsia"/>
                <w:color w:val="000000"/>
                <w:kern w:val="0"/>
                <w:szCs w:val="21"/>
              </w:rPr>
              <w:t>0.0</w:t>
            </w:r>
            <w:r>
              <w:rPr>
                <w:color w:val="000000"/>
                <w:kern w:val="0"/>
                <w:szCs w:val="21"/>
              </w:rPr>
              <w:t>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000" w:type="pct"/>
            <w:gridSpan w:val="6"/>
            <w:tcBorders>
              <w:tl2br w:val="nil"/>
              <w:tr2bl w:val="nil"/>
            </w:tcBorders>
            <w:shd w:val="clear" w:color="000000" w:fill="FFFFFF"/>
            <w:vAlign w:val="center"/>
          </w:tcPr>
          <w:p>
            <w:pPr>
              <w:widowControl/>
              <w:spacing w:line="240" w:lineRule="atLeast"/>
              <w:jc w:val="center"/>
              <w:rPr>
                <w:rFonts w:ascii="宋体" w:hAnsi="宋体" w:cs="宋体"/>
                <w:kern w:val="0"/>
                <w:szCs w:val="21"/>
              </w:rPr>
            </w:pPr>
            <w:r>
              <w:rPr>
                <w:rFonts w:hint="eastAsia" w:ascii="宋体" w:hAnsi="宋体" w:cs="宋体"/>
                <w:kern w:val="0"/>
                <w:szCs w:val="21"/>
              </w:rPr>
              <w:t>有组织排放总计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04" w:type="pct"/>
            <w:gridSpan w:val="2"/>
            <w:vMerge w:val="restart"/>
            <w:tcBorders>
              <w:tl2br w:val="nil"/>
              <w:tr2bl w:val="nil"/>
            </w:tcBorders>
            <w:shd w:val="clear" w:color="000000" w:fill="FFFFFF"/>
            <w:vAlign w:val="center"/>
          </w:tcPr>
          <w:p>
            <w:pPr>
              <w:widowControl/>
              <w:spacing w:line="240" w:lineRule="atLeast"/>
              <w:jc w:val="center"/>
              <w:rPr>
                <w:rFonts w:ascii="宋体" w:hAnsi="宋体" w:cs="宋体"/>
                <w:kern w:val="0"/>
                <w:szCs w:val="21"/>
              </w:rPr>
            </w:pPr>
            <w:r>
              <w:rPr>
                <w:rFonts w:hint="eastAsia" w:ascii="宋体" w:hAnsi="宋体" w:cs="宋体"/>
                <w:kern w:val="0"/>
                <w:szCs w:val="21"/>
              </w:rPr>
              <w:t>有组织排放总计</w:t>
            </w:r>
          </w:p>
        </w:tc>
        <w:tc>
          <w:tcPr>
            <w:tcW w:w="2456" w:type="pct"/>
            <w:gridSpan w:val="3"/>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颗粒物</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color w:val="000000"/>
                <w:kern w:val="0"/>
                <w:szCs w:val="21"/>
              </w:rPr>
              <w:t>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04" w:type="pct"/>
            <w:gridSpan w:val="2"/>
            <w:vMerge w:val="continue"/>
            <w:tcBorders>
              <w:tl2br w:val="nil"/>
              <w:tr2bl w:val="nil"/>
            </w:tcBorders>
            <w:shd w:val="clear" w:color="000000" w:fill="FFFFFF"/>
            <w:vAlign w:val="center"/>
          </w:tcPr>
          <w:p>
            <w:pPr>
              <w:widowControl/>
              <w:spacing w:line="240" w:lineRule="atLeast"/>
              <w:jc w:val="center"/>
              <w:rPr>
                <w:rFonts w:ascii="宋体" w:hAnsi="宋体" w:cs="宋体"/>
                <w:kern w:val="0"/>
                <w:szCs w:val="21"/>
              </w:rPr>
            </w:pPr>
          </w:p>
        </w:tc>
        <w:tc>
          <w:tcPr>
            <w:tcW w:w="2456" w:type="pct"/>
            <w:gridSpan w:val="3"/>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氮氧化物</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color w:val="000000"/>
                <w:kern w:val="0"/>
                <w:szCs w:val="21"/>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04" w:type="pct"/>
            <w:gridSpan w:val="2"/>
            <w:vMerge w:val="continue"/>
            <w:tcBorders>
              <w:tl2br w:val="nil"/>
              <w:tr2bl w:val="nil"/>
            </w:tcBorders>
            <w:shd w:val="clear" w:color="000000" w:fill="FFFFFF"/>
            <w:vAlign w:val="center"/>
          </w:tcPr>
          <w:p>
            <w:pPr>
              <w:widowControl/>
              <w:spacing w:line="240" w:lineRule="atLeast"/>
              <w:jc w:val="center"/>
              <w:rPr>
                <w:rFonts w:ascii="宋体" w:hAnsi="宋体" w:cs="宋体"/>
                <w:kern w:val="0"/>
                <w:szCs w:val="21"/>
              </w:rPr>
            </w:pPr>
          </w:p>
        </w:tc>
        <w:tc>
          <w:tcPr>
            <w:tcW w:w="2456" w:type="pct"/>
            <w:gridSpan w:val="3"/>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NH</w:t>
            </w:r>
            <w:r>
              <w:rPr>
                <w:rFonts w:hint="eastAsia"/>
                <w:kern w:val="0"/>
                <w:szCs w:val="21"/>
                <w:vertAlign w:val="subscript"/>
              </w:rPr>
              <w:t>3</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rFonts w:hint="eastAsia"/>
                <w:color w:val="000000"/>
                <w:kern w:val="0"/>
                <w:szCs w:val="21"/>
              </w:rPr>
              <w:t>0.</w:t>
            </w:r>
            <w:r>
              <w:rPr>
                <w:color w:val="000000"/>
                <w:kern w:val="0"/>
                <w:szCs w:val="21"/>
              </w:rPr>
              <w:t>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804" w:type="pct"/>
            <w:gridSpan w:val="2"/>
            <w:vMerge w:val="continue"/>
            <w:tcBorders>
              <w:tl2br w:val="nil"/>
              <w:tr2bl w:val="nil"/>
            </w:tcBorders>
            <w:shd w:val="clear" w:color="000000" w:fill="FFFFFF"/>
            <w:vAlign w:val="center"/>
          </w:tcPr>
          <w:p>
            <w:pPr>
              <w:widowControl/>
              <w:spacing w:line="240" w:lineRule="atLeast"/>
              <w:jc w:val="center"/>
              <w:rPr>
                <w:rFonts w:ascii="宋体" w:hAnsi="宋体" w:cs="宋体"/>
                <w:kern w:val="0"/>
                <w:szCs w:val="21"/>
              </w:rPr>
            </w:pPr>
          </w:p>
        </w:tc>
        <w:tc>
          <w:tcPr>
            <w:tcW w:w="2456" w:type="pct"/>
            <w:gridSpan w:val="3"/>
            <w:tcBorders>
              <w:tl2br w:val="nil"/>
              <w:tr2bl w:val="nil"/>
            </w:tcBorders>
            <w:shd w:val="clear" w:color="000000" w:fill="FFFFFF"/>
            <w:vAlign w:val="center"/>
          </w:tcPr>
          <w:p>
            <w:pPr>
              <w:widowControl/>
              <w:spacing w:line="240" w:lineRule="atLeast"/>
              <w:jc w:val="center"/>
              <w:rPr>
                <w:kern w:val="0"/>
                <w:szCs w:val="21"/>
              </w:rPr>
            </w:pPr>
            <w:r>
              <w:rPr>
                <w:rFonts w:hint="eastAsia"/>
                <w:kern w:val="0"/>
                <w:szCs w:val="21"/>
              </w:rPr>
              <w:t>H</w:t>
            </w:r>
            <w:r>
              <w:rPr>
                <w:rFonts w:hint="eastAsia"/>
                <w:kern w:val="0"/>
                <w:szCs w:val="21"/>
                <w:vertAlign w:val="subscript"/>
              </w:rPr>
              <w:t>2</w:t>
            </w:r>
            <w:r>
              <w:rPr>
                <w:rFonts w:hint="eastAsia"/>
                <w:kern w:val="0"/>
                <w:szCs w:val="21"/>
              </w:rPr>
              <w:t>S</w:t>
            </w:r>
          </w:p>
        </w:tc>
        <w:tc>
          <w:tcPr>
            <w:tcW w:w="740" w:type="pct"/>
            <w:tcBorders>
              <w:tl2br w:val="nil"/>
              <w:tr2bl w:val="nil"/>
            </w:tcBorders>
            <w:shd w:val="clear" w:color="000000" w:fill="FFFFFF"/>
            <w:vAlign w:val="center"/>
          </w:tcPr>
          <w:p>
            <w:pPr>
              <w:widowControl/>
              <w:jc w:val="center"/>
              <w:textAlignment w:val="center"/>
              <w:rPr>
                <w:color w:val="000000"/>
                <w:kern w:val="0"/>
                <w:szCs w:val="21"/>
              </w:rPr>
            </w:pPr>
            <w:r>
              <w:rPr>
                <w:rFonts w:hint="eastAsia"/>
                <w:color w:val="000000"/>
                <w:kern w:val="0"/>
                <w:szCs w:val="21"/>
              </w:rPr>
              <w:t>0.0</w:t>
            </w:r>
            <w:r>
              <w:rPr>
                <w:color w:val="000000"/>
                <w:kern w:val="0"/>
                <w:szCs w:val="21"/>
              </w:rPr>
              <w:t>39</w:t>
            </w:r>
          </w:p>
        </w:tc>
      </w:tr>
      <w:bookmarkEnd w:id="92"/>
    </w:tbl>
    <w:p>
      <w:pPr>
        <w:spacing w:line="480" w:lineRule="atLeast"/>
        <w:jc w:val="center"/>
        <w:rPr>
          <w:rFonts w:ascii="黑体" w:hAnsi="黑体" w:eastAsia="黑体"/>
          <w:kern w:val="0"/>
          <w:sz w:val="24"/>
          <w:szCs w:val="24"/>
        </w:rPr>
      </w:pPr>
      <w:r>
        <w:rPr>
          <w:rFonts w:hint="eastAsia" w:ascii="黑体" w:hAnsi="黑体" w:eastAsia="黑体"/>
          <w:kern w:val="0"/>
          <w:sz w:val="24"/>
          <w:szCs w:val="24"/>
        </w:rPr>
        <w:t>表</w:t>
      </w:r>
      <w:r>
        <w:rPr>
          <w:rFonts w:hint="eastAsia" w:ascii="黑体" w:hAnsi="黑体" w:eastAsia="黑体"/>
          <w:sz w:val="24"/>
          <w:szCs w:val="24"/>
        </w:rPr>
        <w:t>5.2-7</w:t>
      </w:r>
      <w:r>
        <w:rPr>
          <w:rFonts w:hint="eastAsia" w:ascii="黑体" w:hAnsi="黑体" w:eastAsia="黑体"/>
          <w:kern w:val="0"/>
          <w:sz w:val="24"/>
          <w:szCs w:val="24"/>
        </w:rPr>
        <w:t xml:space="preserve">  大气污染物无组织排放量核算表</w:t>
      </w:r>
    </w:p>
    <w:tbl>
      <w:tblPr>
        <w:tblStyle w:val="31"/>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65"/>
        <w:gridCol w:w="695"/>
        <w:gridCol w:w="1036"/>
        <w:gridCol w:w="837"/>
        <w:gridCol w:w="1810"/>
        <w:gridCol w:w="1943"/>
        <w:gridCol w:w="1164"/>
        <w:gridCol w:w="11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trPr>
        <w:tc>
          <w:tcPr>
            <w:tcW w:w="264" w:type="pct"/>
            <w:vMerge w:val="restart"/>
            <w:tcBorders>
              <w:tl2br w:val="nil"/>
              <w:tr2bl w:val="nil"/>
            </w:tcBorders>
            <w:vAlign w:val="center"/>
          </w:tcPr>
          <w:p>
            <w:pPr>
              <w:widowControl/>
              <w:jc w:val="center"/>
              <w:rPr>
                <w:b/>
                <w:kern w:val="0"/>
                <w:szCs w:val="21"/>
              </w:rPr>
            </w:pPr>
            <w:bookmarkStart w:id="93" w:name="_Hlk9001527"/>
            <w:r>
              <w:rPr>
                <w:b/>
                <w:kern w:val="0"/>
                <w:szCs w:val="21"/>
              </w:rPr>
              <w:t>序号</w:t>
            </w:r>
          </w:p>
        </w:tc>
        <w:tc>
          <w:tcPr>
            <w:tcW w:w="391" w:type="pct"/>
            <w:vMerge w:val="restart"/>
            <w:tcBorders>
              <w:tl2br w:val="nil"/>
              <w:tr2bl w:val="nil"/>
            </w:tcBorders>
            <w:vAlign w:val="center"/>
          </w:tcPr>
          <w:p>
            <w:pPr>
              <w:widowControl/>
              <w:jc w:val="center"/>
              <w:rPr>
                <w:b/>
                <w:kern w:val="0"/>
                <w:szCs w:val="21"/>
              </w:rPr>
            </w:pPr>
            <w:r>
              <w:rPr>
                <w:b/>
                <w:kern w:val="0"/>
                <w:szCs w:val="21"/>
              </w:rPr>
              <w:t>排放口编号</w:t>
            </w:r>
          </w:p>
        </w:tc>
        <w:tc>
          <w:tcPr>
            <w:tcW w:w="579" w:type="pct"/>
            <w:vMerge w:val="restart"/>
            <w:tcBorders>
              <w:tl2br w:val="nil"/>
              <w:tr2bl w:val="nil"/>
            </w:tcBorders>
            <w:vAlign w:val="center"/>
          </w:tcPr>
          <w:p>
            <w:pPr>
              <w:widowControl/>
              <w:jc w:val="center"/>
              <w:rPr>
                <w:b/>
                <w:kern w:val="0"/>
                <w:szCs w:val="21"/>
              </w:rPr>
            </w:pPr>
            <w:r>
              <w:rPr>
                <w:b/>
                <w:kern w:val="0"/>
                <w:szCs w:val="21"/>
              </w:rPr>
              <w:t>产污环节</w:t>
            </w:r>
          </w:p>
        </w:tc>
        <w:tc>
          <w:tcPr>
            <w:tcW w:w="469" w:type="pct"/>
            <w:vMerge w:val="restart"/>
            <w:tcBorders>
              <w:tl2br w:val="nil"/>
              <w:tr2bl w:val="nil"/>
            </w:tcBorders>
            <w:vAlign w:val="center"/>
          </w:tcPr>
          <w:p>
            <w:pPr>
              <w:widowControl/>
              <w:jc w:val="center"/>
              <w:rPr>
                <w:b/>
                <w:kern w:val="0"/>
                <w:szCs w:val="21"/>
              </w:rPr>
            </w:pPr>
            <w:r>
              <w:rPr>
                <w:b/>
                <w:kern w:val="0"/>
                <w:szCs w:val="21"/>
              </w:rPr>
              <w:t>污染物</w:t>
            </w:r>
          </w:p>
        </w:tc>
        <w:tc>
          <w:tcPr>
            <w:tcW w:w="1006" w:type="pct"/>
            <w:vMerge w:val="restart"/>
            <w:tcBorders>
              <w:tl2br w:val="nil"/>
              <w:tr2bl w:val="nil"/>
            </w:tcBorders>
            <w:vAlign w:val="center"/>
          </w:tcPr>
          <w:p>
            <w:pPr>
              <w:widowControl/>
              <w:jc w:val="center"/>
              <w:rPr>
                <w:b/>
                <w:kern w:val="0"/>
                <w:szCs w:val="21"/>
              </w:rPr>
            </w:pPr>
            <w:r>
              <w:rPr>
                <w:b/>
                <w:kern w:val="0"/>
                <w:szCs w:val="21"/>
              </w:rPr>
              <w:t>主要污染防治措施</w:t>
            </w:r>
          </w:p>
        </w:tc>
        <w:tc>
          <w:tcPr>
            <w:tcW w:w="1715" w:type="pct"/>
            <w:gridSpan w:val="2"/>
            <w:tcBorders>
              <w:tl2br w:val="nil"/>
              <w:tr2bl w:val="nil"/>
            </w:tcBorders>
            <w:vAlign w:val="center"/>
          </w:tcPr>
          <w:p>
            <w:pPr>
              <w:widowControl/>
              <w:jc w:val="center"/>
              <w:rPr>
                <w:b/>
                <w:kern w:val="0"/>
                <w:szCs w:val="21"/>
              </w:rPr>
            </w:pPr>
            <w:r>
              <w:rPr>
                <w:b/>
                <w:kern w:val="0"/>
                <w:szCs w:val="21"/>
              </w:rPr>
              <w:t>国家或地方污染物排放标准</w:t>
            </w:r>
          </w:p>
        </w:tc>
        <w:tc>
          <w:tcPr>
            <w:tcW w:w="576" w:type="pct"/>
            <w:vMerge w:val="restart"/>
            <w:tcBorders>
              <w:tl2br w:val="nil"/>
              <w:tr2bl w:val="nil"/>
            </w:tcBorders>
            <w:vAlign w:val="center"/>
          </w:tcPr>
          <w:p>
            <w:pPr>
              <w:widowControl/>
              <w:jc w:val="center"/>
              <w:rPr>
                <w:b/>
                <w:kern w:val="0"/>
                <w:szCs w:val="21"/>
              </w:rPr>
            </w:pPr>
            <w:r>
              <w:rPr>
                <w:b/>
                <w:kern w:val="0"/>
                <w:szCs w:val="21"/>
              </w:rPr>
              <w:t>年排放量/（t/a）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264" w:type="pct"/>
            <w:vMerge w:val="continue"/>
            <w:tcBorders>
              <w:tl2br w:val="nil"/>
              <w:tr2bl w:val="nil"/>
            </w:tcBorders>
            <w:vAlign w:val="center"/>
          </w:tcPr>
          <w:p>
            <w:pPr>
              <w:widowControl/>
              <w:jc w:val="center"/>
              <w:rPr>
                <w:kern w:val="0"/>
                <w:szCs w:val="21"/>
              </w:rPr>
            </w:pPr>
          </w:p>
        </w:tc>
        <w:tc>
          <w:tcPr>
            <w:tcW w:w="391" w:type="pct"/>
            <w:vMerge w:val="continue"/>
            <w:tcBorders>
              <w:tl2br w:val="nil"/>
              <w:tr2bl w:val="nil"/>
            </w:tcBorders>
            <w:vAlign w:val="center"/>
          </w:tcPr>
          <w:p>
            <w:pPr>
              <w:widowControl/>
              <w:jc w:val="center"/>
              <w:rPr>
                <w:kern w:val="0"/>
                <w:szCs w:val="21"/>
              </w:rPr>
            </w:pPr>
          </w:p>
        </w:tc>
        <w:tc>
          <w:tcPr>
            <w:tcW w:w="579" w:type="pct"/>
            <w:vMerge w:val="continue"/>
            <w:tcBorders>
              <w:tl2br w:val="nil"/>
              <w:tr2bl w:val="nil"/>
            </w:tcBorders>
            <w:vAlign w:val="center"/>
          </w:tcPr>
          <w:p>
            <w:pPr>
              <w:widowControl/>
              <w:jc w:val="center"/>
              <w:rPr>
                <w:kern w:val="0"/>
                <w:szCs w:val="21"/>
              </w:rPr>
            </w:pPr>
          </w:p>
        </w:tc>
        <w:tc>
          <w:tcPr>
            <w:tcW w:w="469" w:type="pct"/>
            <w:vMerge w:val="continue"/>
            <w:tcBorders>
              <w:tl2br w:val="nil"/>
              <w:tr2bl w:val="nil"/>
            </w:tcBorders>
            <w:vAlign w:val="center"/>
          </w:tcPr>
          <w:p>
            <w:pPr>
              <w:widowControl/>
              <w:jc w:val="center"/>
              <w:rPr>
                <w:kern w:val="0"/>
                <w:szCs w:val="21"/>
              </w:rPr>
            </w:pPr>
          </w:p>
        </w:tc>
        <w:tc>
          <w:tcPr>
            <w:tcW w:w="1006" w:type="pct"/>
            <w:vMerge w:val="continue"/>
            <w:tcBorders>
              <w:tl2br w:val="nil"/>
              <w:tr2bl w:val="nil"/>
            </w:tcBorders>
            <w:vAlign w:val="center"/>
          </w:tcPr>
          <w:p>
            <w:pPr>
              <w:widowControl/>
              <w:jc w:val="center"/>
              <w:rPr>
                <w:kern w:val="0"/>
                <w:szCs w:val="21"/>
              </w:rPr>
            </w:pPr>
          </w:p>
        </w:tc>
        <w:tc>
          <w:tcPr>
            <w:tcW w:w="1072" w:type="pct"/>
            <w:vMerge w:val="restart"/>
            <w:tcBorders>
              <w:tl2br w:val="nil"/>
              <w:tr2bl w:val="nil"/>
            </w:tcBorders>
            <w:vAlign w:val="center"/>
          </w:tcPr>
          <w:p>
            <w:pPr>
              <w:widowControl/>
              <w:jc w:val="center"/>
              <w:rPr>
                <w:b/>
                <w:kern w:val="0"/>
                <w:szCs w:val="21"/>
              </w:rPr>
            </w:pPr>
            <w:r>
              <w:rPr>
                <w:b/>
                <w:kern w:val="0"/>
                <w:szCs w:val="21"/>
              </w:rPr>
              <w:t>标准名称</w:t>
            </w:r>
          </w:p>
        </w:tc>
        <w:tc>
          <w:tcPr>
            <w:tcW w:w="643" w:type="pct"/>
            <w:vMerge w:val="restart"/>
            <w:tcBorders>
              <w:tl2br w:val="nil"/>
              <w:tr2bl w:val="nil"/>
            </w:tcBorders>
            <w:vAlign w:val="center"/>
          </w:tcPr>
          <w:p>
            <w:pPr>
              <w:widowControl/>
              <w:jc w:val="center"/>
              <w:rPr>
                <w:b/>
                <w:kern w:val="0"/>
                <w:szCs w:val="21"/>
              </w:rPr>
            </w:pPr>
            <w:r>
              <w:rPr>
                <w:b/>
                <w:kern w:val="0"/>
                <w:szCs w:val="21"/>
              </w:rPr>
              <w:t>浓度限值/（μg/m</w:t>
            </w:r>
            <w:r>
              <w:rPr>
                <w:b/>
                <w:kern w:val="0"/>
                <w:szCs w:val="21"/>
                <w:vertAlign w:val="superscript"/>
              </w:rPr>
              <w:t>3</w:t>
            </w:r>
            <w:r>
              <w:rPr>
                <w:b/>
                <w:kern w:val="0"/>
                <w:szCs w:val="21"/>
              </w:rPr>
              <w:t>）</w:t>
            </w:r>
          </w:p>
        </w:tc>
        <w:tc>
          <w:tcPr>
            <w:tcW w:w="576" w:type="pct"/>
            <w:vMerge w:val="continue"/>
            <w:tcBorders>
              <w:tl2br w:val="nil"/>
              <w:tr2bl w:val="nil"/>
            </w:tcBorders>
            <w:vAlign w:val="center"/>
          </w:tcPr>
          <w:p>
            <w:pPr>
              <w:widowControl/>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264" w:type="pct"/>
            <w:vMerge w:val="continue"/>
            <w:tcBorders>
              <w:tl2br w:val="nil"/>
              <w:tr2bl w:val="nil"/>
            </w:tcBorders>
            <w:vAlign w:val="center"/>
          </w:tcPr>
          <w:p>
            <w:pPr>
              <w:widowControl/>
              <w:jc w:val="center"/>
              <w:rPr>
                <w:kern w:val="0"/>
                <w:szCs w:val="21"/>
              </w:rPr>
            </w:pPr>
          </w:p>
        </w:tc>
        <w:tc>
          <w:tcPr>
            <w:tcW w:w="391" w:type="pct"/>
            <w:vMerge w:val="continue"/>
            <w:tcBorders>
              <w:tl2br w:val="nil"/>
              <w:tr2bl w:val="nil"/>
            </w:tcBorders>
            <w:vAlign w:val="center"/>
          </w:tcPr>
          <w:p>
            <w:pPr>
              <w:widowControl/>
              <w:jc w:val="center"/>
              <w:rPr>
                <w:kern w:val="0"/>
                <w:szCs w:val="21"/>
              </w:rPr>
            </w:pPr>
          </w:p>
        </w:tc>
        <w:tc>
          <w:tcPr>
            <w:tcW w:w="579" w:type="pct"/>
            <w:vMerge w:val="continue"/>
            <w:tcBorders>
              <w:tl2br w:val="nil"/>
              <w:tr2bl w:val="nil"/>
            </w:tcBorders>
            <w:vAlign w:val="center"/>
          </w:tcPr>
          <w:p>
            <w:pPr>
              <w:widowControl/>
              <w:jc w:val="center"/>
              <w:rPr>
                <w:kern w:val="0"/>
                <w:szCs w:val="21"/>
              </w:rPr>
            </w:pPr>
          </w:p>
        </w:tc>
        <w:tc>
          <w:tcPr>
            <w:tcW w:w="469" w:type="pct"/>
            <w:vMerge w:val="continue"/>
            <w:tcBorders>
              <w:tl2br w:val="nil"/>
              <w:tr2bl w:val="nil"/>
            </w:tcBorders>
            <w:vAlign w:val="center"/>
          </w:tcPr>
          <w:p>
            <w:pPr>
              <w:widowControl/>
              <w:jc w:val="center"/>
              <w:rPr>
                <w:kern w:val="0"/>
                <w:szCs w:val="21"/>
              </w:rPr>
            </w:pPr>
          </w:p>
        </w:tc>
        <w:tc>
          <w:tcPr>
            <w:tcW w:w="1006" w:type="pct"/>
            <w:vMerge w:val="continue"/>
            <w:tcBorders>
              <w:tl2br w:val="nil"/>
              <w:tr2bl w:val="nil"/>
            </w:tcBorders>
            <w:vAlign w:val="center"/>
          </w:tcPr>
          <w:p>
            <w:pPr>
              <w:widowControl/>
              <w:jc w:val="center"/>
              <w:rPr>
                <w:kern w:val="0"/>
                <w:szCs w:val="21"/>
              </w:rPr>
            </w:pPr>
          </w:p>
        </w:tc>
        <w:tc>
          <w:tcPr>
            <w:tcW w:w="1072" w:type="pct"/>
            <w:vMerge w:val="continue"/>
            <w:tcBorders>
              <w:tl2br w:val="nil"/>
              <w:tr2bl w:val="nil"/>
            </w:tcBorders>
            <w:vAlign w:val="center"/>
          </w:tcPr>
          <w:p>
            <w:pPr>
              <w:widowControl/>
              <w:jc w:val="center"/>
              <w:rPr>
                <w:kern w:val="0"/>
                <w:szCs w:val="21"/>
              </w:rPr>
            </w:pPr>
          </w:p>
        </w:tc>
        <w:tc>
          <w:tcPr>
            <w:tcW w:w="643" w:type="pct"/>
            <w:vMerge w:val="continue"/>
            <w:tcBorders>
              <w:tl2br w:val="nil"/>
              <w:tr2bl w:val="nil"/>
            </w:tcBorders>
            <w:vAlign w:val="center"/>
          </w:tcPr>
          <w:p>
            <w:pPr>
              <w:widowControl/>
              <w:jc w:val="center"/>
              <w:rPr>
                <w:kern w:val="0"/>
                <w:szCs w:val="21"/>
              </w:rPr>
            </w:pPr>
          </w:p>
        </w:tc>
        <w:tc>
          <w:tcPr>
            <w:tcW w:w="576" w:type="pct"/>
            <w:vMerge w:val="continue"/>
            <w:tcBorders>
              <w:tl2br w:val="nil"/>
              <w:tr2bl w:val="nil"/>
            </w:tcBorders>
            <w:vAlign w:val="center"/>
          </w:tcPr>
          <w:p>
            <w:pPr>
              <w:widowControl/>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64" w:type="pct"/>
            <w:vMerge w:val="restart"/>
            <w:tcBorders>
              <w:tl2br w:val="nil"/>
              <w:tr2bl w:val="nil"/>
            </w:tcBorders>
            <w:vAlign w:val="center"/>
          </w:tcPr>
          <w:p>
            <w:pPr>
              <w:widowControl/>
              <w:jc w:val="center"/>
              <w:rPr>
                <w:kern w:val="0"/>
                <w:szCs w:val="21"/>
              </w:rPr>
            </w:pPr>
            <w:r>
              <w:rPr>
                <w:kern w:val="0"/>
                <w:szCs w:val="21"/>
              </w:rPr>
              <w:t>1</w:t>
            </w:r>
          </w:p>
        </w:tc>
        <w:tc>
          <w:tcPr>
            <w:tcW w:w="391" w:type="pct"/>
            <w:vMerge w:val="restart"/>
            <w:tcBorders>
              <w:tl2br w:val="nil"/>
              <w:tr2bl w:val="nil"/>
            </w:tcBorders>
            <w:vAlign w:val="center"/>
          </w:tcPr>
          <w:p>
            <w:pPr>
              <w:widowControl/>
              <w:jc w:val="center"/>
              <w:rPr>
                <w:kern w:val="0"/>
                <w:szCs w:val="21"/>
              </w:rPr>
            </w:pPr>
            <w:r>
              <w:rPr>
                <w:rFonts w:hint="eastAsia"/>
                <w:kern w:val="0"/>
                <w:szCs w:val="21"/>
              </w:rPr>
              <w:t>/</w:t>
            </w:r>
          </w:p>
        </w:tc>
        <w:tc>
          <w:tcPr>
            <w:tcW w:w="579" w:type="pct"/>
            <w:vMerge w:val="restart"/>
            <w:tcBorders>
              <w:tl2br w:val="nil"/>
              <w:tr2bl w:val="nil"/>
            </w:tcBorders>
            <w:vAlign w:val="center"/>
          </w:tcPr>
          <w:p>
            <w:pPr>
              <w:widowControl/>
              <w:jc w:val="center"/>
              <w:rPr>
                <w:kern w:val="0"/>
                <w:szCs w:val="21"/>
              </w:rPr>
            </w:pPr>
            <w:r>
              <w:rPr>
                <w:rFonts w:hint="eastAsia"/>
                <w:kern w:val="0"/>
                <w:szCs w:val="21"/>
              </w:rPr>
              <w:t>鸡舍</w:t>
            </w:r>
          </w:p>
        </w:tc>
        <w:tc>
          <w:tcPr>
            <w:tcW w:w="469" w:type="pct"/>
            <w:tcBorders>
              <w:tl2br w:val="nil"/>
              <w:tr2bl w:val="nil"/>
            </w:tcBorders>
            <w:vAlign w:val="center"/>
          </w:tcPr>
          <w:p>
            <w:pPr>
              <w:widowControl/>
              <w:spacing w:line="240" w:lineRule="atLeast"/>
              <w:jc w:val="center"/>
              <w:rPr>
                <w:kern w:val="0"/>
                <w:szCs w:val="21"/>
              </w:rPr>
            </w:pPr>
            <w:r>
              <w:rPr>
                <w:rFonts w:hint="eastAsia"/>
                <w:kern w:val="0"/>
                <w:szCs w:val="21"/>
              </w:rPr>
              <w:t>NH</w:t>
            </w:r>
            <w:r>
              <w:rPr>
                <w:rFonts w:hint="eastAsia"/>
                <w:kern w:val="0"/>
                <w:szCs w:val="21"/>
                <w:vertAlign w:val="subscript"/>
              </w:rPr>
              <w:t>3</w:t>
            </w:r>
            <w:r>
              <w:rPr>
                <w:kern w:val="0"/>
                <w:szCs w:val="21"/>
              </w:rPr>
              <w:t xml:space="preserve"> </w:t>
            </w:r>
          </w:p>
        </w:tc>
        <w:tc>
          <w:tcPr>
            <w:tcW w:w="1006" w:type="pct"/>
            <w:vMerge w:val="restart"/>
            <w:tcBorders>
              <w:tl2br w:val="nil"/>
              <w:tr2bl w:val="nil"/>
            </w:tcBorders>
            <w:vAlign w:val="center"/>
          </w:tcPr>
          <w:p>
            <w:pPr>
              <w:widowControl/>
              <w:jc w:val="center"/>
              <w:rPr>
                <w:kern w:val="0"/>
                <w:szCs w:val="21"/>
              </w:rPr>
            </w:pPr>
            <w:r>
              <w:rPr>
                <w:rFonts w:hint="eastAsia"/>
                <w:szCs w:val="21"/>
              </w:rPr>
              <w:t>采用干清粪技术，及时清粪；加强鸡舍通风；定期喷洒除臭剂；合理调配饲料，饲料中添加</w:t>
            </w:r>
            <w:r>
              <w:rPr>
                <w:szCs w:val="21"/>
              </w:rPr>
              <w:t>EM</w:t>
            </w:r>
            <w:r>
              <w:rPr>
                <w:rFonts w:hint="eastAsia"/>
                <w:szCs w:val="21"/>
              </w:rPr>
              <w:t>菌，</w:t>
            </w:r>
            <w:r>
              <w:rPr>
                <w:rFonts w:hint="eastAsia"/>
                <w:snapToGrid w:val="0"/>
              </w:rPr>
              <w:t>同时加强场区内绿化管理；地埋式污水处理站各处理池加盖处理，站房内定期喷洒除臭剂</w:t>
            </w:r>
          </w:p>
        </w:tc>
        <w:tc>
          <w:tcPr>
            <w:tcW w:w="1072" w:type="pct"/>
            <w:vMerge w:val="restart"/>
            <w:tcBorders>
              <w:tl2br w:val="nil"/>
              <w:tr2bl w:val="nil"/>
            </w:tcBorders>
            <w:vAlign w:val="center"/>
          </w:tcPr>
          <w:p>
            <w:pPr>
              <w:widowControl/>
              <w:jc w:val="center"/>
              <w:rPr>
                <w:kern w:val="0"/>
                <w:szCs w:val="21"/>
              </w:rPr>
            </w:pPr>
            <w:r>
              <w:rPr>
                <w:rFonts w:hint="eastAsia"/>
                <w:szCs w:val="21"/>
              </w:rPr>
              <w:t>NH</w:t>
            </w:r>
            <w:r>
              <w:rPr>
                <w:rFonts w:hint="eastAsia"/>
                <w:szCs w:val="21"/>
                <w:vertAlign w:val="subscript"/>
              </w:rPr>
              <w:t>3</w:t>
            </w:r>
            <w:r>
              <w:rPr>
                <w:rFonts w:hint="eastAsia"/>
                <w:szCs w:val="21"/>
              </w:rPr>
              <w:t>、</w:t>
            </w:r>
            <w:r>
              <w:rPr>
                <w:szCs w:val="21"/>
              </w:rPr>
              <w:t>H</w:t>
            </w:r>
            <w:r>
              <w:rPr>
                <w:szCs w:val="21"/>
                <w:vertAlign w:val="subscript"/>
              </w:rPr>
              <w:t>2</w:t>
            </w:r>
            <w:r>
              <w:rPr>
                <w:szCs w:val="21"/>
              </w:rPr>
              <w:t>S排放执行《恶臭污染物排放标准》（GB14554-1993）中二级标准</w:t>
            </w:r>
            <w:r>
              <w:rPr>
                <w:rFonts w:hint="eastAsia"/>
                <w:szCs w:val="21"/>
              </w:rPr>
              <w:t>及恶臭污染物厂界排放标准限值</w:t>
            </w:r>
          </w:p>
        </w:tc>
        <w:tc>
          <w:tcPr>
            <w:tcW w:w="643" w:type="pct"/>
            <w:tcBorders>
              <w:tl2br w:val="nil"/>
              <w:tr2bl w:val="nil"/>
            </w:tcBorders>
            <w:vAlign w:val="center"/>
          </w:tcPr>
          <w:p>
            <w:pPr>
              <w:widowControl/>
              <w:jc w:val="center"/>
              <w:rPr>
                <w:kern w:val="0"/>
                <w:szCs w:val="21"/>
              </w:rPr>
            </w:pPr>
            <w:r>
              <w:rPr>
                <w:rFonts w:hint="eastAsia"/>
                <w:kern w:val="0"/>
                <w:szCs w:val="21"/>
              </w:rPr>
              <w:t>1500</w:t>
            </w:r>
          </w:p>
        </w:tc>
        <w:tc>
          <w:tcPr>
            <w:tcW w:w="576" w:type="pct"/>
            <w:tcBorders>
              <w:tl2br w:val="nil"/>
              <w:tr2bl w:val="nil"/>
            </w:tcBorders>
            <w:vAlign w:val="center"/>
          </w:tcPr>
          <w:p>
            <w:pPr>
              <w:widowControl/>
              <w:jc w:val="center"/>
              <w:textAlignment w:val="center"/>
              <w:rPr>
                <w:szCs w:val="21"/>
              </w:rPr>
            </w:pPr>
            <w:r>
              <w:rPr>
                <w:rFonts w:hint="eastAsia"/>
                <w:szCs w:val="21"/>
              </w:rPr>
              <w:t>0.206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64" w:type="pct"/>
            <w:vMerge w:val="continue"/>
            <w:tcBorders>
              <w:tl2br w:val="nil"/>
              <w:tr2bl w:val="nil"/>
            </w:tcBorders>
            <w:vAlign w:val="center"/>
          </w:tcPr>
          <w:p>
            <w:pPr>
              <w:widowControl/>
              <w:jc w:val="center"/>
              <w:rPr>
                <w:kern w:val="0"/>
                <w:szCs w:val="21"/>
              </w:rPr>
            </w:pPr>
          </w:p>
        </w:tc>
        <w:tc>
          <w:tcPr>
            <w:tcW w:w="391" w:type="pct"/>
            <w:vMerge w:val="continue"/>
            <w:tcBorders>
              <w:tl2br w:val="nil"/>
              <w:tr2bl w:val="nil"/>
            </w:tcBorders>
            <w:vAlign w:val="center"/>
          </w:tcPr>
          <w:p>
            <w:pPr>
              <w:widowControl/>
              <w:jc w:val="center"/>
              <w:rPr>
                <w:kern w:val="0"/>
                <w:szCs w:val="21"/>
              </w:rPr>
            </w:pPr>
          </w:p>
        </w:tc>
        <w:tc>
          <w:tcPr>
            <w:tcW w:w="579" w:type="pct"/>
            <w:vMerge w:val="continue"/>
            <w:tcBorders>
              <w:tl2br w:val="nil"/>
              <w:tr2bl w:val="nil"/>
            </w:tcBorders>
            <w:vAlign w:val="center"/>
          </w:tcPr>
          <w:p>
            <w:pPr>
              <w:widowControl/>
              <w:jc w:val="center"/>
              <w:rPr>
                <w:kern w:val="0"/>
                <w:szCs w:val="21"/>
              </w:rPr>
            </w:pPr>
          </w:p>
        </w:tc>
        <w:tc>
          <w:tcPr>
            <w:tcW w:w="469" w:type="pct"/>
            <w:tcBorders>
              <w:tl2br w:val="nil"/>
              <w:tr2bl w:val="nil"/>
            </w:tcBorders>
            <w:vAlign w:val="center"/>
          </w:tcPr>
          <w:p>
            <w:pPr>
              <w:widowControl/>
              <w:spacing w:line="240" w:lineRule="atLeast"/>
              <w:jc w:val="center"/>
              <w:rPr>
                <w:kern w:val="0"/>
                <w:szCs w:val="21"/>
              </w:rPr>
            </w:pPr>
            <w:r>
              <w:rPr>
                <w:rFonts w:hint="eastAsia"/>
                <w:kern w:val="0"/>
                <w:szCs w:val="21"/>
              </w:rPr>
              <w:t>H</w:t>
            </w:r>
            <w:r>
              <w:rPr>
                <w:rFonts w:hint="eastAsia"/>
                <w:kern w:val="0"/>
                <w:szCs w:val="21"/>
                <w:vertAlign w:val="subscript"/>
              </w:rPr>
              <w:t>2</w:t>
            </w:r>
            <w:r>
              <w:rPr>
                <w:rFonts w:hint="eastAsia"/>
                <w:kern w:val="0"/>
                <w:szCs w:val="21"/>
              </w:rPr>
              <w:t>S</w:t>
            </w:r>
          </w:p>
        </w:tc>
        <w:tc>
          <w:tcPr>
            <w:tcW w:w="1006" w:type="pct"/>
            <w:vMerge w:val="continue"/>
            <w:tcBorders>
              <w:tl2br w:val="nil"/>
              <w:tr2bl w:val="nil"/>
            </w:tcBorders>
            <w:vAlign w:val="center"/>
          </w:tcPr>
          <w:p>
            <w:pPr>
              <w:widowControl/>
              <w:jc w:val="center"/>
              <w:rPr>
                <w:kern w:val="0"/>
                <w:szCs w:val="21"/>
              </w:rPr>
            </w:pPr>
          </w:p>
        </w:tc>
        <w:tc>
          <w:tcPr>
            <w:tcW w:w="1072" w:type="pct"/>
            <w:vMerge w:val="continue"/>
            <w:tcBorders>
              <w:tl2br w:val="nil"/>
              <w:tr2bl w:val="nil"/>
            </w:tcBorders>
            <w:vAlign w:val="center"/>
          </w:tcPr>
          <w:p>
            <w:pPr>
              <w:widowControl/>
              <w:jc w:val="center"/>
              <w:rPr>
                <w:bCs/>
                <w:szCs w:val="21"/>
              </w:rPr>
            </w:pPr>
          </w:p>
        </w:tc>
        <w:tc>
          <w:tcPr>
            <w:tcW w:w="643" w:type="pct"/>
            <w:tcBorders>
              <w:tl2br w:val="nil"/>
              <w:tr2bl w:val="nil"/>
            </w:tcBorders>
            <w:vAlign w:val="center"/>
          </w:tcPr>
          <w:p>
            <w:pPr>
              <w:widowControl/>
              <w:jc w:val="center"/>
              <w:rPr>
                <w:kern w:val="0"/>
                <w:szCs w:val="21"/>
              </w:rPr>
            </w:pPr>
            <w:r>
              <w:rPr>
                <w:rFonts w:hint="eastAsia"/>
                <w:kern w:val="0"/>
                <w:szCs w:val="21"/>
              </w:rPr>
              <w:t>60</w:t>
            </w:r>
          </w:p>
        </w:tc>
        <w:tc>
          <w:tcPr>
            <w:tcW w:w="576" w:type="pct"/>
            <w:tcBorders>
              <w:tl2br w:val="nil"/>
              <w:tr2bl w:val="nil"/>
            </w:tcBorders>
            <w:vAlign w:val="center"/>
          </w:tcPr>
          <w:p>
            <w:pPr>
              <w:widowControl/>
              <w:jc w:val="center"/>
              <w:textAlignment w:val="center"/>
              <w:rPr>
                <w:szCs w:val="21"/>
              </w:rPr>
            </w:pPr>
            <w:r>
              <w:rPr>
                <w:rFonts w:hint="eastAsia"/>
                <w:szCs w:val="21"/>
              </w:rPr>
              <w:t>0</w:t>
            </w:r>
            <w:r>
              <w:rPr>
                <w:szCs w:val="21"/>
              </w:rPr>
              <w:t>.0</w:t>
            </w:r>
            <w:r>
              <w:rPr>
                <w:rFonts w:hint="eastAsia"/>
                <w:szCs w:val="21"/>
              </w:rPr>
              <w:t>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64" w:type="pct"/>
            <w:vMerge w:val="restart"/>
            <w:tcBorders>
              <w:tl2br w:val="nil"/>
              <w:tr2bl w:val="nil"/>
            </w:tcBorders>
            <w:vAlign w:val="center"/>
          </w:tcPr>
          <w:p>
            <w:pPr>
              <w:widowControl/>
              <w:jc w:val="center"/>
              <w:rPr>
                <w:kern w:val="0"/>
                <w:szCs w:val="21"/>
              </w:rPr>
            </w:pPr>
            <w:r>
              <w:rPr>
                <w:rFonts w:hint="eastAsia"/>
                <w:kern w:val="0"/>
                <w:szCs w:val="21"/>
              </w:rPr>
              <w:t>2</w:t>
            </w:r>
          </w:p>
        </w:tc>
        <w:tc>
          <w:tcPr>
            <w:tcW w:w="391" w:type="pct"/>
            <w:vMerge w:val="restart"/>
            <w:tcBorders>
              <w:tl2br w:val="nil"/>
              <w:tr2bl w:val="nil"/>
            </w:tcBorders>
            <w:vAlign w:val="center"/>
          </w:tcPr>
          <w:p>
            <w:pPr>
              <w:widowControl/>
              <w:jc w:val="center"/>
              <w:rPr>
                <w:kern w:val="0"/>
                <w:szCs w:val="21"/>
              </w:rPr>
            </w:pPr>
            <w:r>
              <w:rPr>
                <w:rFonts w:hint="eastAsia"/>
                <w:kern w:val="0"/>
                <w:szCs w:val="21"/>
              </w:rPr>
              <w:t>/</w:t>
            </w:r>
          </w:p>
        </w:tc>
        <w:tc>
          <w:tcPr>
            <w:tcW w:w="579" w:type="pct"/>
            <w:vMerge w:val="restart"/>
            <w:tcBorders>
              <w:tl2br w:val="nil"/>
              <w:tr2bl w:val="nil"/>
            </w:tcBorders>
            <w:vAlign w:val="center"/>
          </w:tcPr>
          <w:p>
            <w:pPr>
              <w:widowControl/>
              <w:jc w:val="center"/>
              <w:rPr>
                <w:kern w:val="0"/>
                <w:szCs w:val="21"/>
              </w:rPr>
            </w:pPr>
            <w:r>
              <w:rPr>
                <w:rFonts w:hint="eastAsia"/>
                <w:kern w:val="0"/>
                <w:szCs w:val="21"/>
              </w:rPr>
              <w:t>污水处理站</w:t>
            </w:r>
          </w:p>
        </w:tc>
        <w:tc>
          <w:tcPr>
            <w:tcW w:w="469" w:type="pct"/>
            <w:tcBorders>
              <w:tl2br w:val="nil"/>
              <w:tr2bl w:val="nil"/>
            </w:tcBorders>
            <w:vAlign w:val="center"/>
          </w:tcPr>
          <w:p>
            <w:pPr>
              <w:widowControl/>
              <w:spacing w:line="240" w:lineRule="atLeast"/>
              <w:jc w:val="center"/>
              <w:rPr>
                <w:kern w:val="0"/>
                <w:szCs w:val="21"/>
              </w:rPr>
            </w:pPr>
            <w:r>
              <w:rPr>
                <w:rFonts w:hint="eastAsia"/>
                <w:kern w:val="0"/>
                <w:szCs w:val="21"/>
              </w:rPr>
              <w:t>NH</w:t>
            </w:r>
            <w:r>
              <w:rPr>
                <w:rFonts w:hint="eastAsia"/>
                <w:kern w:val="0"/>
                <w:szCs w:val="21"/>
                <w:vertAlign w:val="subscript"/>
              </w:rPr>
              <w:t>3</w:t>
            </w:r>
            <w:r>
              <w:rPr>
                <w:kern w:val="0"/>
                <w:szCs w:val="21"/>
              </w:rPr>
              <w:t xml:space="preserve"> </w:t>
            </w:r>
          </w:p>
        </w:tc>
        <w:tc>
          <w:tcPr>
            <w:tcW w:w="1006" w:type="pct"/>
            <w:vMerge w:val="continue"/>
            <w:tcBorders>
              <w:tl2br w:val="nil"/>
              <w:tr2bl w:val="nil"/>
            </w:tcBorders>
            <w:vAlign w:val="center"/>
          </w:tcPr>
          <w:p>
            <w:pPr>
              <w:widowControl/>
              <w:jc w:val="center"/>
              <w:rPr>
                <w:kern w:val="0"/>
                <w:szCs w:val="21"/>
              </w:rPr>
            </w:pPr>
          </w:p>
        </w:tc>
        <w:tc>
          <w:tcPr>
            <w:tcW w:w="1072" w:type="pct"/>
            <w:vMerge w:val="continue"/>
            <w:tcBorders>
              <w:tl2br w:val="nil"/>
              <w:tr2bl w:val="nil"/>
            </w:tcBorders>
            <w:vAlign w:val="center"/>
          </w:tcPr>
          <w:p>
            <w:pPr>
              <w:widowControl/>
              <w:jc w:val="center"/>
              <w:rPr>
                <w:bCs/>
                <w:szCs w:val="21"/>
              </w:rPr>
            </w:pPr>
          </w:p>
        </w:tc>
        <w:tc>
          <w:tcPr>
            <w:tcW w:w="643" w:type="pct"/>
            <w:tcBorders>
              <w:tl2br w:val="nil"/>
              <w:tr2bl w:val="nil"/>
            </w:tcBorders>
            <w:vAlign w:val="center"/>
          </w:tcPr>
          <w:p>
            <w:pPr>
              <w:widowControl/>
              <w:jc w:val="center"/>
              <w:rPr>
                <w:kern w:val="0"/>
                <w:szCs w:val="21"/>
              </w:rPr>
            </w:pPr>
            <w:r>
              <w:rPr>
                <w:rFonts w:hint="eastAsia"/>
                <w:kern w:val="0"/>
                <w:szCs w:val="21"/>
              </w:rPr>
              <w:t>1500</w:t>
            </w:r>
          </w:p>
        </w:tc>
        <w:tc>
          <w:tcPr>
            <w:tcW w:w="576" w:type="pct"/>
            <w:tcBorders>
              <w:tl2br w:val="nil"/>
              <w:tr2bl w:val="nil"/>
            </w:tcBorders>
            <w:vAlign w:val="center"/>
          </w:tcPr>
          <w:p>
            <w:pPr>
              <w:widowControl/>
              <w:jc w:val="center"/>
              <w:textAlignment w:val="center"/>
              <w:rPr>
                <w:szCs w:val="21"/>
              </w:rPr>
            </w:pPr>
            <w:r>
              <w:rPr>
                <w:rFonts w:hint="eastAsia"/>
                <w:szCs w:val="21"/>
              </w:rPr>
              <w:t>0.0046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64" w:type="pct"/>
            <w:vMerge w:val="continue"/>
            <w:tcBorders>
              <w:tl2br w:val="nil"/>
              <w:tr2bl w:val="nil"/>
            </w:tcBorders>
            <w:vAlign w:val="center"/>
          </w:tcPr>
          <w:p>
            <w:pPr>
              <w:widowControl/>
              <w:jc w:val="center"/>
              <w:rPr>
                <w:kern w:val="0"/>
                <w:szCs w:val="21"/>
              </w:rPr>
            </w:pPr>
          </w:p>
        </w:tc>
        <w:tc>
          <w:tcPr>
            <w:tcW w:w="391" w:type="pct"/>
            <w:vMerge w:val="continue"/>
            <w:tcBorders>
              <w:tl2br w:val="nil"/>
              <w:tr2bl w:val="nil"/>
            </w:tcBorders>
            <w:vAlign w:val="center"/>
          </w:tcPr>
          <w:p>
            <w:pPr>
              <w:widowControl/>
              <w:jc w:val="center"/>
              <w:rPr>
                <w:kern w:val="0"/>
                <w:szCs w:val="21"/>
              </w:rPr>
            </w:pPr>
          </w:p>
        </w:tc>
        <w:tc>
          <w:tcPr>
            <w:tcW w:w="579" w:type="pct"/>
            <w:vMerge w:val="continue"/>
            <w:tcBorders>
              <w:tl2br w:val="nil"/>
              <w:tr2bl w:val="nil"/>
            </w:tcBorders>
            <w:vAlign w:val="center"/>
          </w:tcPr>
          <w:p>
            <w:pPr>
              <w:widowControl/>
              <w:jc w:val="center"/>
              <w:rPr>
                <w:kern w:val="0"/>
                <w:szCs w:val="21"/>
              </w:rPr>
            </w:pPr>
          </w:p>
        </w:tc>
        <w:tc>
          <w:tcPr>
            <w:tcW w:w="469" w:type="pct"/>
            <w:tcBorders>
              <w:tl2br w:val="nil"/>
              <w:tr2bl w:val="nil"/>
            </w:tcBorders>
            <w:vAlign w:val="center"/>
          </w:tcPr>
          <w:p>
            <w:pPr>
              <w:widowControl/>
              <w:spacing w:line="240" w:lineRule="atLeast"/>
              <w:jc w:val="center"/>
              <w:rPr>
                <w:kern w:val="0"/>
                <w:szCs w:val="21"/>
              </w:rPr>
            </w:pPr>
            <w:r>
              <w:rPr>
                <w:rFonts w:hint="eastAsia"/>
                <w:kern w:val="0"/>
                <w:szCs w:val="21"/>
              </w:rPr>
              <w:t>H</w:t>
            </w:r>
            <w:r>
              <w:rPr>
                <w:rFonts w:hint="eastAsia"/>
                <w:kern w:val="0"/>
                <w:szCs w:val="21"/>
                <w:vertAlign w:val="subscript"/>
              </w:rPr>
              <w:t>2</w:t>
            </w:r>
            <w:r>
              <w:rPr>
                <w:rFonts w:hint="eastAsia"/>
                <w:kern w:val="0"/>
                <w:szCs w:val="21"/>
              </w:rPr>
              <w:t>S</w:t>
            </w:r>
          </w:p>
        </w:tc>
        <w:tc>
          <w:tcPr>
            <w:tcW w:w="1006" w:type="pct"/>
            <w:vMerge w:val="continue"/>
            <w:tcBorders>
              <w:tl2br w:val="nil"/>
              <w:tr2bl w:val="nil"/>
            </w:tcBorders>
            <w:vAlign w:val="center"/>
          </w:tcPr>
          <w:p>
            <w:pPr>
              <w:widowControl/>
              <w:jc w:val="center"/>
              <w:rPr>
                <w:kern w:val="0"/>
                <w:szCs w:val="21"/>
              </w:rPr>
            </w:pPr>
          </w:p>
        </w:tc>
        <w:tc>
          <w:tcPr>
            <w:tcW w:w="1072" w:type="pct"/>
            <w:vMerge w:val="continue"/>
            <w:tcBorders>
              <w:tl2br w:val="nil"/>
              <w:tr2bl w:val="nil"/>
            </w:tcBorders>
            <w:vAlign w:val="center"/>
          </w:tcPr>
          <w:p>
            <w:pPr>
              <w:widowControl/>
              <w:jc w:val="center"/>
              <w:rPr>
                <w:bCs/>
                <w:szCs w:val="21"/>
              </w:rPr>
            </w:pPr>
          </w:p>
        </w:tc>
        <w:tc>
          <w:tcPr>
            <w:tcW w:w="643" w:type="pct"/>
            <w:tcBorders>
              <w:tl2br w:val="nil"/>
              <w:tr2bl w:val="nil"/>
            </w:tcBorders>
            <w:vAlign w:val="center"/>
          </w:tcPr>
          <w:p>
            <w:pPr>
              <w:widowControl/>
              <w:jc w:val="center"/>
              <w:rPr>
                <w:kern w:val="0"/>
                <w:szCs w:val="21"/>
              </w:rPr>
            </w:pPr>
            <w:r>
              <w:rPr>
                <w:rFonts w:hint="eastAsia"/>
                <w:kern w:val="0"/>
                <w:szCs w:val="21"/>
              </w:rPr>
              <w:t>60</w:t>
            </w:r>
          </w:p>
        </w:tc>
        <w:tc>
          <w:tcPr>
            <w:tcW w:w="576" w:type="pct"/>
            <w:tcBorders>
              <w:tl2br w:val="nil"/>
              <w:tr2bl w:val="nil"/>
            </w:tcBorders>
            <w:vAlign w:val="center"/>
          </w:tcPr>
          <w:p>
            <w:pPr>
              <w:widowControl/>
              <w:jc w:val="center"/>
              <w:textAlignment w:val="center"/>
              <w:rPr>
                <w:szCs w:val="21"/>
              </w:rPr>
            </w:pPr>
            <w:r>
              <w:rPr>
                <w:rFonts w:hint="eastAsia"/>
                <w:szCs w:val="21"/>
              </w:rPr>
              <w:t>0.0000875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trPr>
        <w:tc>
          <w:tcPr>
            <w:tcW w:w="5000" w:type="pct"/>
            <w:gridSpan w:val="8"/>
            <w:tcBorders>
              <w:tl2br w:val="nil"/>
              <w:tr2bl w:val="nil"/>
            </w:tcBorders>
            <w:vAlign w:val="center"/>
          </w:tcPr>
          <w:p>
            <w:pPr>
              <w:widowControl/>
              <w:jc w:val="center"/>
              <w:rPr>
                <w:kern w:val="0"/>
                <w:szCs w:val="21"/>
              </w:rPr>
            </w:pPr>
            <w:r>
              <w:rPr>
                <w:kern w:val="0"/>
                <w:szCs w:val="21"/>
              </w:rPr>
              <w:t>无组织排放总计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1703" w:type="pct"/>
            <w:gridSpan w:val="4"/>
            <w:vMerge w:val="restart"/>
            <w:tcBorders>
              <w:tl2br w:val="nil"/>
              <w:tr2bl w:val="nil"/>
            </w:tcBorders>
            <w:vAlign w:val="center"/>
          </w:tcPr>
          <w:p>
            <w:pPr>
              <w:widowControl/>
              <w:jc w:val="center"/>
              <w:rPr>
                <w:kern w:val="0"/>
                <w:szCs w:val="21"/>
              </w:rPr>
            </w:pPr>
            <w:r>
              <w:rPr>
                <w:kern w:val="0"/>
                <w:szCs w:val="21"/>
              </w:rPr>
              <w:t>无组织排放总计</w:t>
            </w:r>
          </w:p>
        </w:tc>
        <w:tc>
          <w:tcPr>
            <w:tcW w:w="2078" w:type="pct"/>
            <w:gridSpan w:val="2"/>
            <w:tcBorders>
              <w:tl2br w:val="nil"/>
              <w:tr2bl w:val="nil"/>
            </w:tcBorders>
            <w:vAlign w:val="center"/>
          </w:tcPr>
          <w:p>
            <w:pPr>
              <w:widowControl/>
              <w:spacing w:line="240" w:lineRule="atLeast"/>
              <w:jc w:val="center"/>
              <w:rPr>
                <w:kern w:val="0"/>
                <w:szCs w:val="21"/>
              </w:rPr>
            </w:pPr>
            <w:r>
              <w:rPr>
                <w:rFonts w:hint="eastAsia"/>
                <w:kern w:val="0"/>
                <w:szCs w:val="21"/>
              </w:rPr>
              <w:t>NH</w:t>
            </w:r>
            <w:r>
              <w:rPr>
                <w:rFonts w:hint="eastAsia"/>
                <w:kern w:val="0"/>
                <w:szCs w:val="21"/>
                <w:vertAlign w:val="subscript"/>
              </w:rPr>
              <w:t>3</w:t>
            </w:r>
          </w:p>
        </w:tc>
        <w:tc>
          <w:tcPr>
            <w:tcW w:w="1219" w:type="pct"/>
            <w:gridSpan w:val="2"/>
            <w:tcBorders>
              <w:tl2br w:val="nil"/>
              <w:tr2bl w:val="nil"/>
            </w:tcBorders>
          </w:tcPr>
          <w:p>
            <w:pPr>
              <w:jc w:val="center"/>
              <w:rPr>
                <w:kern w:val="0"/>
                <w:szCs w:val="21"/>
              </w:rPr>
            </w:pPr>
            <w:r>
              <w:rPr>
                <w:rFonts w:hint="eastAsia"/>
                <w:kern w:val="0"/>
                <w:szCs w:val="21"/>
              </w:rPr>
              <w:t>0.211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1703" w:type="pct"/>
            <w:gridSpan w:val="4"/>
            <w:vMerge w:val="continue"/>
            <w:tcBorders>
              <w:tl2br w:val="nil"/>
              <w:tr2bl w:val="nil"/>
            </w:tcBorders>
            <w:vAlign w:val="center"/>
          </w:tcPr>
          <w:p>
            <w:pPr>
              <w:widowControl/>
              <w:jc w:val="center"/>
              <w:rPr>
                <w:kern w:val="0"/>
                <w:szCs w:val="21"/>
              </w:rPr>
            </w:pPr>
          </w:p>
        </w:tc>
        <w:tc>
          <w:tcPr>
            <w:tcW w:w="2078" w:type="pct"/>
            <w:gridSpan w:val="2"/>
            <w:tcBorders>
              <w:tl2br w:val="nil"/>
              <w:tr2bl w:val="nil"/>
            </w:tcBorders>
            <w:vAlign w:val="center"/>
          </w:tcPr>
          <w:p>
            <w:pPr>
              <w:widowControl/>
              <w:spacing w:line="240" w:lineRule="atLeast"/>
              <w:jc w:val="center"/>
              <w:rPr>
                <w:kern w:val="0"/>
                <w:szCs w:val="21"/>
              </w:rPr>
            </w:pPr>
            <w:r>
              <w:rPr>
                <w:rFonts w:hint="eastAsia"/>
                <w:kern w:val="0"/>
                <w:szCs w:val="21"/>
              </w:rPr>
              <w:t>H</w:t>
            </w:r>
            <w:r>
              <w:rPr>
                <w:rFonts w:hint="eastAsia"/>
                <w:kern w:val="0"/>
                <w:szCs w:val="21"/>
                <w:vertAlign w:val="subscript"/>
              </w:rPr>
              <w:t>2</w:t>
            </w:r>
            <w:r>
              <w:rPr>
                <w:rFonts w:hint="eastAsia"/>
                <w:kern w:val="0"/>
                <w:szCs w:val="21"/>
              </w:rPr>
              <w:t>S</w:t>
            </w:r>
          </w:p>
        </w:tc>
        <w:tc>
          <w:tcPr>
            <w:tcW w:w="1219" w:type="pct"/>
            <w:gridSpan w:val="2"/>
            <w:tcBorders>
              <w:tl2br w:val="nil"/>
              <w:tr2bl w:val="nil"/>
            </w:tcBorders>
          </w:tcPr>
          <w:p>
            <w:pPr>
              <w:jc w:val="center"/>
              <w:rPr>
                <w:kern w:val="0"/>
                <w:szCs w:val="21"/>
              </w:rPr>
            </w:pPr>
            <w:r>
              <w:rPr>
                <w:rFonts w:hint="eastAsia"/>
                <w:kern w:val="0"/>
                <w:szCs w:val="21"/>
              </w:rPr>
              <w:t>0.021</w:t>
            </w:r>
          </w:p>
        </w:tc>
      </w:tr>
      <w:bookmarkEnd w:id="93"/>
    </w:tbl>
    <w:p>
      <w:pPr>
        <w:pStyle w:val="57"/>
        <w:keepNext/>
        <w:keepLines/>
        <w:spacing w:before="0" w:after="0" w:line="480" w:lineRule="exact"/>
        <w:ind w:firstLine="0" w:firstLineChars="0"/>
        <w:outlineLvl w:val="3"/>
        <w:rPr>
          <w:b/>
        </w:rPr>
      </w:pPr>
      <w:r>
        <w:rPr>
          <w:rFonts w:hint="eastAsia"/>
          <w:b/>
        </w:rPr>
        <w:t>5.2.1.</w:t>
      </w:r>
      <w:r>
        <w:rPr>
          <w:b/>
        </w:rPr>
        <w:t>3</w:t>
      </w:r>
      <w:r>
        <w:rPr>
          <w:rFonts w:hint="eastAsia" w:ascii="宋体" w:hAnsi="宋体"/>
          <w:b/>
        </w:rPr>
        <w:t>环境监测计划</w:t>
      </w:r>
    </w:p>
    <w:p>
      <w:pPr>
        <w:spacing w:line="480" w:lineRule="exact"/>
        <w:ind w:firstLine="482"/>
        <w:rPr>
          <w:bCs/>
          <w:sz w:val="24"/>
        </w:rPr>
      </w:pPr>
      <w:r>
        <w:rPr>
          <w:sz w:val="24"/>
        </w:rPr>
        <w:t>根据《环境影响评价技术导则-大气环境》（HJ2.2-2018），</w:t>
      </w:r>
      <w:r>
        <w:rPr>
          <w:rFonts w:hint="eastAsia"/>
          <w:sz w:val="24"/>
        </w:rPr>
        <w:t>二级评价项目只需进行污染源监测。</w:t>
      </w:r>
    </w:p>
    <w:p>
      <w:pPr>
        <w:spacing w:line="480" w:lineRule="exact"/>
        <w:rPr>
          <w:b/>
          <w:bCs/>
          <w:sz w:val="24"/>
        </w:rPr>
      </w:pPr>
      <w:r>
        <w:rPr>
          <w:rFonts w:hint="eastAsia"/>
          <w:b/>
          <w:bCs/>
          <w:sz w:val="24"/>
        </w:rPr>
        <w:t>1、污染源监测计划</w:t>
      </w:r>
    </w:p>
    <w:p>
      <w:pPr>
        <w:spacing w:line="480" w:lineRule="exact"/>
        <w:ind w:firstLine="482"/>
        <w:rPr>
          <w:sz w:val="24"/>
        </w:rPr>
      </w:pPr>
      <w:r>
        <w:rPr>
          <w:rFonts w:hint="eastAsia"/>
          <w:bCs/>
          <w:sz w:val="24"/>
        </w:rPr>
        <w:t>根据本项目污染源情况，确定本项目污染源监测计划见表5.2-</w:t>
      </w:r>
      <w:r>
        <w:rPr>
          <w:bCs/>
          <w:sz w:val="24"/>
        </w:rPr>
        <w:t>8</w:t>
      </w:r>
      <w:r>
        <w:rPr>
          <w:rFonts w:hint="eastAsia"/>
          <w:bCs/>
          <w:sz w:val="24"/>
        </w:rPr>
        <w:t>、表5.2-</w:t>
      </w:r>
      <w:r>
        <w:rPr>
          <w:bCs/>
          <w:sz w:val="24"/>
        </w:rPr>
        <w:t>9</w:t>
      </w:r>
      <w:r>
        <w:rPr>
          <w:rFonts w:hint="eastAsia"/>
          <w:bCs/>
          <w:sz w:val="24"/>
        </w:rPr>
        <w:t>。</w:t>
      </w:r>
    </w:p>
    <w:p>
      <w:pPr>
        <w:spacing w:line="480" w:lineRule="exact"/>
        <w:jc w:val="center"/>
        <w:rPr>
          <w:rFonts w:ascii="黑体" w:hAnsi="黑体" w:eastAsia="黑体"/>
          <w:kern w:val="0"/>
          <w:sz w:val="24"/>
        </w:rPr>
      </w:pPr>
      <w:r>
        <w:rPr>
          <w:rFonts w:hint="eastAsia" w:ascii="黑体" w:hAnsi="黑体" w:eastAsia="黑体"/>
          <w:kern w:val="0"/>
          <w:sz w:val="24"/>
        </w:rPr>
        <w:t>表</w:t>
      </w:r>
      <w:r>
        <w:rPr>
          <w:rFonts w:hint="eastAsia" w:ascii="黑体" w:hAnsi="黑体" w:eastAsia="黑体"/>
          <w:bCs/>
          <w:sz w:val="24"/>
        </w:rPr>
        <w:t>5.2-8</w:t>
      </w:r>
      <w:r>
        <w:rPr>
          <w:rFonts w:hint="eastAsia" w:ascii="黑体" w:hAnsi="黑体" w:eastAsia="黑体"/>
          <w:kern w:val="0"/>
          <w:sz w:val="24"/>
        </w:rPr>
        <w:t xml:space="preserve"> 有组织废气监测方案</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08"/>
        <w:gridCol w:w="1560"/>
        <w:gridCol w:w="1417"/>
        <w:gridCol w:w="4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8" w:type="pct"/>
            <w:noWrap/>
            <w:vAlign w:val="center"/>
          </w:tcPr>
          <w:p>
            <w:pPr>
              <w:widowControl/>
              <w:jc w:val="center"/>
              <w:rPr>
                <w:b/>
                <w:kern w:val="0"/>
                <w:szCs w:val="21"/>
              </w:rPr>
            </w:pPr>
            <w:bookmarkStart w:id="94" w:name="_Hlk9001573"/>
            <w:r>
              <w:rPr>
                <w:b/>
                <w:kern w:val="0"/>
                <w:szCs w:val="21"/>
              </w:rPr>
              <w:t>监测点位</w:t>
            </w:r>
          </w:p>
        </w:tc>
        <w:tc>
          <w:tcPr>
            <w:tcW w:w="861" w:type="pct"/>
            <w:noWrap/>
            <w:vAlign w:val="center"/>
          </w:tcPr>
          <w:p>
            <w:pPr>
              <w:widowControl/>
              <w:jc w:val="center"/>
              <w:rPr>
                <w:b/>
                <w:kern w:val="0"/>
                <w:szCs w:val="21"/>
              </w:rPr>
            </w:pPr>
            <w:r>
              <w:rPr>
                <w:b/>
                <w:kern w:val="0"/>
                <w:szCs w:val="21"/>
              </w:rPr>
              <w:t>监测指标</w:t>
            </w:r>
          </w:p>
        </w:tc>
        <w:tc>
          <w:tcPr>
            <w:tcW w:w="782" w:type="pct"/>
            <w:noWrap/>
            <w:vAlign w:val="center"/>
          </w:tcPr>
          <w:p>
            <w:pPr>
              <w:widowControl/>
              <w:jc w:val="center"/>
              <w:rPr>
                <w:b/>
                <w:kern w:val="0"/>
                <w:szCs w:val="21"/>
              </w:rPr>
            </w:pPr>
            <w:r>
              <w:rPr>
                <w:b/>
                <w:kern w:val="0"/>
                <w:szCs w:val="21"/>
              </w:rPr>
              <w:t>监测频次</w:t>
            </w:r>
          </w:p>
        </w:tc>
        <w:tc>
          <w:tcPr>
            <w:tcW w:w="2359" w:type="pct"/>
            <w:noWrap/>
            <w:vAlign w:val="center"/>
          </w:tcPr>
          <w:p>
            <w:pPr>
              <w:widowControl/>
              <w:jc w:val="center"/>
              <w:rPr>
                <w:b/>
                <w:kern w:val="0"/>
                <w:szCs w:val="21"/>
              </w:rPr>
            </w:pPr>
            <w:r>
              <w:rPr>
                <w:b/>
                <w:kern w:val="0"/>
                <w:szCs w:val="21"/>
              </w:rPr>
              <w:t>执行排放标准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8" w:type="pct"/>
            <w:vMerge w:val="restart"/>
            <w:tcBorders>
              <w:top w:val="single" w:color="auto" w:sz="4" w:space="0"/>
            </w:tcBorders>
            <w:noWrap/>
            <w:vAlign w:val="center"/>
          </w:tcPr>
          <w:p>
            <w:pPr>
              <w:widowControl/>
              <w:jc w:val="center"/>
              <w:rPr>
                <w:bCs/>
                <w:kern w:val="0"/>
                <w:szCs w:val="21"/>
              </w:rPr>
            </w:pPr>
            <w:r>
              <w:rPr>
                <w:rFonts w:hint="eastAsia"/>
                <w:bCs/>
                <w:kern w:val="0"/>
                <w:szCs w:val="21"/>
              </w:rPr>
              <w:t>燃气锅炉</w:t>
            </w:r>
            <w:r>
              <w:rPr>
                <w:bCs/>
                <w:kern w:val="0"/>
                <w:szCs w:val="21"/>
              </w:rPr>
              <w:t>排气筒出口</w:t>
            </w:r>
          </w:p>
        </w:tc>
        <w:tc>
          <w:tcPr>
            <w:tcW w:w="861" w:type="pct"/>
            <w:tcBorders>
              <w:top w:val="single" w:color="auto" w:sz="4" w:space="0"/>
              <w:bottom w:val="single" w:color="auto" w:sz="4" w:space="0"/>
            </w:tcBorders>
            <w:noWrap/>
            <w:vAlign w:val="center"/>
          </w:tcPr>
          <w:p>
            <w:pPr>
              <w:widowControl/>
              <w:jc w:val="center"/>
              <w:rPr>
                <w:bCs/>
                <w:kern w:val="0"/>
                <w:szCs w:val="21"/>
              </w:rPr>
            </w:pPr>
            <w:r>
              <w:rPr>
                <w:bCs/>
                <w:kern w:val="0"/>
                <w:szCs w:val="21"/>
              </w:rPr>
              <w:t>烟尘</w:t>
            </w:r>
          </w:p>
        </w:tc>
        <w:tc>
          <w:tcPr>
            <w:tcW w:w="782" w:type="pct"/>
            <w:noWrap/>
            <w:vAlign w:val="center"/>
          </w:tcPr>
          <w:p>
            <w:pPr>
              <w:widowControl/>
              <w:jc w:val="center"/>
              <w:rPr>
                <w:bCs/>
                <w:kern w:val="0"/>
                <w:szCs w:val="21"/>
              </w:rPr>
            </w:pPr>
            <w:r>
              <w:rPr>
                <w:bCs/>
                <w:kern w:val="0"/>
                <w:szCs w:val="21"/>
              </w:rPr>
              <w:t>每年1次</w:t>
            </w:r>
          </w:p>
        </w:tc>
        <w:tc>
          <w:tcPr>
            <w:tcW w:w="2359" w:type="pct"/>
            <w:vMerge w:val="restart"/>
            <w:noWrap/>
            <w:vAlign w:val="center"/>
          </w:tcPr>
          <w:p>
            <w:pPr>
              <w:widowControl/>
              <w:jc w:val="center"/>
              <w:rPr>
                <w:bCs/>
                <w:kern w:val="0"/>
                <w:szCs w:val="21"/>
              </w:rPr>
            </w:pPr>
            <w:r>
              <w:rPr>
                <w:bCs/>
                <w:kern w:val="0"/>
                <w:szCs w:val="21"/>
              </w:rPr>
              <w:t>《锅炉大气污染物排放标准》(GB</w:t>
            </w:r>
            <w:r>
              <w:t xml:space="preserve"> </w:t>
            </w:r>
            <w:r>
              <w:rPr>
                <w:bCs/>
                <w:kern w:val="0"/>
                <w:szCs w:val="21"/>
              </w:rPr>
              <w:t>GB13271-2014)</w:t>
            </w:r>
            <w:r>
              <w:t>表3中燃气锅炉大气污染物特别排放限值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8" w:type="pct"/>
            <w:vMerge w:val="continue"/>
            <w:noWrap/>
            <w:vAlign w:val="center"/>
          </w:tcPr>
          <w:p>
            <w:pPr>
              <w:widowControl/>
              <w:jc w:val="center"/>
              <w:rPr>
                <w:bCs/>
                <w:kern w:val="0"/>
                <w:szCs w:val="21"/>
              </w:rPr>
            </w:pPr>
          </w:p>
        </w:tc>
        <w:tc>
          <w:tcPr>
            <w:tcW w:w="861" w:type="pct"/>
            <w:tcBorders>
              <w:top w:val="single" w:color="auto" w:sz="4" w:space="0"/>
              <w:bottom w:val="single" w:color="auto" w:sz="4" w:space="0"/>
            </w:tcBorders>
            <w:noWrap/>
            <w:vAlign w:val="center"/>
          </w:tcPr>
          <w:p>
            <w:pPr>
              <w:widowControl/>
              <w:jc w:val="center"/>
              <w:rPr>
                <w:bCs/>
                <w:kern w:val="0"/>
                <w:szCs w:val="21"/>
              </w:rPr>
            </w:pPr>
            <w:r>
              <w:rPr>
                <w:bCs/>
                <w:kern w:val="0"/>
                <w:szCs w:val="21"/>
              </w:rPr>
              <w:t>氮氧化物</w:t>
            </w:r>
          </w:p>
        </w:tc>
        <w:tc>
          <w:tcPr>
            <w:tcW w:w="782" w:type="pct"/>
            <w:noWrap/>
            <w:vAlign w:val="center"/>
          </w:tcPr>
          <w:p>
            <w:pPr>
              <w:widowControl/>
              <w:jc w:val="center"/>
              <w:rPr>
                <w:bCs/>
                <w:kern w:val="0"/>
                <w:szCs w:val="21"/>
              </w:rPr>
            </w:pPr>
            <w:r>
              <w:rPr>
                <w:bCs/>
                <w:kern w:val="0"/>
                <w:szCs w:val="21"/>
              </w:rPr>
              <w:t>每月1次</w:t>
            </w:r>
          </w:p>
        </w:tc>
        <w:tc>
          <w:tcPr>
            <w:tcW w:w="2359" w:type="pct"/>
            <w:vMerge w:val="continue"/>
            <w:noWrap/>
            <w:vAlign w:val="center"/>
          </w:tcPr>
          <w:p>
            <w:pPr>
              <w:widowControl/>
              <w:jc w:val="center"/>
              <w:rPr>
                <w:bCs/>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8" w:type="pct"/>
            <w:noWrap/>
            <w:vAlign w:val="center"/>
          </w:tcPr>
          <w:p>
            <w:pPr>
              <w:widowControl/>
              <w:jc w:val="center"/>
              <w:rPr>
                <w:bCs/>
                <w:kern w:val="0"/>
                <w:szCs w:val="21"/>
              </w:rPr>
            </w:pPr>
            <w:r>
              <w:rPr>
                <w:rFonts w:hint="eastAsia"/>
                <w:bCs/>
                <w:kern w:val="0"/>
                <w:szCs w:val="21"/>
              </w:rPr>
              <w:t>发酵罐废气排气筒出口</w:t>
            </w:r>
          </w:p>
        </w:tc>
        <w:tc>
          <w:tcPr>
            <w:tcW w:w="861" w:type="pct"/>
            <w:tcBorders>
              <w:top w:val="single" w:color="auto" w:sz="4" w:space="0"/>
            </w:tcBorders>
            <w:noWrap/>
            <w:vAlign w:val="center"/>
          </w:tcPr>
          <w:p>
            <w:pPr>
              <w:widowControl/>
              <w:jc w:val="center"/>
              <w:rPr>
                <w:bCs/>
                <w:kern w:val="0"/>
                <w:szCs w:val="21"/>
              </w:rPr>
            </w:pPr>
            <w:r>
              <w:rPr>
                <w:rFonts w:hint="eastAsia"/>
                <w:bCs/>
                <w:kern w:val="0"/>
                <w:szCs w:val="21"/>
              </w:rPr>
              <w:t>NH</w:t>
            </w:r>
            <w:r>
              <w:rPr>
                <w:rFonts w:hint="eastAsia"/>
                <w:bCs/>
                <w:kern w:val="0"/>
                <w:szCs w:val="21"/>
                <w:vertAlign w:val="subscript"/>
              </w:rPr>
              <w:t>3</w:t>
            </w:r>
            <w:r>
              <w:rPr>
                <w:rFonts w:hint="eastAsia"/>
                <w:bCs/>
                <w:kern w:val="0"/>
                <w:szCs w:val="21"/>
              </w:rPr>
              <w:t>、</w:t>
            </w:r>
            <w:r>
              <w:rPr>
                <w:rFonts w:hint="eastAsia"/>
                <w:kern w:val="0"/>
                <w:szCs w:val="21"/>
              </w:rPr>
              <w:t>H</w:t>
            </w:r>
            <w:r>
              <w:rPr>
                <w:rFonts w:hint="eastAsia"/>
                <w:kern w:val="0"/>
                <w:szCs w:val="21"/>
                <w:vertAlign w:val="subscript"/>
              </w:rPr>
              <w:t>2</w:t>
            </w:r>
            <w:r>
              <w:rPr>
                <w:rFonts w:hint="eastAsia"/>
                <w:kern w:val="0"/>
                <w:szCs w:val="21"/>
              </w:rPr>
              <w:t>S、臭气浓度</w:t>
            </w:r>
          </w:p>
        </w:tc>
        <w:tc>
          <w:tcPr>
            <w:tcW w:w="782" w:type="pct"/>
            <w:noWrap/>
            <w:vAlign w:val="center"/>
          </w:tcPr>
          <w:p>
            <w:pPr>
              <w:widowControl/>
              <w:jc w:val="center"/>
              <w:rPr>
                <w:bCs/>
                <w:kern w:val="0"/>
                <w:szCs w:val="21"/>
              </w:rPr>
            </w:pPr>
            <w:r>
              <w:rPr>
                <w:bCs/>
                <w:kern w:val="0"/>
                <w:szCs w:val="21"/>
              </w:rPr>
              <w:t>每年1次</w:t>
            </w:r>
          </w:p>
        </w:tc>
        <w:tc>
          <w:tcPr>
            <w:tcW w:w="2359" w:type="pct"/>
            <w:noWrap/>
            <w:vAlign w:val="center"/>
          </w:tcPr>
          <w:p>
            <w:pPr>
              <w:widowControl/>
              <w:jc w:val="center"/>
              <w:rPr>
                <w:szCs w:val="21"/>
              </w:rPr>
            </w:pPr>
            <w:r>
              <w:rPr>
                <w:rFonts w:hint="eastAsia"/>
                <w:szCs w:val="21"/>
              </w:rPr>
              <w:t>H</w:t>
            </w:r>
            <w:r>
              <w:rPr>
                <w:rFonts w:hint="eastAsia"/>
                <w:szCs w:val="21"/>
                <w:vertAlign w:val="subscript"/>
              </w:rPr>
              <w:t>3</w:t>
            </w:r>
            <w:r>
              <w:rPr>
                <w:rFonts w:hint="eastAsia"/>
                <w:szCs w:val="21"/>
              </w:rPr>
              <w:t>、</w:t>
            </w:r>
            <w:r>
              <w:rPr>
                <w:szCs w:val="21"/>
              </w:rPr>
              <w:t>H</w:t>
            </w:r>
            <w:r>
              <w:rPr>
                <w:szCs w:val="21"/>
                <w:vertAlign w:val="subscript"/>
              </w:rPr>
              <w:t>2</w:t>
            </w:r>
            <w:r>
              <w:rPr>
                <w:szCs w:val="21"/>
              </w:rPr>
              <w:t>S排放执行《恶臭污染物排放标准》（GB14554-1993）中二级标准及恶臭污染物厂界排放标准限值</w:t>
            </w:r>
          </w:p>
          <w:p>
            <w:pPr>
              <w:widowControl/>
              <w:jc w:val="center"/>
              <w:rPr>
                <w:bCs/>
                <w:kern w:val="0"/>
                <w:szCs w:val="21"/>
              </w:rPr>
            </w:pPr>
            <w:r>
              <w:rPr>
                <w:rFonts w:hint="eastAsia"/>
                <w:kern w:val="0"/>
                <w:szCs w:val="21"/>
              </w:rPr>
              <w:t>臭气浓度排放执行</w:t>
            </w:r>
            <w:r>
              <w:rPr>
                <w:rFonts w:hint="eastAsia"/>
                <w:bCs/>
                <w:kern w:val="0"/>
                <w:szCs w:val="21"/>
              </w:rPr>
              <w:t>《畜禽养殖业污染物排放标准》（GB18596-2001）表7中标准限值</w:t>
            </w:r>
          </w:p>
        </w:tc>
      </w:tr>
      <w:bookmarkEnd w:id="94"/>
    </w:tbl>
    <w:p>
      <w:pPr>
        <w:spacing w:line="480" w:lineRule="exact"/>
        <w:jc w:val="center"/>
        <w:rPr>
          <w:rFonts w:ascii="黑体" w:hAnsi="黑体" w:eastAsia="黑体"/>
          <w:kern w:val="0"/>
          <w:sz w:val="24"/>
        </w:rPr>
      </w:pPr>
      <w:r>
        <w:rPr>
          <w:rFonts w:hint="eastAsia" w:ascii="黑体" w:hAnsi="黑体" w:eastAsia="黑体"/>
          <w:kern w:val="0"/>
          <w:sz w:val="24"/>
        </w:rPr>
        <w:t>表</w:t>
      </w:r>
      <w:r>
        <w:rPr>
          <w:rFonts w:hint="eastAsia"/>
          <w:bCs/>
          <w:sz w:val="24"/>
        </w:rPr>
        <w:t xml:space="preserve">5.2-9 </w:t>
      </w:r>
      <w:r>
        <w:rPr>
          <w:rFonts w:hint="eastAsia" w:ascii="黑体" w:hAnsi="黑体" w:eastAsia="黑体"/>
          <w:kern w:val="0"/>
          <w:sz w:val="24"/>
        </w:rPr>
        <w:t xml:space="preserve"> 无组织废气监测方案</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2010"/>
        <w:gridCol w:w="1292"/>
        <w:gridCol w:w="42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3" w:type="pct"/>
            <w:noWrap/>
            <w:vAlign w:val="center"/>
          </w:tcPr>
          <w:p>
            <w:pPr>
              <w:widowControl/>
              <w:jc w:val="center"/>
              <w:rPr>
                <w:b/>
                <w:kern w:val="0"/>
                <w:szCs w:val="21"/>
              </w:rPr>
            </w:pPr>
            <w:bookmarkStart w:id="95" w:name="_Hlk9001585"/>
            <w:r>
              <w:rPr>
                <w:b/>
                <w:kern w:val="0"/>
                <w:szCs w:val="21"/>
              </w:rPr>
              <w:t>监测点位</w:t>
            </w:r>
          </w:p>
        </w:tc>
        <w:tc>
          <w:tcPr>
            <w:tcW w:w="1109" w:type="pct"/>
            <w:noWrap/>
            <w:vAlign w:val="center"/>
          </w:tcPr>
          <w:p>
            <w:pPr>
              <w:widowControl/>
              <w:jc w:val="center"/>
              <w:rPr>
                <w:b/>
                <w:kern w:val="0"/>
                <w:szCs w:val="21"/>
              </w:rPr>
            </w:pPr>
            <w:r>
              <w:rPr>
                <w:b/>
                <w:kern w:val="0"/>
                <w:szCs w:val="21"/>
              </w:rPr>
              <w:t>监测指标</w:t>
            </w:r>
          </w:p>
        </w:tc>
        <w:tc>
          <w:tcPr>
            <w:tcW w:w="713" w:type="pct"/>
            <w:noWrap/>
            <w:vAlign w:val="center"/>
          </w:tcPr>
          <w:p>
            <w:pPr>
              <w:widowControl/>
              <w:jc w:val="center"/>
              <w:rPr>
                <w:b/>
                <w:kern w:val="0"/>
                <w:szCs w:val="21"/>
              </w:rPr>
            </w:pPr>
            <w:r>
              <w:rPr>
                <w:b/>
                <w:kern w:val="0"/>
                <w:szCs w:val="21"/>
              </w:rPr>
              <w:t>监测频次</w:t>
            </w:r>
          </w:p>
        </w:tc>
        <w:tc>
          <w:tcPr>
            <w:tcW w:w="2325" w:type="pct"/>
            <w:noWrap/>
            <w:vAlign w:val="center"/>
          </w:tcPr>
          <w:p>
            <w:pPr>
              <w:widowControl/>
              <w:jc w:val="center"/>
              <w:rPr>
                <w:b/>
                <w:kern w:val="0"/>
                <w:szCs w:val="21"/>
              </w:rPr>
            </w:pPr>
            <w:r>
              <w:rPr>
                <w:b/>
                <w:kern w:val="0"/>
                <w:szCs w:val="21"/>
              </w:rPr>
              <w:t>执行排放标准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6" w:hRule="atLeast"/>
        </w:trPr>
        <w:tc>
          <w:tcPr>
            <w:tcW w:w="853" w:type="pct"/>
            <w:noWrap/>
            <w:vAlign w:val="center"/>
          </w:tcPr>
          <w:p>
            <w:pPr>
              <w:widowControl/>
              <w:jc w:val="center"/>
              <w:rPr>
                <w:kern w:val="0"/>
                <w:szCs w:val="21"/>
              </w:rPr>
            </w:pPr>
            <w:r>
              <w:rPr>
                <w:bCs/>
                <w:spacing w:val="4"/>
                <w:szCs w:val="21"/>
              </w:rPr>
              <w:t>下风向设四个监控点</w:t>
            </w:r>
          </w:p>
        </w:tc>
        <w:tc>
          <w:tcPr>
            <w:tcW w:w="1109" w:type="pct"/>
            <w:noWrap/>
            <w:vAlign w:val="center"/>
          </w:tcPr>
          <w:p>
            <w:pPr>
              <w:widowControl/>
              <w:jc w:val="center"/>
              <w:rPr>
                <w:kern w:val="0"/>
                <w:szCs w:val="21"/>
              </w:rPr>
            </w:pPr>
            <w:r>
              <w:rPr>
                <w:rFonts w:hint="eastAsia"/>
                <w:kern w:val="0"/>
                <w:szCs w:val="21"/>
              </w:rPr>
              <w:t>NH</w:t>
            </w:r>
            <w:r>
              <w:rPr>
                <w:rFonts w:hint="eastAsia"/>
                <w:kern w:val="0"/>
                <w:szCs w:val="21"/>
                <w:vertAlign w:val="subscript"/>
              </w:rPr>
              <w:t>3</w:t>
            </w:r>
            <w:r>
              <w:rPr>
                <w:kern w:val="0"/>
                <w:szCs w:val="21"/>
              </w:rPr>
              <w:t>、H</w:t>
            </w:r>
            <w:r>
              <w:rPr>
                <w:kern w:val="0"/>
                <w:szCs w:val="21"/>
                <w:vertAlign w:val="subscript"/>
              </w:rPr>
              <w:t>2</w:t>
            </w:r>
            <w:r>
              <w:rPr>
                <w:kern w:val="0"/>
                <w:szCs w:val="21"/>
              </w:rPr>
              <w:t>S</w:t>
            </w:r>
            <w:r>
              <w:rPr>
                <w:rFonts w:hint="eastAsia"/>
                <w:kern w:val="0"/>
                <w:szCs w:val="21"/>
              </w:rPr>
              <w:t>、臭气浓度</w:t>
            </w:r>
          </w:p>
        </w:tc>
        <w:tc>
          <w:tcPr>
            <w:tcW w:w="713" w:type="pct"/>
            <w:noWrap/>
            <w:vAlign w:val="center"/>
          </w:tcPr>
          <w:p>
            <w:pPr>
              <w:widowControl/>
              <w:jc w:val="center"/>
              <w:rPr>
                <w:kern w:val="0"/>
                <w:szCs w:val="21"/>
              </w:rPr>
            </w:pPr>
            <w:r>
              <w:rPr>
                <w:bCs/>
                <w:szCs w:val="21"/>
              </w:rPr>
              <w:t>每年1次</w:t>
            </w:r>
          </w:p>
        </w:tc>
        <w:tc>
          <w:tcPr>
            <w:tcW w:w="2325" w:type="pct"/>
            <w:noWrap/>
            <w:vAlign w:val="center"/>
          </w:tcPr>
          <w:p>
            <w:pPr>
              <w:widowControl/>
              <w:jc w:val="center"/>
              <w:rPr>
                <w:szCs w:val="21"/>
              </w:rPr>
            </w:pPr>
            <w:r>
              <w:rPr>
                <w:rFonts w:hint="eastAsia"/>
                <w:szCs w:val="21"/>
              </w:rPr>
              <w:t>NH</w:t>
            </w:r>
            <w:r>
              <w:rPr>
                <w:rFonts w:hint="eastAsia"/>
                <w:szCs w:val="21"/>
                <w:vertAlign w:val="subscript"/>
              </w:rPr>
              <w:t>3</w:t>
            </w:r>
            <w:r>
              <w:rPr>
                <w:rFonts w:hint="eastAsia"/>
                <w:szCs w:val="21"/>
              </w:rPr>
              <w:t>、</w:t>
            </w:r>
            <w:r>
              <w:rPr>
                <w:szCs w:val="21"/>
              </w:rPr>
              <w:t>H</w:t>
            </w:r>
            <w:r>
              <w:rPr>
                <w:szCs w:val="21"/>
                <w:vertAlign w:val="subscript"/>
              </w:rPr>
              <w:t>2</w:t>
            </w:r>
            <w:r>
              <w:rPr>
                <w:szCs w:val="21"/>
              </w:rPr>
              <w:t>S排放执行《恶臭污染物排放标准》（GB14554-1993）中二级标准及恶臭污染物厂界排放标准限值</w:t>
            </w:r>
          </w:p>
          <w:p>
            <w:pPr>
              <w:widowControl/>
              <w:jc w:val="center"/>
              <w:rPr>
                <w:kern w:val="0"/>
                <w:szCs w:val="21"/>
              </w:rPr>
            </w:pPr>
            <w:r>
              <w:rPr>
                <w:rFonts w:hint="eastAsia"/>
                <w:kern w:val="0"/>
                <w:szCs w:val="21"/>
              </w:rPr>
              <w:t>臭气浓度排放执行</w:t>
            </w:r>
            <w:r>
              <w:rPr>
                <w:rFonts w:hint="eastAsia"/>
                <w:bCs/>
                <w:kern w:val="0"/>
                <w:szCs w:val="21"/>
              </w:rPr>
              <w:t>《畜禽养殖业污染物排放标准》（GB18596-2001）表7中标准限值</w:t>
            </w:r>
          </w:p>
        </w:tc>
      </w:tr>
      <w:bookmarkEnd w:id="95"/>
    </w:tbl>
    <w:p>
      <w:pPr>
        <w:spacing w:line="480" w:lineRule="exact"/>
        <w:rPr>
          <w:b/>
          <w:bCs/>
          <w:sz w:val="24"/>
        </w:rPr>
      </w:pPr>
      <w:bookmarkStart w:id="96" w:name="_Hlk9001592"/>
      <w:r>
        <w:rPr>
          <w:rFonts w:hint="eastAsia"/>
          <w:b/>
          <w:bCs/>
          <w:sz w:val="24"/>
        </w:rPr>
        <w:t>2、信息报告和信息公开</w:t>
      </w:r>
    </w:p>
    <w:bookmarkEnd w:id="96"/>
    <w:p>
      <w:pPr>
        <w:spacing w:line="480" w:lineRule="exact"/>
        <w:ind w:firstLine="482"/>
        <w:rPr>
          <w:bCs/>
          <w:sz w:val="24"/>
        </w:rPr>
      </w:pPr>
      <w:r>
        <w:rPr>
          <w:rFonts w:hint="eastAsia"/>
          <w:bCs/>
          <w:sz w:val="24"/>
        </w:rPr>
        <w:t>（1）信息报告</w:t>
      </w:r>
    </w:p>
    <w:p>
      <w:pPr>
        <w:spacing w:line="480" w:lineRule="exact"/>
        <w:ind w:firstLine="482"/>
        <w:rPr>
          <w:bCs/>
          <w:sz w:val="24"/>
        </w:rPr>
      </w:pPr>
      <w:r>
        <w:rPr>
          <w:rFonts w:hint="eastAsia"/>
          <w:bCs/>
          <w:sz w:val="24"/>
        </w:rPr>
        <w:t>建设单位应编写自行监测年度报告，年度报告至少应包含以下内容：</w:t>
      </w:r>
    </w:p>
    <w:p>
      <w:pPr>
        <w:spacing w:line="480" w:lineRule="exact"/>
        <w:ind w:firstLine="482"/>
        <w:rPr>
          <w:bCs/>
          <w:sz w:val="24"/>
        </w:rPr>
      </w:pPr>
      <w:r>
        <w:rPr>
          <w:rFonts w:hint="eastAsia"/>
          <w:bCs/>
          <w:sz w:val="24"/>
        </w:rPr>
        <w:t>①监测方案的调整变化情况及变更原因</w:t>
      </w:r>
    </w:p>
    <w:p>
      <w:pPr>
        <w:spacing w:line="480" w:lineRule="exact"/>
        <w:ind w:firstLine="482"/>
        <w:rPr>
          <w:bCs/>
          <w:sz w:val="24"/>
        </w:rPr>
      </w:pPr>
      <w:r>
        <w:rPr>
          <w:rFonts w:hint="eastAsia"/>
          <w:bCs/>
          <w:sz w:val="24"/>
        </w:rPr>
        <w:t>②企业及各主要生产设施全年运行天数，各监测点、各监测指标全年监测次数、超标情况、浓度分布情况</w:t>
      </w:r>
    </w:p>
    <w:p>
      <w:pPr>
        <w:spacing w:line="480" w:lineRule="exact"/>
        <w:ind w:firstLine="482"/>
        <w:rPr>
          <w:bCs/>
          <w:sz w:val="24"/>
        </w:rPr>
      </w:pPr>
      <w:r>
        <w:rPr>
          <w:rFonts w:hint="eastAsia"/>
          <w:bCs/>
          <w:sz w:val="24"/>
        </w:rPr>
        <w:t>③自行监测开展的其他情况说明</w:t>
      </w:r>
    </w:p>
    <w:p>
      <w:pPr>
        <w:spacing w:line="480" w:lineRule="exact"/>
        <w:ind w:firstLine="482"/>
        <w:rPr>
          <w:bCs/>
          <w:sz w:val="24"/>
        </w:rPr>
      </w:pPr>
      <w:r>
        <w:rPr>
          <w:rFonts w:hint="eastAsia"/>
          <w:bCs/>
          <w:sz w:val="24"/>
        </w:rPr>
        <w:t>④建设单位实现达标排放所采取的主要措施</w:t>
      </w:r>
    </w:p>
    <w:p>
      <w:pPr>
        <w:spacing w:line="480" w:lineRule="exact"/>
        <w:ind w:firstLine="482"/>
        <w:rPr>
          <w:bCs/>
          <w:sz w:val="24"/>
        </w:rPr>
      </w:pPr>
      <w:r>
        <w:rPr>
          <w:rFonts w:hint="eastAsia"/>
          <w:bCs/>
          <w:sz w:val="24"/>
        </w:rPr>
        <w:t>（2）信息公开</w:t>
      </w:r>
    </w:p>
    <w:p>
      <w:pPr>
        <w:spacing w:line="480" w:lineRule="exact"/>
        <w:ind w:firstLine="482"/>
        <w:rPr>
          <w:bCs/>
          <w:sz w:val="24"/>
        </w:rPr>
      </w:pPr>
      <w:r>
        <w:rPr>
          <w:rFonts w:hint="eastAsia"/>
          <w:bCs/>
          <w:sz w:val="24"/>
        </w:rPr>
        <w:t>建设单位自行监测信息公开内容及方式按照《企业事业单位合计信息公开办法》（环境保护部令  第31号），并结合当地生态环境保护主管部门的要求执行。</w:t>
      </w:r>
    </w:p>
    <w:p>
      <w:pPr>
        <w:pStyle w:val="57"/>
        <w:keepNext/>
        <w:keepLines/>
        <w:spacing w:before="0" w:after="0" w:line="480" w:lineRule="exact"/>
        <w:ind w:firstLine="0" w:firstLineChars="0"/>
        <w:outlineLvl w:val="3"/>
        <w:rPr>
          <w:b/>
        </w:rPr>
      </w:pPr>
      <w:r>
        <w:rPr>
          <w:rFonts w:hint="eastAsia"/>
          <w:b/>
        </w:rPr>
        <w:t>5.2.1.4</w:t>
      </w:r>
      <w:r>
        <w:rPr>
          <w:rFonts w:ascii="宋体" w:hAnsi="宋体"/>
          <w:b/>
        </w:rPr>
        <w:t>环境空气影响小结</w:t>
      </w:r>
    </w:p>
    <w:p>
      <w:pPr>
        <w:spacing w:line="480" w:lineRule="exact"/>
        <w:rPr>
          <w:b/>
          <w:sz w:val="24"/>
        </w:rPr>
      </w:pPr>
      <w:bookmarkStart w:id="97" w:name="_Hlk9001622"/>
      <w:r>
        <w:rPr>
          <w:rFonts w:hint="eastAsia"/>
          <w:b/>
          <w:sz w:val="24"/>
        </w:rPr>
        <w:t>1、大气污染控制措施</w:t>
      </w:r>
    </w:p>
    <w:p>
      <w:pPr>
        <w:spacing w:line="480" w:lineRule="exact"/>
        <w:ind w:firstLine="482"/>
        <w:rPr>
          <w:sz w:val="24"/>
        </w:rPr>
      </w:pPr>
      <w:r>
        <w:rPr>
          <w:rFonts w:hint="eastAsia"/>
          <w:sz w:val="24"/>
        </w:rPr>
        <w:t>项目所采用的治理工艺及设备为国内成熟的技术，可以实现稳定达标排放，因此，本项目采用的污染控制措施合理。</w:t>
      </w:r>
    </w:p>
    <w:p>
      <w:pPr>
        <w:spacing w:line="480" w:lineRule="exact"/>
        <w:rPr>
          <w:b/>
          <w:sz w:val="24"/>
        </w:rPr>
      </w:pPr>
      <w:r>
        <w:rPr>
          <w:rFonts w:hint="eastAsia"/>
          <w:b/>
          <w:sz w:val="24"/>
        </w:rPr>
        <w:t>2、大气环境防护距离</w:t>
      </w:r>
    </w:p>
    <w:p>
      <w:pPr>
        <w:pStyle w:val="57"/>
        <w:spacing w:line="480" w:lineRule="exact"/>
        <w:ind w:firstLine="482" w:firstLineChars="0"/>
        <w:rPr>
          <w:bCs/>
        </w:rPr>
      </w:pPr>
      <w:r>
        <w:rPr>
          <w:rFonts w:hint="eastAsia"/>
          <w:bCs/>
        </w:rPr>
        <w:t>根据《环境影响评价技术导则 大气环境》（HJ2.2-2018），二级评价项目无需设置大气环境防护距离。</w:t>
      </w:r>
    </w:p>
    <w:p>
      <w:pPr>
        <w:spacing w:line="480" w:lineRule="exact"/>
        <w:rPr>
          <w:b/>
          <w:sz w:val="24"/>
        </w:rPr>
      </w:pPr>
      <w:r>
        <w:rPr>
          <w:rFonts w:hint="eastAsia"/>
          <w:b/>
          <w:sz w:val="24"/>
        </w:rPr>
        <w:t>3、大气环境影响评价结论</w:t>
      </w:r>
    </w:p>
    <w:p>
      <w:pPr>
        <w:spacing w:line="480" w:lineRule="exact"/>
        <w:ind w:firstLine="482"/>
        <w:rPr>
          <w:sz w:val="24"/>
        </w:rPr>
      </w:pPr>
      <w:r>
        <w:rPr>
          <w:rFonts w:hint="eastAsia"/>
          <w:sz w:val="24"/>
        </w:rPr>
        <w:t>经大气环境影响预测可知，本项目运行后，按照评价要求的环保措施实施后，各大气污染源的排放均满足相应排放标准，对区域环境空气质量影响较小。因此，只要加强管理、严格落实环保措施，从环境空气影响评价角度出发，本项目的建设是可行的。</w:t>
      </w:r>
    </w:p>
    <w:p>
      <w:pPr>
        <w:pStyle w:val="57"/>
        <w:spacing w:line="480" w:lineRule="exact"/>
        <w:ind w:firstLine="0" w:firstLineChars="0"/>
        <w:rPr>
          <w:b/>
          <w:bCs/>
        </w:rPr>
      </w:pPr>
      <w:r>
        <w:rPr>
          <w:rFonts w:hint="eastAsia"/>
          <w:b/>
        </w:rPr>
        <w:t>4、</w:t>
      </w:r>
      <w:r>
        <w:rPr>
          <w:rFonts w:hint="eastAsia"/>
          <w:b/>
          <w:bCs/>
        </w:rPr>
        <w:t>污染物排放量核算结果</w:t>
      </w:r>
    </w:p>
    <w:p>
      <w:pPr>
        <w:pStyle w:val="57"/>
        <w:spacing w:line="480" w:lineRule="exact"/>
        <w:ind w:firstLine="482" w:firstLineChars="0"/>
        <w:rPr>
          <w:bCs/>
        </w:rPr>
      </w:pPr>
      <w:r>
        <w:rPr>
          <w:rFonts w:hint="eastAsia"/>
          <w:bCs/>
        </w:rPr>
        <w:t>本项目污染物排放量核算结果见表5.2-10。</w:t>
      </w:r>
    </w:p>
    <w:p>
      <w:pPr>
        <w:spacing w:line="480" w:lineRule="atLeast"/>
        <w:jc w:val="center"/>
        <w:rPr>
          <w:rFonts w:ascii="黑体" w:hAnsi="黑体" w:eastAsia="黑体"/>
          <w:kern w:val="0"/>
          <w:sz w:val="24"/>
        </w:rPr>
      </w:pPr>
      <w:r>
        <w:rPr>
          <w:rFonts w:hint="eastAsia" w:ascii="黑体" w:hAnsi="黑体" w:eastAsia="黑体"/>
          <w:kern w:val="0"/>
          <w:sz w:val="24"/>
        </w:rPr>
        <w:t>表5.2-10</w:t>
      </w:r>
      <w:r>
        <w:rPr>
          <w:rFonts w:ascii="黑体" w:hAnsi="黑体" w:eastAsia="黑体"/>
          <w:kern w:val="0"/>
          <w:sz w:val="24"/>
        </w:rPr>
        <w:t xml:space="preserve">  </w:t>
      </w:r>
      <w:r>
        <w:rPr>
          <w:rFonts w:hint="eastAsia" w:ascii="黑体" w:hAnsi="黑体" w:eastAsia="黑体"/>
          <w:kern w:val="0"/>
          <w:sz w:val="24"/>
        </w:rPr>
        <w:t>大气污染物年排放量核算表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724"/>
        <w:gridCol w:w="2153"/>
        <w:gridCol w:w="2153"/>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5" w:type="pct"/>
            <w:vMerge w:val="restart"/>
            <w:noWrap/>
            <w:vAlign w:val="center"/>
          </w:tcPr>
          <w:p>
            <w:pPr>
              <w:widowControl/>
              <w:jc w:val="center"/>
              <w:rPr>
                <w:b/>
                <w:kern w:val="0"/>
                <w:szCs w:val="21"/>
              </w:rPr>
            </w:pPr>
            <w:r>
              <w:rPr>
                <w:rFonts w:hint="eastAsia" w:ascii="宋体" w:hAnsi="宋体"/>
                <w:b/>
                <w:kern w:val="0"/>
                <w:szCs w:val="21"/>
              </w:rPr>
              <w:t>序号</w:t>
            </w:r>
          </w:p>
        </w:tc>
        <w:tc>
          <w:tcPr>
            <w:tcW w:w="951" w:type="pct"/>
            <w:vMerge w:val="restart"/>
            <w:noWrap/>
            <w:vAlign w:val="center"/>
          </w:tcPr>
          <w:p>
            <w:pPr>
              <w:widowControl/>
              <w:jc w:val="center"/>
              <w:rPr>
                <w:b/>
                <w:kern w:val="0"/>
                <w:szCs w:val="21"/>
              </w:rPr>
            </w:pPr>
            <w:r>
              <w:rPr>
                <w:rFonts w:hint="eastAsia" w:ascii="宋体" w:hAnsi="宋体"/>
                <w:b/>
                <w:kern w:val="0"/>
                <w:szCs w:val="21"/>
              </w:rPr>
              <w:t>污染物</w:t>
            </w:r>
          </w:p>
        </w:tc>
        <w:tc>
          <w:tcPr>
            <w:tcW w:w="3513" w:type="pct"/>
            <w:gridSpan w:val="3"/>
            <w:noWrap/>
            <w:vAlign w:val="center"/>
          </w:tcPr>
          <w:p>
            <w:pPr>
              <w:widowControl/>
              <w:jc w:val="center"/>
              <w:rPr>
                <w:b/>
                <w:kern w:val="0"/>
                <w:szCs w:val="21"/>
              </w:rPr>
            </w:pPr>
            <w:r>
              <w:rPr>
                <w:rFonts w:hint="eastAsia" w:ascii="宋体" w:hAnsi="宋体"/>
                <w:b/>
                <w:kern w:val="0"/>
                <w:szCs w:val="21"/>
              </w:rPr>
              <w:t>年排放量</w:t>
            </w:r>
            <w:r>
              <w:rPr>
                <w:b/>
                <w:kern w:val="0"/>
                <w:szCs w:val="21"/>
              </w:rPr>
              <w:t>/(t/a</w:t>
            </w:r>
            <w:r>
              <w:rPr>
                <w:rFonts w:hint="eastAsia" w:ascii="宋体" w:hAnsi="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5" w:type="pct"/>
            <w:vMerge w:val="continue"/>
            <w:noWrap/>
            <w:vAlign w:val="center"/>
          </w:tcPr>
          <w:p>
            <w:pPr>
              <w:widowControl/>
              <w:jc w:val="center"/>
              <w:rPr>
                <w:rFonts w:ascii="宋体" w:hAnsi="宋体"/>
                <w:b/>
                <w:kern w:val="0"/>
                <w:szCs w:val="21"/>
              </w:rPr>
            </w:pPr>
          </w:p>
        </w:tc>
        <w:tc>
          <w:tcPr>
            <w:tcW w:w="951" w:type="pct"/>
            <w:vMerge w:val="continue"/>
            <w:noWrap/>
            <w:vAlign w:val="center"/>
          </w:tcPr>
          <w:p>
            <w:pPr>
              <w:widowControl/>
              <w:jc w:val="center"/>
              <w:rPr>
                <w:rFonts w:ascii="宋体" w:hAnsi="宋体"/>
                <w:b/>
                <w:kern w:val="0"/>
                <w:szCs w:val="21"/>
              </w:rPr>
            </w:pPr>
          </w:p>
        </w:tc>
        <w:tc>
          <w:tcPr>
            <w:tcW w:w="1188" w:type="pct"/>
            <w:noWrap/>
            <w:vAlign w:val="center"/>
          </w:tcPr>
          <w:p>
            <w:pPr>
              <w:widowControl/>
              <w:jc w:val="center"/>
              <w:rPr>
                <w:rFonts w:ascii="宋体" w:hAnsi="宋体"/>
                <w:b/>
                <w:kern w:val="0"/>
                <w:szCs w:val="21"/>
              </w:rPr>
            </w:pPr>
            <w:r>
              <w:rPr>
                <w:rFonts w:hint="eastAsia" w:ascii="宋体" w:hAnsi="宋体"/>
                <w:b/>
                <w:kern w:val="0"/>
                <w:szCs w:val="21"/>
              </w:rPr>
              <w:t>有组织合计</w:t>
            </w:r>
          </w:p>
        </w:tc>
        <w:tc>
          <w:tcPr>
            <w:tcW w:w="1188" w:type="pct"/>
            <w:vAlign w:val="center"/>
          </w:tcPr>
          <w:p>
            <w:pPr>
              <w:widowControl/>
              <w:jc w:val="center"/>
              <w:rPr>
                <w:rFonts w:ascii="宋体" w:hAnsi="宋体"/>
                <w:b/>
                <w:kern w:val="0"/>
                <w:szCs w:val="21"/>
              </w:rPr>
            </w:pPr>
            <w:r>
              <w:rPr>
                <w:rFonts w:hint="eastAsia" w:ascii="宋体" w:hAnsi="宋体"/>
                <w:b/>
                <w:kern w:val="0"/>
                <w:szCs w:val="21"/>
              </w:rPr>
              <w:t>无组织合计</w:t>
            </w:r>
          </w:p>
        </w:tc>
        <w:tc>
          <w:tcPr>
            <w:tcW w:w="1137" w:type="pct"/>
            <w:vAlign w:val="center"/>
          </w:tcPr>
          <w:p>
            <w:pPr>
              <w:widowControl/>
              <w:jc w:val="center"/>
              <w:rPr>
                <w:rFonts w:ascii="宋体" w:hAnsi="宋体"/>
                <w:b/>
                <w:kern w:val="0"/>
                <w:szCs w:val="21"/>
              </w:rPr>
            </w:pPr>
            <w:r>
              <w:rPr>
                <w:rFonts w:hint="eastAsia" w:ascii="宋体" w:hAnsi="宋体"/>
                <w:b/>
                <w:kern w:val="0"/>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35" w:type="pct"/>
            <w:noWrap/>
            <w:vAlign w:val="center"/>
          </w:tcPr>
          <w:p>
            <w:pPr>
              <w:widowControl/>
              <w:jc w:val="center"/>
              <w:rPr>
                <w:kern w:val="0"/>
                <w:szCs w:val="21"/>
              </w:rPr>
            </w:pPr>
            <w:r>
              <w:rPr>
                <w:kern w:val="0"/>
                <w:szCs w:val="21"/>
              </w:rPr>
              <w:t>1</w:t>
            </w:r>
          </w:p>
        </w:tc>
        <w:tc>
          <w:tcPr>
            <w:tcW w:w="951" w:type="pct"/>
            <w:noWrap/>
            <w:vAlign w:val="center"/>
          </w:tcPr>
          <w:p>
            <w:pPr>
              <w:widowControl/>
              <w:spacing w:line="240" w:lineRule="atLeast"/>
              <w:jc w:val="center"/>
              <w:rPr>
                <w:kern w:val="0"/>
                <w:szCs w:val="21"/>
              </w:rPr>
            </w:pPr>
            <w:r>
              <w:rPr>
                <w:rFonts w:hint="eastAsia"/>
                <w:kern w:val="0"/>
                <w:szCs w:val="21"/>
              </w:rPr>
              <w:t>颗粒物</w:t>
            </w:r>
          </w:p>
        </w:tc>
        <w:tc>
          <w:tcPr>
            <w:tcW w:w="1188" w:type="pct"/>
            <w:noWrap/>
            <w:vAlign w:val="center"/>
          </w:tcPr>
          <w:p>
            <w:pPr>
              <w:widowControl/>
              <w:jc w:val="center"/>
              <w:textAlignment w:val="center"/>
              <w:rPr>
                <w:color w:val="000000"/>
                <w:kern w:val="0"/>
                <w:szCs w:val="21"/>
              </w:rPr>
            </w:pPr>
            <w:r>
              <w:rPr>
                <w:color w:val="000000"/>
                <w:kern w:val="0"/>
                <w:szCs w:val="21"/>
              </w:rPr>
              <w:t>0.12</w:t>
            </w:r>
          </w:p>
        </w:tc>
        <w:tc>
          <w:tcPr>
            <w:tcW w:w="1188" w:type="pct"/>
            <w:vAlign w:val="center"/>
          </w:tcPr>
          <w:p>
            <w:pPr>
              <w:jc w:val="center"/>
              <w:rPr>
                <w:kern w:val="0"/>
                <w:szCs w:val="21"/>
              </w:rPr>
            </w:pPr>
            <w:r>
              <w:rPr>
                <w:rFonts w:hint="eastAsia"/>
                <w:kern w:val="0"/>
                <w:szCs w:val="21"/>
              </w:rPr>
              <w:t>/</w:t>
            </w:r>
          </w:p>
        </w:tc>
        <w:tc>
          <w:tcPr>
            <w:tcW w:w="1137" w:type="pct"/>
            <w:vAlign w:val="center"/>
          </w:tcPr>
          <w:p>
            <w:pPr>
              <w:widowControl/>
              <w:jc w:val="center"/>
              <w:textAlignment w:val="center"/>
              <w:rPr>
                <w:color w:val="000000"/>
                <w:kern w:val="0"/>
                <w:szCs w:val="21"/>
              </w:rPr>
            </w:pPr>
            <w:r>
              <w:rPr>
                <w:color w:val="000000"/>
                <w:kern w:val="0"/>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35" w:type="pct"/>
            <w:noWrap/>
            <w:vAlign w:val="center"/>
          </w:tcPr>
          <w:p>
            <w:pPr>
              <w:widowControl/>
              <w:jc w:val="center"/>
              <w:rPr>
                <w:kern w:val="0"/>
                <w:szCs w:val="21"/>
              </w:rPr>
            </w:pPr>
            <w:r>
              <w:rPr>
                <w:rFonts w:hint="eastAsia"/>
                <w:kern w:val="0"/>
                <w:szCs w:val="21"/>
              </w:rPr>
              <w:t>2</w:t>
            </w:r>
          </w:p>
        </w:tc>
        <w:tc>
          <w:tcPr>
            <w:tcW w:w="951" w:type="pct"/>
            <w:noWrap/>
            <w:vAlign w:val="center"/>
          </w:tcPr>
          <w:p>
            <w:pPr>
              <w:widowControl/>
              <w:spacing w:line="240" w:lineRule="atLeast"/>
              <w:jc w:val="center"/>
              <w:rPr>
                <w:kern w:val="0"/>
                <w:szCs w:val="21"/>
              </w:rPr>
            </w:pPr>
            <w:r>
              <w:rPr>
                <w:rFonts w:hint="eastAsia"/>
                <w:kern w:val="0"/>
                <w:szCs w:val="21"/>
              </w:rPr>
              <w:t>氮氧化物</w:t>
            </w:r>
          </w:p>
        </w:tc>
        <w:tc>
          <w:tcPr>
            <w:tcW w:w="1188" w:type="pct"/>
            <w:noWrap/>
            <w:vAlign w:val="center"/>
          </w:tcPr>
          <w:p>
            <w:pPr>
              <w:widowControl/>
              <w:jc w:val="center"/>
              <w:textAlignment w:val="center"/>
              <w:rPr>
                <w:color w:val="000000"/>
                <w:kern w:val="0"/>
                <w:szCs w:val="21"/>
              </w:rPr>
            </w:pPr>
            <w:r>
              <w:rPr>
                <w:color w:val="000000"/>
                <w:kern w:val="0"/>
                <w:szCs w:val="21"/>
              </w:rPr>
              <w:t>1.2</w:t>
            </w:r>
          </w:p>
        </w:tc>
        <w:tc>
          <w:tcPr>
            <w:tcW w:w="1188" w:type="pct"/>
            <w:vAlign w:val="center"/>
          </w:tcPr>
          <w:p>
            <w:pPr>
              <w:jc w:val="center"/>
              <w:rPr>
                <w:kern w:val="0"/>
                <w:szCs w:val="21"/>
              </w:rPr>
            </w:pPr>
            <w:r>
              <w:rPr>
                <w:rFonts w:hint="eastAsia"/>
                <w:kern w:val="0"/>
                <w:szCs w:val="21"/>
              </w:rPr>
              <w:t>/</w:t>
            </w:r>
          </w:p>
        </w:tc>
        <w:tc>
          <w:tcPr>
            <w:tcW w:w="1137" w:type="pct"/>
            <w:vAlign w:val="center"/>
          </w:tcPr>
          <w:p>
            <w:pPr>
              <w:widowControl/>
              <w:jc w:val="center"/>
              <w:textAlignment w:val="center"/>
              <w:rPr>
                <w:color w:val="000000"/>
                <w:kern w:val="0"/>
                <w:szCs w:val="21"/>
              </w:rPr>
            </w:pPr>
            <w:r>
              <w:rPr>
                <w:color w:val="000000"/>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35" w:type="pct"/>
            <w:noWrap/>
            <w:vAlign w:val="center"/>
          </w:tcPr>
          <w:p>
            <w:pPr>
              <w:widowControl/>
              <w:jc w:val="center"/>
              <w:rPr>
                <w:kern w:val="0"/>
                <w:szCs w:val="21"/>
              </w:rPr>
            </w:pPr>
            <w:r>
              <w:rPr>
                <w:rFonts w:hint="eastAsia"/>
                <w:kern w:val="0"/>
                <w:szCs w:val="21"/>
              </w:rPr>
              <w:t>3</w:t>
            </w:r>
          </w:p>
        </w:tc>
        <w:tc>
          <w:tcPr>
            <w:tcW w:w="951" w:type="pct"/>
            <w:noWrap/>
            <w:vAlign w:val="center"/>
          </w:tcPr>
          <w:p>
            <w:pPr>
              <w:widowControl/>
              <w:spacing w:line="240" w:lineRule="atLeast"/>
              <w:jc w:val="center"/>
              <w:rPr>
                <w:kern w:val="0"/>
                <w:szCs w:val="21"/>
              </w:rPr>
            </w:pPr>
            <w:r>
              <w:rPr>
                <w:rFonts w:hint="eastAsia"/>
                <w:kern w:val="0"/>
                <w:szCs w:val="21"/>
              </w:rPr>
              <w:t>NH</w:t>
            </w:r>
            <w:r>
              <w:rPr>
                <w:rFonts w:hint="eastAsia"/>
                <w:kern w:val="0"/>
                <w:szCs w:val="21"/>
                <w:vertAlign w:val="subscript"/>
              </w:rPr>
              <w:t>3</w:t>
            </w:r>
          </w:p>
        </w:tc>
        <w:tc>
          <w:tcPr>
            <w:tcW w:w="1188" w:type="pct"/>
            <w:noWrap/>
            <w:vAlign w:val="center"/>
          </w:tcPr>
          <w:p>
            <w:pPr>
              <w:widowControl/>
              <w:jc w:val="center"/>
              <w:textAlignment w:val="center"/>
              <w:rPr>
                <w:color w:val="000000"/>
                <w:kern w:val="0"/>
                <w:szCs w:val="21"/>
              </w:rPr>
            </w:pPr>
            <w:r>
              <w:rPr>
                <w:rFonts w:hint="eastAsia"/>
                <w:color w:val="000000"/>
                <w:kern w:val="0"/>
                <w:szCs w:val="21"/>
              </w:rPr>
              <w:t>0.</w:t>
            </w:r>
            <w:r>
              <w:rPr>
                <w:color w:val="000000"/>
                <w:kern w:val="0"/>
                <w:szCs w:val="21"/>
              </w:rPr>
              <w:t>39</w:t>
            </w:r>
          </w:p>
        </w:tc>
        <w:tc>
          <w:tcPr>
            <w:tcW w:w="1188" w:type="pct"/>
          </w:tcPr>
          <w:p>
            <w:pPr>
              <w:jc w:val="center"/>
              <w:rPr>
                <w:kern w:val="0"/>
                <w:szCs w:val="21"/>
              </w:rPr>
            </w:pPr>
            <w:r>
              <w:rPr>
                <w:rFonts w:hint="eastAsia"/>
                <w:kern w:val="0"/>
                <w:szCs w:val="21"/>
              </w:rPr>
              <w:t>0.211</w:t>
            </w:r>
          </w:p>
        </w:tc>
        <w:tc>
          <w:tcPr>
            <w:tcW w:w="1137" w:type="pct"/>
          </w:tcPr>
          <w:p>
            <w:pPr>
              <w:jc w:val="center"/>
              <w:rPr>
                <w:kern w:val="0"/>
                <w:szCs w:val="21"/>
              </w:rPr>
            </w:pPr>
            <w:r>
              <w:rPr>
                <w:kern w:val="0"/>
                <w:szCs w:val="21"/>
              </w:rPr>
              <w:t>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5" w:type="pct"/>
            <w:noWrap/>
            <w:vAlign w:val="center"/>
          </w:tcPr>
          <w:p>
            <w:pPr>
              <w:widowControl/>
              <w:jc w:val="center"/>
              <w:rPr>
                <w:kern w:val="0"/>
                <w:szCs w:val="21"/>
              </w:rPr>
            </w:pPr>
            <w:r>
              <w:rPr>
                <w:rFonts w:hint="eastAsia"/>
                <w:kern w:val="0"/>
                <w:szCs w:val="21"/>
              </w:rPr>
              <w:t>4</w:t>
            </w:r>
          </w:p>
        </w:tc>
        <w:tc>
          <w:tcPr>
            <w:tcW w:w="951" w:type="pct"/>
            <w:noWrap/>
            <w:vAlign w:val="center"/>
          </w:tcPr>
          <w:p>
            <w:pPr>
              <w:widowControl/>
              <w:spacing w:line="240" w:lineRule="atLeast"/>
              <w:jc w:val="center"/>
              <w:rPr>
                <w:kern w:val="0"/>
                <w:szCs w:val="21"/>
              </w:rPr>
            </w:pPr>
            <w:r>
              <w:rPr>
                <w:rFonts w:hint="eastAsia"/>
                <w:kern w:val="0"/>
                <w:szCs w:val="21"/>
              </w:rPr>
              <w:t>H</w:t>
            </w:r>
            <w:r>
              <w:rPr>
                <w:rFonts w:hint="eastAsia"/>
                <w:kern w:val="0"/>
                <w:szCs w:val="21"/>
                <w:vertAlign w:val="subscript"/>
              </w:rPr>
              <w:t>2</w:t>
            </w:r>
            <w:r>
              <w:rPr>
                <w:rFonts w:hint="eastAsia"/>
                <w:kern w:val="0"/>
                <w:szCs w:val="21"/>
              </w:rPr>
              <w:t>S</w:t>
            </w:r>
          </w:p>
        </w:tc>
        <w:tc>
          <w:tcPr>
            <w:tcW w:w="1188" w:type="pct"/>
            <w:noWrap/>
            <w:vAlign w:val="center"/>
          </w:tcPr>
          <w:p>
            <w:pPr>
              <w:widowControl/>
              <w:jc w:val="center"/>
              <w:textAlignment w:val="center"/>
              <w:rPr>
                <w:color w:val="000000"/>
                <w:kern w:val="0"/>
                <w:szCs w:val="21"/>
              </w:rPr>
            </w:pPr>
            <w:r>
              <w:rPr>
                <w:rFonts w:hint="eastAsia"/>
                <w:color w:val="000000"/>
                <w:kern w:val="0"/>
                <w:szCs w:val="21"/>
              </w:rPr>
              <w:t>0.0</w:t>
            </w:r>
            <w:r>
              <w:rPr>
                <w:color w:val="000000"/>
                <w:kern w:val="0"/>
                <w:szCs w:val="21"/>
              </w:rPr>
              <w:t>39</w:t>
            </w:r>
          </w:p>
        </w:tc>
        <w:tc>
          <w:tcPr>
            <w:tcW w:w="1188" w:type="pct"/>
          </w:tcPr>
          <w:p>
            <w:pPr>
              <w:jc w:val="center"/>
              <w:rPr>
                <w:kern w:val="0"/>
                <w:szCs w:val="21"/>
              </w:rPr>
            </w:pPr>
            <w:r>
              <w:rPr>
                <w:rFonts w:hint="eastAsia"/>
                <w:kern w:val="0"/>
                <w:szCs w:val="21"/>
              </w:rPr>
              <w:t>0.021</w:t>
            </w:r>
          </w:p>
        </w:tc>
        <w:tc>
          <w:tcPr>
            <w:tcW w:w="1137" w:type="pct"/>
          </w:tcPr>
          <w:p>
            <w:pPr>
              <w:jc w:val="center"/>
              <w:rPr>
                <w:kern w:val="0"/>
                <w:szCs w:val="21"/>
              </w:rPr>
            </w:pPr>
            <w:r>
              <w:rPr>
                <w:kern w:val="0"/>
                <w:szCs w:val="21"/>
              </w:rPr>
              <w:t>0.06</w:t>
            </w:r>
          </w:p>
        </w:tc>
      </w:tr>
    </w:tbl>
    <w:p>
      <w:pPr>
        <w:spacing w:line="480" w:lineRule="exact"/>
        <w:rPr>
          <w:b/>
          <w:sz w:val="24"/>
        </w:rPr>
      </w:pPr>
      <w:r>
        <w:rPr>
          <w:rFonts w:hint="eastAsia"/>
          <w:b/>
          <w:sz w:val="24"/>
        </w:rPr>
        <w:t>5、大气环境影响评价自查表</w:t>
      </w:r>
    </w:p>
    <w:p>
      <w:pPr>
        <w:spacing w:line="480" w:lineRule="exact"/>
        <w:ind w:firstLine="482"/>
        <w:rPr>
          <w:sz w:val="24"/>
        </w:rPr>
      </w:pPr>
      <w:r>
        <w:rPr>
          <w:rFonts w:hint="eastAsia"/>
          <w:sz w:val="24"/>
        </w:rPr>
        <w:t>本项目大气环境影响评价自查表见表5.2-11。</w:t>
      </w:r>
    </w:p>
    <w:p>
      <w:pPr>
        <w:spacing w:line="480" w:lineRule="atLeast"/>
        <w:jc w:val="center"/>
        <w:rPr>
          <w:rFonts w:ascii="黑体" w:hAnsi="黑体" w:eastAsia="黑体"/>
          <w:kern w:val="0"/>
          <w:sz w:val="24"/>
        </w:rPr>
      </w:pPr>
      <w:r>
        <w:rPr>
          <w:rFonts w:ascii="黑体" w:hAnsi="黑体" w:eastAsia="黑体"/>
          <w:kern w:val="0"/>
          <w:sz w:val="24"/>
        </w:rPr>
        <w:t>表</w:t>
      </w:r>
      <w:r>
        <w:rPr>
          <w:rFonts w:hint="eastAsia" w:ascii="黑体" w:hAnsi="黑体" w:eastAsia="黑体"/>
          <w:kern w:val="0"/>
          <w:sz w:val="24"/>
        </w:rPr>
        <w:t>5.2-11</w:t>
      </w:r>
      <w:r>
        <w:rPr>
          <w:rFonts w:ascii="黑体" w:hAnsi="黑体" w:eastAsia="黑体"/>
          <w:kern w:val="0"/>
          <w:sz w:val="24"/>
        </w:rPr>
        <w:t xml:space="preserve">  项目大气环境影响评价自查表</w:t>
      </w:r>
    </w:p>
    <w:tbl>
      <w:tblPr>
        <w:tblStyle w:val="31"/>
        <w:tblW w:w="89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9"/>
        <w:gridCol w:w="1354"/>
        <w:gridCol w:w="1056"/>
        <w:gridCol w:w="503"/>
        <w:gridCol w:w="331"/>
        <w:gridCol w:w="236"/>
        <w:gridCol w:w="567"/>
        <w:gridCol w:w="61"/>
        <w:gridCol w:w="364"/>
        <w:gridCol w:w="68"/>
        <w:gridCol w:w="216"/>
        <w:gridCol w:w="260"/>
        <w:gridCol w:w="23"/>
        <w:gridCol w:w="709"/>
        <w:gridCol w:w="851"/>
        <w:gridCol w:w="19"/>
        <w:gridCol w:w="216"/>
        <w:gridCol w:w="615"/>
        <w:gridCol w:w="33"/>
        <w:gridCol w:w="7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093" w:type="dxa"/>
            <w:gridSpan w:val="2"/>
            <w:noWrap/>
            <w:vAlign w:val="center"/>
          </w:tcPr>
          <w:p>
            <w:pPr>
              <w:widowControl/>
              <w:spacing w:line="260" w:lineRule="exact"/>
              <w:jc w:val="center"/>
              <w:rPr>
                <w:b/>
                <w:kern w:val="0"/>
                <w:sz w:val="18"/>
                <w:szCs w:val="18"/>
              </w:rPr>
            </w:pPr>
            <w:r>
              <w:rPr>
                <w:b/>
                <w:kern w:val="0"/>
                <w:sz w:val="18"/>
                <w:szCs w:val="18"/>
              </w:rPr>
              <w:t>工作内容</w:t>
            </w:r>
          </w:p>
        </w:tc>
        <w:tc>
          <w:tcPr>
            <w:tcW w:w="6854" w:type="dxa"/>
            <w:gridSpan w:val="18"/>
            <w:noWrap/>
            <w:vAlign w:val="center"/>
          </w:tcPr>
          <w:p>
            <w:pPr>
              <w:widowControl/>
              <w:spacing w:line="260" w:lineRule="exact"/>
              <w:jc w:val="center"/>
              <w:rPr>
                <w:b/>
                <w:kern w:val="0"/>
                <w:sz w:val="18"/>
                <w:szCs w:val="18"/>
              </w:rPr>
            </w:pPr>
            <w:r>
              <w:rPr>
                <w:b/>
                <w:kern w:val="0"/>
                <w:sz w:val="18"/>
                <w:szCs w:val="18"/>
              </w:rPr>
              <w:t>自查项目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restart"/>
            <w:noWrap/>
            <w:vAlign w:val="center"/>
          </w:tcPr>
          <w:p>
            <w:pPr>
              <w:widowControl/>
              <w:spacing w:line="260" w:lineRule="exact"/>
              <w:jc w:val="center"/>
              <w:rPr>
                <w:kern w:val="0"/>
                <w:sz w:val="18"/>
                <w:szCs w:val="18"/>
              </w:rPr>
            </w:pPr>
            <w:r>
              <w:rPr>
                <w:kern w:val="0"/>
                <w:sz w:val="18"/>
                <w:szCs w:val="18"/>
              </w:rPr>
              <w:t>评价等级与范围</w:t>
            </w:r>
          </w:p>
        </w:tc>
        <w:tc>
          <w:tcPr>
            <w:tcW w:w="1354" w:type="dxa"/>
            <w:noWrap/>
            <w:vAlign w:val="center"/>
          </w:tcPr>
          <w:p>
            <w:pPr>
              <w:widowControl/>
              <w:spacing w:line="260" w:lineRule="exact"/>
              <w:jc w:val="center"/>
              <w:rPr>
                <w:kern w:val="0"/>
                <w:sz w:val="18"/>
                <w:szCs w:val="18"/>
              </w:rPr>
            </w:pPr>
            <w:r>
              <w:rPr>
                <w:kern w:val="0"/>
                <w:sz w:val="18"/>
                <w:szCs w:val="18"/>
              </w:rPr>
              <w:t>评价等级</w:t>
            </w:r>
          </w:p>
        </w:tc>
        <w:tc>
          <w:tcPr>
            <w:tcW w:w="2754" w:type="dxa"/>
            <w:gridSpan w:val="6"/>
            <w:noWrap/>
            <w:vAlign w:val="center"/>
          </w:tcPr>
          <w:p>
            <w:pPr>
              <w:widowControl/>
              <w:spacing w:line="260" w:lineRule="exact"/>
              <w:jc w:val="center"/>
              <w:rPr>
                <w:kern w:val="0"/>
                <w:sz w:val="18"/>
                <w:szCs w:val="18"/>
              </w:rPr>
            </w:pPr>
            <w:r>
              <w:rPr>
                <w:kern w:val="0"/>
                <w:sz w:val="18"/>
                <w:szCs w:val="18"/>
              </w:rPr>
              <w:t>一级</w:t>
            </w:r>
            <w:r>
              <w:rPr>
                <w:rFonts w:hint="eastAsia" w:eastAsia="MS Mincho"/>
                <w:kern w:val="0"/>
                <w:sz w:val="18"/>
                <w:szCs w:val="18"/>
              </w:rPr>
              <w:t>□</w:t>
            </w:r>
          </w:p>
        </w:tc>
        <w:tc>
          <w:tcPr>
            <w:tcW w:w="2510" w:type="dxa"/>
            <w:gridSpan w:val="8"/>
            <w:noWrap/>
            <w:vAlign w:val="center"/>
          </w:tcPr>
          <w:p>
            <w:pPr>
              <w:widowControl/>
              <w:spacing w:line="260" w:lineRule="exact"/>
              <w:jc w:val="center"/>
              <w:rPr>
                <w:kern w:val="0"/>
                <w:sz w:val="18"/>
                <w:szCs w:val="18"/>
              </w:rPr>
            </w:pPr>
            <w:r>
              <w:rPr>
                <w:kern w:val="0"/>
                <w:sz w:val="18"/>
                <w:szCs w:val="18"/>
              </w:rPr>
              <w:t>二级</w:t>
            </w:r>
            <w:r>
              <w:rPr>
                <w:rFonts w:ascii="MS Mincho" w:hAnsi="MS Mincho" w:cs="MS Mincho"/>
                <w:kern w:val="0"/>
                <w:sz w:val="18"/>
                <w:szCs w:val="18"/>
              </w:rPr>
              <w:t>✔</w:t>
            </w:r>
          </w:p>
        </w:tc>
        <w:tc>
          <w:tcPr>
            <w:tcW w:w="1590" w:type="dxa"/>
            <w:gridSpan w:val="4"/>
            <w:noWrap/>
            <w:vAlign w:val="center"/>
          </w:tcPr>
          <w:p>
            <w:pPr>
              <w:widowControl/>
              <w:spacing w:line="260" w:lineRule="exact"/>
              <w:jc w:val="center"/>
              <w:rPr>
                <w:kern w:val="0"/>
                <w:sz w:val="18"/>
                <w:szCs w:val="18"/>
              </w:rPr>
            </w:pPr>
            <w:r>
              <w:rPr>
                <w:kern w:val="0"/>
                <w:sz w:val="18"/>
                <w:szCs w:val="18"/>
              </w:rPr>
              <w:t>三级</w:t>
            </w:r>
            <w:r>
              <w:rPr>
                <w:rFonts w:hint="eastAsia"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noWrap/>
            <w:vAlign w:val="center"/>
          </w:tcPr>
          <w:p>
            <w:pPr>
              <w:widowControl/>
              <w:spacing w:line="260" w:lineRule="exact"/>
              <w:jc w:val="center"/>
              <w:rPr>
                <w:kern w:val="0"/>
                <w:sz w:val="18"/>
                <w:szCs w:val="18"/>
              </w:rPr>
            </w:pPr>
            <w:r>
              <w:rPr>
                <w:kern w:val="0"/>
                <w:sz w:val="18"/>
                <w:szCs w:val="18"/>
              </w:rPr>
              <w:t>评价范围</w:t>
            </w:r>
          </w:p>
        </w:tc>
        <w:tc>
          <w:tcPr>
            <w:tcW w:w="2754" w:type="dxa"/>
            <w:gridSpan w:val="6"/>
            <w:noWrap/>
            <w:vAlign w:val="center"/>
          </w:tcPr>
          <w:p>
            <w:pPr>
              <w:widowControl/>
              <w:spacing w:line="260" w:lineRule="exact"/>
              <w:jc w:val="center"/>
              <w:rPr>
                <w:kern w:val="0"/>
                <w:sz w:val="18"/>
                <w:szCs w:val="18"/>
              </w:rPr>
            </w:pPr>
            <w:r>
              <w:rPr>
                <w:kern w:val="0"/>
                <w:sz w:val="18"/>
                <w:szCs w:val="18"/>
              </w:rPr>
              <w:t>边长=50km</w:t>
            </w:r>
            <w:r>
              <w:rPr>
                <w:rFonts w:hint="eastAsia" w:eastAsia="MS Mincho"/>
                <w:kern w:val="0"/>
                <w:sz w:val="18"/>
                <w:szCs w:val="18"/>
              </w:rPr>
              <w:t>□</w:t>
            </w:r>
          </w:p>
        </w:tc>
        <w:tc>
          <w:tcPr>
            <w:tcW w:w="2510" w:type="dxa"/>
            <w:gridSpan w:val="8"/>
            <w:noWrap/>
            <w:vAlign w:val="center"/>
          </w:tcPr>
          <w:p>
            <w:pPr>
              <w:widowControl/>
              <w:spacing w:line="260" w:lineRule="exact"/>
              <w:jc w:val="center"/>
              <w:rPr>
                <w:kern w:val="0"/>
                <w:sz w:val="18"/>
                <w:szCs w:val="18"/>
              </w:rPr>
            </w:pPr>
            <w:r>
              <w:rPr>
                <w:kern w:val="0"/>
                <w:sz w:val="18"/>
                <w:szCs w:val="18"/>
              </w:rPr>
              <w:t>边长5～50km</w:t>
            </w:r>
            <w:r>
              <w:rPr>
                <w:rFonts w:hint="eastAsia" w:eastAsia="MS Mincho"/>
                <w:kern w:val="0"/>
                <w:sz w:val="18"/>
                <w:szCs w:val="18"/>
              </w:rPr>
              <w:t>□</w:t>
            </w:r>
          </w:p>
        </w:tc>
        <w:tc>
          <w:tcPr>
            <w:tcW w:w="1590" w:type="dxa"/>
            <w:gridSpan w:val="4"/>
            <w:noWrap/>
            <w:vAlign w:val="center"/>
          </w:tcPr>
          <w:p>
            <w:pPr>
              <w:widowControl/>
              <w:spacing w:line="260" w:lineRule="exact"/>
              <w:jc w:val="center"/>
              <w:rPr>
                <w:kern w:val="0"/>
                <w:sz w:val="18"/>
                <w:szCs w:val="18"/>
              </w:rPr>
            </w:pPr>
            <w:r>
              <w:rPr>
                <w:kern w:val="0"/>
                <w:sz w:val="18"/>
                <w:szCs w:val="18"/>
              </w:rPr>
              <w:t>边长=5km</w:t>
            </w:r>
            <w:r>
              <w:rPr>
                <w:rFonts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restart"/>
            <w:noWrap/>
            <w:vAlign w:val="center"/>
          </w:tcPr>
          <w:p>
            <w:pPr>
              <w:widowControl/>
              <w:spacing w:line="260" w:lineRule="exact"/>
              <w:jc w:val="center"/>
              <w:rPr>
                <w:kern w:val="0"/>
                <w:sz w:val="18"/>
                <w:szCs w:val="18"/>
              </w:rPr>
            </w:pPr>
            <w:r>
              <w:rPr>
                <w:kern w:val="0"/>
                <w:sz w:val="18"/>
                <w:szCs w:val="18"/>
              </w:rPr>
              <w:t>评价因子</w:t>
            </w:r>
          </w:p>
        </w:tc>
        <w:tc>
          <w:tcPr>
            <w:tcW w:w="1354" w:type="dxa"/>
            <w:noWrap/>
            <w:vAlign w:val="center"/>
          </w:tcPr>
          <w:p>
            <w:pPr>
              <w:widowControl/>
              <w:spacing w:line="260" w:lineRule="exact"/>
              <w:jc w:val="center"/>
              <w:rPr>
                <w:kern w:val="0"/>
                <w:sz w:val="18"/>
                <w:szCs w:val="18"/>
              </w:rPr>
            </w:pPr>
            <w:r>
              <w:rPr>
                <w:kern w:val="0"/>
                <w:sz w:val="18"/>
                <w:szCs w:val="18"/>
              </w:rPr>
              <w:t>SO</w:t>
            </w:r>
            <w:r>
              <w:rPr>
                <w:kern w:val="0"/>
                <w:sz w:val="18"/>
                <w:szCs w:val="18"/>
                <w:vertAlign w:val="subscript"/>
              </w:rPr>
              <w:t>2</w:t>
            </w:r>
            <w:r>
              <w:rPr>
                <w:kern w:val="0"/>
                <w:sz w:val="18"/>
                <w:szCs w:val="18"/>
              </w:rPr>
              <w:t>+NOx排放量</w:t>
            </w:r>
          </w:p>
        </w:tc>
        <w:tc>
          <w:tcPr>
            <w:tcW w:w="2754" w:type="dxa"/>
            <w:gridSpan w:val="6"/>
            <w:noWrap/>
            <w:vAlign w:val="center"/>
          </w:tcPr>
          <w:p>
            <w:pPr>
              <w:widowControl/>
              <w:spacing w:line="260" w:lineRule="exact"/>
              <w:jc w:val="center"/>
              <w:rPr>
                <w:kern w:val="0"/>
                <w:sz w:val="18"/>
                <w:szCs w:val="18"/>
              </w:rPr>
            </w:pPr>
            <w:r>
              <w:rPr>
                <w:kern w:val="0"/>
                <w:sz w:val="18"/>
                <w:szCs w:val="18"/>
              </w:rPr>
              <w:t>≥2000t/a</w:t>
            </w:r>
            <w:r>
              <w:rPr>
                <w:rFonts w:hint="eastAsia" w:eastAsia="MS Mincho"/>
                <w:kern w:val="0"/>
                <w:sz w:val="18"/>
                <w:szCs w:val="18"/>
              </w:rPr>
              <w:t>□</w:t>
            </w:r>
          </w:p>
        </w:tc>
        <w:tc>
          <w:tcPr>
            <w:tcW w:w="2510" w:type="dxa"/>
            <w:gridSpan w:val="8"/>
            <w:noWrap/>
            <w:vAlign w:val="center"/>
          </w:tcPr>
          <w:p>
            <w:pPr>
              <w:widowControl/>
              <w:spacing w:line="260" w:lineRule="exact"/>
              <w:jc w:val="center"/>
              <w:rPr>
                <w:kern w:val="0"/>
                <w:sz w:val="18"/>
                <w:szCs w:val="18"/>
              </w:rPr>
            </w:pPr>
            <w:r>
              <w:rPr>
                <w:kern w:val="0"/>
                <w:sz w:val="18"/>
                <w:szCs w:val="18"/>
              </w:rPr>
              <w:t>500～2000t/a</w:t>
            </w:r>
            <w:r>
              <w:rPr>
                <w:rFonts w:hint="eastAsia" w:eastAsia="MS Mincho"/>
                <w:kern w:val="0"/>
                <w:sz w:val="18"/>
                <w:szCs w:val="18"/>
              </w:rPr>
              <w:t>□</w:t>
            </w:r>
          </w:p>
        </w:tc>
        <w:tc>
          <w:tcPr>
            <w:tcW w:w="1590" w:type="dxa"/>
            <w:gridSpan w:val="4"/>
            <w:noWrap/>
            <w:vAlign w:val="center"/>
          </w:tcPr>
          <w:p>
            <w:pPr>
              <w:widowControl/>
              <w:spacing w:line="260" w:lineRule="exact"/>
              <w:jc w:val="center"/>
              <w:rPr>
                <w:kern w:val="0"/>
                <w:sz w:val="18"/>
                <w:szCs w:val="18"/>
              </w:rPr>
            </w:pPr>
            <w:r>
              <w:rPr>
                <w:kern w:val="0"/>
                <w:sz w:val="18"/>
                <w:szCs w:val="18"/>
              </w:rPr>
              <w:t>小于500t/a</w:t>
            </w:r>
            <w:r>
              <w:rPr>
                <w:rFonts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739" w:type="dxa"/>
            <w:vMerge w:val="continue"/>
            <w:vAlign w:val="center"/>
          </w:tcPr>
          <w:p>
            <w:pPr>
              <w:widowControl/>
              <w:spacing w:line="260" w:lineRule="exact"/>
              <w:jc w:val="center"/>
              <w:rPr>
                <w:kern w:val="0"/>
                <w:sz w:val="18"/>
                <w:szCs w:val="18"/>
              </w:rPr>
            </w:pPr>
          </w:p>
        </w:tc>
        <w:tc>
          <w:tcPr>
            <w:tcW w:w="1354" w:type="dxa"/>
            <w:vMerge w:val="restart"/>
            <w:noWrap/>
            <w:vAlign w:val="center"/>
          </w:tcPr>
          <w:p>
            <w:pPr>
              <w:widowControl/>
              <w:spacing w:line="260" w:lineRule="exact"/>
              <w:jc w:val="center"/>
              <w:rPr>
                <w:kern w:val="0"/>
                <w:sz w:val="18"/>
                <w:szCs w:val="18"/>
              </w:rPr>
            </w:pPr>
            <w:r>
              <w:rPr>
                <w:kern w:val="0"/>
                <w:sz w:val="18"/>
                <w:szCs w:val="18"/>
              </w:rPr>
              <w:t>评价因子</w:t>
            </w:r>
          </w:p>
        </w:tc>
        <w:tc>
          <w:tcPr>
            <w:tcW w:w="5264" w:type="dxa"/>
            <w:gridSpan w:val="14"/>
            <w:vMerge w:val="restart"/>
            <w:vAlign w:val="center"/>
          </w:tcPr>
          <w:p>
            <w:pPr>
              <w:widowControl/>
              <w:spacing w:line="260" w:lineRule="exact"/>
              <w:jc w:val="center"/>
              <w:rPr>
                <w:kern w:val="0"/>
                <w:sz w:val="18"/>
                <w:szCs w:val="18"/>
              </w:rPr>
            </w:pPr>
            <w:r>
              <w:rPr>
                <w:kern w:val="0"/>
                <w:sz w:val="18"/>
                <w:szCs w:val="18"/>
              </w:rPr>
              <w:t xml:space="preserve">基本污染物(  </w:t>
            </w:r>
            <w:r>
              <w:rPr>
                <w:rFonts w:hint="eastAsia"/>
                <w:kern w:val="0"/>
                <w:sz w:val="18"/>
                <w:szCs w:val="18"/>
              </w:rPr>
              <w:t>PM</w:t>
            </w:r>
            <w:r>
              <w:rPr>
                <w:rFonts w:hint="eastAsia"/>
                <w:kern w:val="0"/>
                <w:sz w:val="18"/>
                <w:szCs w:val="18"/>
                <w:vertAlign w:val="subscript"/>
              </w:rPr>
              <w:t>10</w:t>
            </w:r>
            <w:r>
              <w:rPr>
                <w:kern w:val="0"/>
                <w:sz w:val="18"/>
                <w:szCs w:val="18"/>
              </w:rPr>
              <w:t xml:space="preserve">  NO</w:t>
            </w:r>
            <w:r>
              <w:rPr>
                <w:kern w:val="0"/>
                <w:sz w:val="18"/>
                <w:szCs w:val="18"/>
                <w:vertAlign w:val="subscript"/>
              </w:rPr>
              <w:t>2</w:t>
            </w:r>
            <w:r>
              <w:rPr>
                <w:kern w:val="0"/>
                <w:sz w:val="18"/>
                <w:szCs w:val="18"/>
              </w:rPr>
              <w:t xml:space="preserve">  )</w:t>
            </w:r>
          </w:p>
          <w:p>
            <w:pPr>
              <w:widowControl/>
              <w:spacing w:line="260" w:lineRule="exact"/>
              <w:jc w:val="center"/>
              <w:rPr>
                <w:kern w:val="0"/>
                <w:sz w:val="18"/>
                <w:szCs w:val="18"/>
              </w:rPr>
            </w:pPr>
            <w:r>
              <w:rPr>
                <w:kern w:val="0"/>
                <w:sz w:val="18"/>
                <w:szCs w:val="18"/>
              </w:rPr>
              <w:t>其他污染物(</w:t>
            </w:r>
            <w:r>
              <w:rPr>
                <w:rFonts w:hint="eastAsia"/>
                <w:kern w:val="0"/>
                <w:sz w:val="18"/>
                <w:szCs w:val="18"/>
              </w:rPr>
              <w:t>NH</w:t>
            </w:r>
            <w:r>
              <w:rPr>
                <w:rFonts w:hint="eastAsia"/>
                <w:kern w:val="0"/>
                <w:sz w:val="18"/>
                <w:szCs w:val="18"/>
                <w:vertAlign w:val="subscript"/>
              </w:rPr>
              <w:t>3</w:t>
            </w:r>
            <w:r>
              <w:rPr>
                <w:rFonts w:hint="eastAsia"/>
                <w:kern w:val="0"/>
                <w:sz w:val="18"/>
                <w:szCs w:val="18"/>
              </w:rPr>
              <w:t>、H</w:t>
            </w:r>
            <w:r>
              <w:rPr>
                <w:rFonts w:hint="eastAsia"/>
                <w:kern w:val="0"/>
                <w:sz w:val="18"/>
                <w:szCs w:val="18"/>
                <w:vertAlign w:val="subscript"/>
              </w:rPr>
              <w:t>2</w:t>
            </w:r>
            <w:r>
              <w:rPr>
                <w:rFonts w:hint="eastAsia"/>
                <w:kern w:val="0"/>
                <w:sz w:val="18"/>
                <w:szCs w:val="18"/>
              </w:rPr>
              <w:t>S</w:t>
            </w:r>
            <w:r>
              <w:rPr>
                <w:kern w:val="0"/>
                <w:sz w:val="18"/>
                <w:szCs w:val="18"/>
              </w:rPr>
              <w:t xml:space="preserve"> )</w:t>
            </w:r>
          </w:p>
        </w:tc>
        <w:tc>
          <w:tcPr>
            <w:tcW w:w="1590" w:type="dxa"/>
            <w:gridSpan w:val="4"/>
            <w:vMerge w:val="restart"/>
            <w:vAlign w:val="center"/>
          </w:tcPr>
          <w:p>
            <w:pPr>
              <w:widowControl/>
              <w:spacing w:line="260" w:lineRule="exact"/>
              <w:jc w:val="center"/>
              <w:rPr>
                <w:kern w:val="0"/>
                <w:sz w:val="18"/>
                <w:szCs w:val="18"/>
              </w:rPr>
            </w:pPr>
            <w:r>
              <w:rPr>
                <w:kern w:val="0"/>
                <w:sz w:val="18"/>
                <w:szCs w:val="18"/>
              </w:rPr>
              <w:t>包括二次PM</w:t>
            </w:r>
            <w:r>
              <w:rPr>
                <w:kern w:val="0"/>
                <w:sz w:val="18"/>
                <w:szCs w:val="18"/>
                <w:vertAlign w:val="subscript"/>
              </w:rPr>
              <w:t>2.5</w:t>
            </w:r>
            <w:r>
              <w:rPr>
                <w:rFonts w:hint="eastAsia" w:eastAsia="MS Mincho"/>
                <w:kern w:val="0"/>
                <w:sz w:val="18"/>
                <w:szCs w:val="18"/>
              </w:rPr>
              <w:t>□</w:t>
            </w:r>
          </w:p>
          <w:p>
            <w:pPr>
              <w:widowControl/>
              <w:spacing w:line="260" w:lineRule="exact"/>
              <w:jc w:val="center"/>
              <w:rPr>
                <w:kern w:val="0"/>
                <w:sz w:val="18"/>
                <w:szCs w:val="18"/>
              </w:rPr>
            </w:pPr>
            <w:r>
              <w:rPr>
                <w:kern w:val="0"/>
                <w:sz w:val="18"/>
                <w:szCs w:val="18"/>
              </w:rPr>
              <w:t>不包括二次PM</w:t>
            </w:r>
            <w:r>
              <w:rPr>
                <w:kern w:val="0"/>
                <w:sz w:val="18"/>
                <w:szCs w:val="18"/>
                <w:vertAlign w:val="subscript"/>
              </w:rPr>
              <w:t>2.5</w:t>
            </w:r>
            <w:r>
              <w:rPr>
                <w:rFonts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739" w:type="dxa"/>
            <w:vMerge w:val="continue"/>
            <w:vAlign w:val="center"/>
          </w:tcPr>
          <w:p>
            <w:pPr>
              <w:widowControl/>
              <w:spacing w:line="260" w:lineRule="exact"/>
              <w:jc w:val="center"/>
              <w:rPr>
                <w:kern w:val="0"/>
                <w:sz w:val="18"/>
                <w:szCs w:val="18"/>
              </w:rPr>
            </w:pPr>
          </w:p>
        </w:tc>
        <w:tc>
          <w:tcPr>
            <w:tcW w:w="1354" w:type="dxa"/>
            <w:vMerge w:val="continue"/>
            <w:vAlign w:val="center"/>
          </w:tcPr>
          <w:p>
            <w:pPr>
              <w:widowControl/>
              <w:spacing w:line="260" w:lineRule="exact"/>
              <w:jc w:val="center"/>
              <w:rPr>
                <w:kern w:val="0"/>
                <w:sz w:val="18"/>
                <w:szCs w:val="18"/>
              </w:rPr>
            </w:pPr>
          </w:p>
        </w:tc>
        <w:tc>
          <w:tcPr>
            <w:tcW w:w="5264" w:type="dxa"/>
            <w:gridSpan w:val="14"/>
            <w:vMerge w:val="continue"/>
            <w:vAlign w:val="center"/>
          </w:tcPr>
          <w:p>
            <w:pPr>
              <w:widowControl/>
              <w:spacing w:line="260" w:lineRule="exact"/>
              <w:jc w:val="center"/>
              <w:rPr>
                <w:kern w:val="0"/>
                <w:sz w:val="18"/>
                <w:szCs w:val="18"/>
              </w:rPr>
            </w:pPr>
          </w:p>
        </w:tc>
        <w:tc>
          <w:tcPr>
            <w:tcW w:w="1590" w:type="dxa"/>
            <w:gridSpan w:val="4"/>
            <w:vMerge w:val="continue"/>
            <w:vAlign w:val="center"/>
          </w:tcPr>
          <w:p>
            <w:pPr>
              <w:widowControl/>
              <w:spacing w:line="260" w:lineRule="exact"/>
              <w:jc w:val="center"/>
              <w:rPr>
                <w:kern w:val="0"/>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noWrap/>
            <w:vAlign w:val="center"/>
          </w:tcPr>
          <w:p>
            <w:pPr>
              <w:widowControl/>
              <w:spacing w:line="260" w:lineRule="exact"/>
              <w:jc w:val="center"/>
              <w:rPr>
                <w:kern w:val="0"/>
                <w:sz w:val="18"/>
                <w:szCs w:val="18"/>
              </w:rPr>
            </w:pPr>
            <w:r>
              <w:rPr>
                <w:kern w:val="0"/>
                <w:sz w:val="18"/>
                <w:szCs w:val="18"/>
              </w:rPr>
              <w:t>评价标准</w:t>
            </w:r>
          </w:p>
        </w:tc>
        <w:tc>
          <w:tcPr>
            <w:tcW w:w="1354" w:type="dxa"/>
            <w:noWrap/>
            <w:vAlign w:val="center"/>
          </w:tcPr>
          <w:p>
            <w:pPr>
              <w:widowControl/>
              <w:spacing w:line="260" w:lineRule="exact"/>
              <w:jc w:val="center"/>
              <w:rPr>
                <w:kern w:val="0"/>
                <w:sz w:val="18"/>
                <w:szCs w:val="18"/>
              </w:rPr>
            </w:pPr>
            <w:r>
              <w:rPr>
                <w:kern w:val="0"/>
                <w:sz w:val="18"/>
                <w:szCs w:val="18"/>
              </w:rPr>
              <w:t>评价标准</w:t>
            </w:r>
          </w:p>
        </w:tc>
        <w:tc>
          <w:tcPr>
            <w:tcW w:w="1890" w:type="dxa"/>
            <w:gridSpan w:val="3"/>
            <w:noWrap/>
            <w:vAlign w:val="center"/>
          </w:tcPr>
          <w:p>
            <w:pPr>
              <w:widowControl/>
              <w:spacing w:line="260" w:lineRule="exact"/>
              <w:jc w:val="center"/>
              <w:rPr>
                <w:kern w:val="0"/>
                <w:sz w:val="18"/>
                <w:szCs w:val="18"/>
              </w:rPr>
            </w:pPr>
            <w:r>
              <w:rPr>
                <w:kern w:val="0"/>
                <w:sz w:val="18"/>
                <w:szCs w:val="18"/>
              </w:rPr>
              <w:t>国家标准</w:t>
            </w:r>
            <w:r>
              <w:rPr>
                <w:rFonts w:ascii="MS Mincho" w:hAnsi="MS Mincho" w:cs="MS Mincho"/>
                <w:kern w:val="0"/>
                <w:sz w:val="18"/>
                <w:szCs w:val="18"/>
              </w:rPr>
              <w:t>✔</w:t>
            </w:r>
          </w:p>
        </w:tc>
        <w:tc>
          <w:tcPr>
            <w:tcW w:w="1772" w:type="dxa"/>
            <w:gridSpan w:val="7"/>
            <w:noWrap/>
            <w:vAlign w:val="center"/>
          </w:tcPr>
          <w:p>
            <w:pPr>
              <w:widowControl/>
              <w:spacing w:line="260" w:lineRule="exact"/>
              <w:jc w:val="center"/>
              <w:rPr>
                <w:kern w:val="0"/>
                <w:sz w:val="18"/>
                <w:szCs w:val="18"/>
              </w:rPr>
            </w:pPr>
            <w:r>
              <w:rPr>
                <w:kern w:val="0"/>
                <w:sz w:val="18"/>
                <w:szCs w:val="18"/>
              </w:rPr>
              <w:t>地方标准</w:t>
            </w:r>
            <w:r>
              <w:rPr>
                <w:rFonts w:hint="eastAsia" w:eastAsia="MS Mincho"/>
                <w:kern w:val="0"/>
                <w:sz w:val="18"/>
                <w:szCs w:val="18"/>
              </w:rPr>
              <w:t>□</w:t>
            </w:r>
          </w:p>
        </w:tc>
        <w:tc>
          <w:tcPr>
            <w:tcW w:w="1602" w:type="dxa"/>
            <w:gridSpan w:val="4"/>
            <w:noWrap/>
            <w:vAlign w:val="center"/>
          </w:tcPr>
          <w:p>
            <w:pPr>
              <w:widowControl/>
              <w:spacing w:line="260" w:lineRule="exact"/>
              <w:jc w:val="center"/>
              <w:rPr>
                <w:kern w:val="0"/>
                <w:sz w:val="18"/>
                <w:szCs w:val="18"/>
              </w:rPr>
            </w:pPr>
            <w:r>
              <w:rPr>
                <w:kern w:val="0"/>
                <w:sz w:val="18"/>
                <w:szCs w:val="18"/>
              </w:rPr>
              <w:t>附录D</w:t>
            </w:r>
            <w:r>
              <w:rPr>
                <w:rFonts w:ascii="MS Mincho" w:hAnsi="MS Mincho" w:cs="MS Mincho"/>
                <w:kern w:val="0"/>
                <w:sz w:val="18"/>
                <w:szCs w:val="18"/>
              </w:rPr>
              <w:t>✔</w:t>
            </w:r>
          </w:p>
        </w:tc>
        <w:tc>
          <w:tcPr>
            <w:tcW w:w="1590" w:type="dxa"/>
            <w:gridSpan w:val="4"/>
            <w:noWrap/>
            <w:vAlign w:val="center"/>
          </w:tcPr>
          <w:p>
            <w:pPr>
              <w:widowControl/>
              <w:spacing w:line="260" w:lineRule="exact"/>
              <w:jc w:val="center"/>
              <w:rPr>
                <w:kern w:val="0"/>
                <w:sz w:val="18"/>
                <w:szCs w:val="18"/>
              </w:rPr>
            </w:pPr>
            <w:r>
              <w:rPr>
                <w:kern w:val="0"/>
                <w:sz w:val="18"/>
                <w:szCs w:val="18"/>
              </w:rPr>
              <w:t>其他标准</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restart"/>
            <w:noWrap/>
            <w:vAlign w:val="center"/>
          </w:tcPr>
          <w:p>
            <w:pPr>
              <w:widowControl/>
              <w:spacing w:line="260" w:lineRule="exact"/>
              <w:jc w:val="center"/>
              <w:rPr>
                <w:kern w:val="0"/>
                <w:sz w:val="18"/>
                <w:szCs w:val="18"/>
              </w:rPr>
            </w:pPr>
            <w:r>
              <w:rPr>
                <w:kern w:val="0"/>
                <w:sz w:val="18"/>
                <w:szCs w:val="18"/>
              </w:rPr>
              <w:t>现状评价</w:t>
            </w:r>
          </w:p>
        </w:tc>
        <w:tc>
          <w:tcPr>
            <w:tcW w:w="1354" w:type="dxa"/>
            <w:noWrap/>
            <w:vAlign w:val="center"/>
          </w:tcPr>
          <w:p>
            <w:pPr>
              <w:widowControl/>
              <w:spacing w:line="260" w:lineRule="exact"/>
              <w:jc w:val="center"/>
              <w:rPr>
                <w:kern w:val="0"/>
                <w:sz w:val="18"/>
                <w:szCs w:val="18"/>
              </w:rPr>
            </w:pPr>
            <w:r>
              <w:rPr>
                <w:kern w:val="0"/>
                <w:sz w:val="18"/>
                <w:szCs w:val="18"/>
              </w:rPr>
              <w:t>环境功能区</w:t>
            </w:r>
          </w:p>
        </w:tc>
        <w:tc>
          <w:tcPr>
            <w:tcW w:w="1890" w:type="dxa"/>
            <w:gridSpan w:val="3"/>
            <w:noWrap/>
            <w:vAlign w:val="center"/>
          </w:tcPr>
          <w:p>
            <w:pPr>
              <w:widowControl/>
              <w:spacing w:line="260" w:lineRule="exact"/>
              <w:jc w:val="center"/>
              <w:rPr>
                <w:kern w:val="0"/>
                <w:sz w:val="18"/>
                <w:szCs w:val="18"/>
              </w:rPr>
            </w:pPr>
            <w:r>
              <w:rPr>
                <w:kern w:val="0"/>
                <w:sz w:val="18"/>
                <w:szCs w:val="18"/>
              </w:rPr>
              <w:t>一类区</w:t>
            </w:r>
            <w:r>
              <w:rPr>
                <w:rFonts w:hint="eastAsia" w:eastAsia="MS Mincho"/>
                <w:kern w:val="0"/>
                <w:sz w:val="18"/>
                <w:szCs w:val="18"/>
              </w:rPr>
              <w:t>□</w:t>
            </w:r>
          </w:p>
        </w:tc>
        <w:tc>
          <w:tcPr>
            <w:tcW w:w="1772" w:type="dxa"/>
            <w:gridSpan w:val="7"/>
            <w:noWrap/>
            <w:vAlign w:val="center"/>
          </w:tcPr>
          <w:p>
            <w:pPr>
              <w:widowControl/>
              <w:spacing w:line="260" w:lineRule="exact"/>
              <w:jc w:val="center"/>
              <w:rPr>
                <w:kern w:val="0"/>
                <w:sz w:val="18"/>
                <w:szCs w:val="18"/>
              </w:rPr>
            </w:pPr>
            <w:r>
              <w:rPr>
                <w:kern w:val="0"/>
                <w:sz w:val="18"/>
                <w:szCs w:val="18"/>
              </w:rPr>
              <w:t>二类区</w:t>
            </w:r>
            <w:r>
              <w:rPr>
                <w:rFonts w:ascii="MS Mincho" w:hAnsi="MS Mincho" w:cs="MS Mincho"/>
                <w:kern w:val="0"/>
                <w:sz w:val="18"/>
                <w:szCs w:val="18"/>
              </w:rPr>
              <w:t>✔</w:t>
            </w:r>
          </w:p>
        </w:tc>
        <w:tc>
          <w:tcPr>
            <w:tcW w:w="3192" w:type="dxa"/>
            <w:gridSpan w:val="8"/>
            <w:noWrap/>
            <w:vAlign w:val="center"/>
          </w:tcPr>
          <w:p>
            <w:pPr>
              <w:widowControl/>
              <w:spacing w:line="260" w:lineRule="exact"/>
              <w:jc w:val="center"/>
              <w:rPr>
                <w:kern w:val="0"/>
                <w:sz w:val="18"/>
                <w:szCs w:val="18"/>
              </w:rPr>
            </w:pPr>
            <w:r>
              <w:rPr>
                <w:kern w:val="0"/>
                <w:sz w:val="18"/>
                <w:szCs w:val="18"/>
              </w:rPr>
              <w:t>一类区和二类区</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noWrap/>
            <w:vAlign w:val="center"/>
          </w:tcPr>
          <w:p>
            <w:pPr>
              <w:widowControl/>
              <w:spacing w:line="260" w:lineRule="exact"/>
              <w:jc w:val="center"/>
              <w:rPr>
                <w:kern w:val="0"/>
                <w:sz w:val="18"/>
                <w:szCs w:val="18"/>
              </w:rPr>
            </w:pPr>
            <w:r>
              <w:rPr>
                <w:kern w:val="0"/>
                <w:sz w:val="18"/>
                <w:szCs w:val="18"/>
              </w:rPr>
              <w:t>评价基准年</w:t>
            </w:r>
          </w:p>
        </w:tc>
        <w:tc>
          <w:tcPr>
            <w:tcW w:w="6854" w:type="dxa"/>
            <w:gridSpan w:val="18"/>
            <w:noWrap/>
            <w:vAlign w:val="center"/>
          </w:tcPr>
          <w:p>
            <w:pPr>
              <w:widowControl/>
              <w:spacing w:line="260" w:lineRule="exact"/>
              <w:jc w:val="center"/>
              <w:rPr>
                <w:kern w:val="0"/>
                <w:sz w:val="18"/>
                <w:szCs w:val="18"/>
              </w:rPr>
            </w:pPr>
            <w:r>
              <w:rPr>
                <w:kern w:val="0"/>
                <w:sz w:val="18"/>
                <w:szCs w:val="18"/>
              </w:rPr>
              <w:t>( 2018 )年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vAlign w:val="center"/>
          </w:tcPr>
          <w:p>
            <w:pPr>
              <w:widowControl/>
              <w:spacing w:line="260" w:lineRule="exact"/>
              <w:jc w:val="center"/>
              <w:rPr>
                <w:kern w:val="0"/>
                <w:sz w:val="18"/>
                <w:szCs w:val="18"/>
              </w:rPr>
            </w:pPr>
            <w:r>
              <w:rPr>
                <w:kern w:val="0"/>
                <w:sz w:val="18"/>
                <w:szCs w:val="18"/>
              </w:rPr>
              <w:t>环境空气质量</w:t>
            </w:r>
          </w:p>
          <w:p>
            <w:pPr>
              <w:widowControl/>
              <w:spacing w:line="260" w:lineRule="exact"/>
              <w:jc w:val="center"/>
              <w:rPr>
                <w:kern w:val="0"/>
                <w:sz w:val="18"/>
                <w:szCs w:val="18"/>
              </w:rPr>
            </w:pPr>
            <w:r>
              <w:rPr>
                <w:kern w:val="0"/>
                <w:sz w:val="18"/>
                <w:szCs w:val="18"/>
              </w:rPr>
              <w:t>现状调查数据来源</w:t>
            </w:r>
          </w:p>
        </w:tc>
        <w:tc>
          <w:tcPr>
            <w:tcW w:w="2693" w:type="dxa"/>
            <w:gridSpan w:val="5"/>
            <w:noWrap/>
            <w:vAlign w:val="center"/>
          </w:tcPr>
          <w:p>
            <w:pPr>
              <w:widowControl/>
              <w:spacing w:line="260" w:lineRule="exact"/>
              <w:jc w:val="center"/>
              <w:rPr>
                <w:kern w:val="0"/>
                <w:sz w:val="18"/>
                <w:szCs w:val="18"/>
              </w:rPr>
            </w:pPr>
            <w:r>
              <w:rPr>
                <w:kern w:val="0"/>
                <w:sz w:val="18"/>
                <w:szCs w:val="18"/>
              </w:rPr>
              <w:t>长期例行监测数据</w:t>
            </w:r>
            <w:r>
              <w:rPr>
                <w:rFonts w:hint="eastAsia" w:eastAsia="MS Mincho"/>
                <w:kern w:val="0"/>
                <w:sz w:val="18"/>
                <w:szCs w:val="18"/>
              </w:rPr>
              <w:t>□</w:t>
            </w:r>
          </w:p>
        </w:tc>
        <w:tc>
          <w:tcPr>
            <w:tcW w:w="2571" w:type="dxa"/>
            <w:gridSpan w:val="9"/>
            <w:noWrap/>
            <w:vAlign w:val="center"/>
          </w:tcPr>
          <w:p>
            <w:pPr>
              <w:widowControl/>
              <w:spacing w:line="260" w:lineRule="exact"/>
              <w:jc w:val="center"/>
              <w:rPr>
                <w:kern w:val="0"/>
                <w:sz w:val="18"/>
                <w:szCs w:val="18"/>
              </w:rPr>
            </w:pPr>
            <w:r>
              <w:rPr>
                <w:kern w:val="0"/>
                <w:sz w:val="18"/>
                <w:szCs w:val="18"/>
              </w:rPr>
              <w:t>主管部门发布的数据</w:t>
            </w:r>
            <w:r>
              <w:rPr>
                <w:rFonts w:ascii="MS Mincho" w:hAnsi="MS Mincho" w:cs="MS Mincho"/>
                <w:kern w:val="0"/>
                <w:sz w:val="18"/>
                <w:szCs w:val="18"/>
              </w:rPr>
              <w:t>✔</w:t>
            </w:r>
          </w:p>
        </w:tc>
        <w:tc>
          <w:tcPr>
            <w:tcW w:w="1590" w:type="dxa"/>
            <w:gridSpan w:val="4"/>
            <w:noWrap/>
            <w:vAlign w:val="center"/>
          </w:tcPr>
          <w:p>
            <w:pPr>
              <w:widowControl/>
              <w:spacing w:line="260" w:lineRule="exact"/>
              <w:jc w:val="center"/>
              <w:rPr>
                <w:kern w:val="0"/>
                <w:sz w:val="18"/>
                <w:szCs w:val="18"/>
              </w:rPr>
            </w:pPr>
            <w:r>
              <w:rPr>
                <w:kern w:val="0"/>
                <w:sz w:val="18"/>
                <w:szCs w:val="18"/>
              </w:rPr>
              <w:t>现状补充监测</w:t>
            </w:r>
            <w:r>
              <w:rPr>
                <w:rFonts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noWrap/>
            <w:vAlign w:val="center"/>
          </w:tcPr>
          <w:p>
            <w:pPr>
              <w:widowControl/>
              <w:spacing w:line="260" w:lineRule="exact"/>
              <w:jc w:val="center"/>
              <w:rPr>
                <w:kern w:val="0"/>
                <w:sz w:val="18"/>
                <w:szCs w:val="18"/>
              </w:rPr>
            </w:pPr>
            <w:r>
              <w:rPr>
                <w:kern w:val="0"/>
                <w:sz w:val="18"/>
                <w:szCs w:val="18"/>
              </w:rPr>
              <w:t>现状评价</w:t>
            </w:r>
          </w:p>
        </w:tc>
        <w:tc>
          <w:tcPr>
            <w:tcW w:w="3685" w:type="dxa"/>
            <w:gridSpan w:val="11"/>
            <w:noWrap/>
            <w:vAlign w:val="center"/>
          </w:tcPr>
          <w:p>
            <w:pPr>
              <w:widowControl/>
              <w:spacing w:line="260" w:lineRule="exact"/>
              <w:jc w:val="center"/>
              <w:rPr>
                <w:kern w:val="0"/>
                <w:sz w:val="18"/>
                <w:szCs w:val="18"/>
              </w:rPr>
            </w:pPr>
            <w:r>
              <w:rPr>
                <w:kern w:val="0"/>
                <w:sz w:val="18"/>
                <w:szCs w:val="18"/>
              </w:rPr>
              <w:t>达标区</w:t>
            </w:r>
            <w:r>
              <w:rPr>
                <w:rFonts w:hint="eastAsia" w:eastAsia="MS Mincho"/>
                <w:kern w:val="0"/>
                <w:sz w:val="18"/>
                <w:szCs w:val="18"/>
              </w:rPr>
              <w:t>□</w:t>
            </w:r>
          </w:p>
        </w:tc>
        <w:tc>
          <w:tcPr>
            <w:tcW w:w="3169" w:type="dxa"/>
            <w:gridSpan w:val="7"/>
            <w:noWrap/>
            <w:vAlign w:val="center"/>
          </w:tcPr>
          <w:p>
            <w:pPr>
              <w:widowControl/>
              <w:spacing w:line="260" w:lineRule="exact"/>
              <w:jc w:val="center"/>
              <w:rPr>
                <w:kern w:val="0"/>
                <w:sz w:val="18"/>
                <w:szCs w:val="18"/>
              </w:rPr>
            </w:pPr>
            <w:r>
              <w:rPr>
                <w:kern w:val="0"/>
                <w:sz w:val="18"/>
                <w:szCs w:val="18"/>
              </w:rPr>
              <w:t>不达标区</w:t>
            </w:r>
            <w:r>
              <w:rPr>
                <w:rFonts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739" w:type="dxa"/>
            <w:vMerge w:val="restart"/>
            <w:noWrap/>
            <w:vAlign w:val="center"/>
          </w:tcPr>
          <w:p>
            <w:pPr>
              <w:widowControl/>
              <w:spacing w:line="260" w:lineRule="exact"/>
              <w:jc w:val="center"/>
              <w:rPr>
                <w:kern w:val="0"/>
                <w:sz w:val="18"/>
                <w:szCs w:val="18"/>
              </w:rPr>
            </w:pPr>
            <w:r>
              <w:rPr>
                <w:kern w:val="0"/>
                <w:sz w:val="18"/>
                <w:szCs w:val="18"/>
              </w:rPr>
              <w:t>污染源</w:t>
            </w:r>
          </w:p>
          <w:p>
            <w:pPr>
              <w:widowControl/>
              <w:spacing w:line="260" w:lineRule="exact"/>
              <w:jc w:val="center"/>
              <w:rPr>
                <w:kern w:val="0"/>
                <w:sz w:val="18"/>
                <w:szCs w:val="18"/>
              </w:rPr>
            </w:pPr>
            <w:r>
              <w:rPr>
                <w:kern w:val="0"/>
                <w:sz w:val="18"/>
                <w:szCs w:val="18"/>
              </w:rPr>
              <w:t>调查</w:t>
            </w:r>
          </w:p>
        </w:tc>
        <w:tc>
          <w:tcPr>
            <w:tcW w:w="1354" w:type="dxa"/>
            <w:vMerge w:val="restart"/>
            <w:noWrap/>
            <w:vAlign w:val="center"/>
          </w:tcPr>
          <w:p>
            <w:pPr>
              <w:widowControl/>
              <w:spacing w:line="260" w:lineRule="exact"/>
              <w:jc w:val="center"/>
              <w:rPr>
                <w:kern w:val="0"/>
                <w:sz w:val="18"/>
                <w:szCs w:val="18"/>
              </w:rPr>
            </w:pPr>
            <w:r>
              <w:rPr>
                <w:kern w:val="0"/>
                <w:sz w:val="18"/>
                <w:szCs w:val="18"/>
              </w:rPr>
              <w:t>调查内容</w:t>
            </w:r>
          </w:p>
        </w:tc>
        <w:tc>
          <w:tcPr>
            <w:tcW w:w="2126" w:type="dxa"/>
            <w:gridSpan w:val="4"/>
            <w:vMerge w:val="restart"/>
            <w:vAlign w:val="center"/>
          </w:tcPr>
          <w:p>
            <w:pPr>
              <w:widowControl/>
              <w:spacing w:line="260" w:lineRule="exact"/>
              <w:rPr>
                <w:kern w:val="0"/>
                <w:sz w:val="18"/>
                <w:szCs w:val="18"/>
              </w:rPr>
            </w:pPr>
            <w:r>
              <w:rPr>
                <w:kern w:val="0"/>
                <w:sz w:val="18"/>
                <w:szCs w:val="18"/>
              </w:rPr>
              <w:t>本项目正常排放源</w:t>
            </w:r>
            <w:r>
              <w:rPr>
                <w:rFonts w:ascii="MS Mincho" w:hAnsi="MS Mincho" w:cs="MS Mincho"/>
                <w:kern w:val="0"/>
                <w:sz w:val="18"/>
                <w:szCs w:val="18"/>
              </w:rPr>
              <w:t>✔</w:t>
            </w:r>
          </w:p>
          <w:p>
            <w:pPr>
              <w:widowControl/>
              <w:spacing w:line="260" w:lineRule="exact"/>
              <w:rPr>
                <w:kern w:val="0"/>
                <w:sz w:val="18"/>
                <w:szCs w:val="18"/>
              </w:rPr>
            </w:pPr>
            <w:r>
              <w:rPr>
                <w:kern w:val="0"/>
                <w:sz w:val="18"/>
                <w:szCs w:val="18"/>
              </w:rPr>
              <w:t>本项目非正常排放源</w:t>
            </w:r>
            <w:r>
              <w:rPr>
                <w:rFonts w:hint="eastAsia" w:eastAsia="MS Mincho"/>
                <w:kern w:val="0"/>
                <w:sz w:val="18"/>
                <w:szCs w:val="18"/>
              </w:rPr>
              <w:t>□</w:t>
            </w:r>
          </w:p>
          <w:p>
            <w:pPr>
              <w:widowControl/>
              <w:spacing w:line="260" w:lineRule="exact"/>
              <w:rPr>
                <w:kern w:val="0"/>
                <w:sz w:val="18"/>
                <w:szCs w:val="18"/>
              </w:rPr>
            </w:pPr>
            <w:r>
              <w:rPr>
                <w:kern w:val="0"/>
                <w:sz w:val="18"/>
                <w:szCs w:val="18"/>
              </w:rPr>
              <w:t>现有污染源</w:t>
            </w:r>
            <w:r>
              <w:rPr>
                <w:rFonts w:hint="eastAsia" w:eastAsia="MS Mincho"/>
                <w:kern w:val="0"/>
                <w:sz w:val="18"/>
                <w:szCs w:val="18"/>
              </w:rPr>
              <w:t>□</w:t>
            </w:r>
          </w:p>
        </w:tc>
        <w:tc>
          <w:tcPr>
            <w:tcW w:w="1559" w:type="dxa"/>
            <w:gridSpan w:val="7"/>
            <w:vMerge w:val="restart"/>
            <w:noWrap/>
            <w:vAlign w:val="center"/>
          </w:tcPr>
          <w:p>
            <w:pPr>
              <w:widowControl/>
              <w:spacing w:line="260" w:lineRule="exact"/>
              <w:jc w:val="center"/>
              <w:rPr>
                <w:kern w:val="0"/>
                <w:sz w:val="18"/>
                <w:szCs w:val="18"/>
              </w:rPr>
            </w:pPr>
            <w:r>
              <w:rPr>
                <w:kern w:val="0"/>
                <w:sz w:val="18"/>
                <w:szCs w:val="18"/>
              </w:rPr>
              <w:t>拟替代的污染源</w:t>
            </w:r>
            <w:r>
              <w:rPr>
                <w:rFonts w:hint="eastAsia" w:eastAsia="MS Mincho"/>
                <w:kern w:val="0"/>
                <w:sz w:val="18"/>
                <w:szCs w:val="18"/>
              </w:rPr>
              <w:t>□</w:t>
            </w:r>
          </w:p>
        </w:tc>
        <w:tc>
          <w:tcPr>
            <w:tcW w:w="1560" w:type="dxa"/>
            <w:gridSpan w:val="2"/>
            <w:vMerge w:val="restart"/>
            <w:vAlign w:val="center"/>
          </w:tcPr>
          <w:p>
            <w:pPr>
              <w:widowControl/>
              <w:spacing w:line="260" w:lineRule="exact"/>
              <w:jc w:val="center"/>
              <w:rPr>
                <w:kern w:val="0"/>
                <w:sz w:val="18"/>
                <w:szCs w:val="18"/>
              </w:rPr>
            </w:pPr>
            <w:r>
              <w:rPr>
                <w:kern w:val="0"/>
                <w:sz w:val="18"/>
                <w:szCs w:val="18"/>
              </w:rPr>
              <w:t>其他在建、拟建项目污染源</w:t>
            </w:r>
            <w:r>
              <w:rPr>
                <w:rFonts w:hint="eastAsia" w:eastAsia="MS Mincho"/>
                <w:kern w:val="0"/>
                <w:sz w:val="18"/>
                <w:szCs w:val="18"/>
              </w:rPr>
              <w:t>□</w:t>
            </w:r>
          </w:p>
        </w:tc>
        <w:tc>
          <w:tcPr>
            <w:tcW w:w="1609" w:type="dxa"/>
            <w:gridSpan w:val="5"/>
            <w:vMerge w:val="restart"/>
            <w:noWrap/>
            <w:vAlign w:val="center"/>
          </w:tcPr>
          <w:p>
            <w:pPr>
              <w:widowControl/>
              <w:spacing w:line="260" w:lineRule="exact"/>
              <w:jc w:val="center"/>
              <w:rPr>
                <w:kern w:val="0"/>
                <w:sz w:val="18"/>
                <w:szCs w:val="18"/>
              </w:rPr>
            </w:pPr>
            <w:r>
              <w:rPr>
                <w:kern w:val="0"/>
                <w:sz w:val="18"/>
                <w:szCs w:val="18"/>
              </w:rPr>
              <w:t>区域污染源</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739" w:type="dxa"/>
            <w:vMerge w:val="continue"/>
            <w:vAlign w:val="center"/>
          </w:tcPr>
          <w:p>
            <w:pPr>
              <w:widowControl/>
              <w:spacing w:line="260" w:lineRule="exact"/>
              <w:jc w:val="center"/>
              <w:rPr>
                <w:kern w:val="0"/>
                <w:sz w:val="18"/>
                <w:szCs w:val="18"/>
              </w:rPr>
            </w:pPr>
          </w:p>
        </w:tc>
        <w:tc>
          <w:tcPr>
            <w:tcW w:w="1354" w:type="dxa"/>
            <w:vMerge w:val="continue"/>
            <w:vAlign w:val="center"/>
          </w:tcPr>
          <w:p>
            <w:pPr>
              <w:widowControl/>
              <w:spacing w:line="260" w:lineRule="exact"/>
              <w:jc w:val="center"/>
              <w:rPr>
                <w:kern w:val="0"/>
                <w:sz w:val="18"/>
                <w:szCs w:val="18"/>
              </w:rPr>
            </w:pPr>
          </w:p>
        </w:tc>
        <w:tc>
          <w:tcPr>
            <w:tcW w:w="2126" w:type="dxa"/>
            <w:gridSpan w:val="4"/>
            <w:vMerge w:val="continue"/>
            <w:vAlign w:val="center"/>
          </w:tcPr>
          <w:p>
            <w:pPr>
              <w:widowControl/>
              <w:spacing w:line="260" w:lineRule="exact"/>
              <w:jc w:val="center"/>
              <w:rPr>
                <w:kern w:val="0"/>
                <w:sz w:val="18"/>
                <w:szCs w:val="18"/>
              </w:rPr>
            </w:pPr>
          </w:p>
        </w:tc>
        <w:tc>
          <w:tcPr>
            <w:tcW w:w="1559" w:type="dxa"/>
            <w:gridSpan w:val="7"/>
            <w:vMerge w:val="continue"/>
            <w:vAlign w:val="center"/>
          </w:tcPr>
          <w:p>
            <w:pPr>
              <w:widowControl/>
              <w:spacing w:line="260" w:lineRule="exact"/>
              <w:jc w:val="center"/>
              <w:rPr>
                <w:kern w:val="0"/>
                <w:sz w:val="18"/>
                <w:szCs w:val="18"/>
              </w:rPr>
            </w:pPr>
          </w:p>
        </w:tc>
        <w:tc>
          <w:tcPr>
            <w:tcW w:w="1560" w:type="dxa"/>
            <w:gridSpan w:val="2"/>
            <w:vMerge w:val="continue"/>
            <w:vAlign w:val="center"/>
          </w:tcPr>
          <w:p>
            <w:pPr>
              <w:widowControl/>
              <w:spacing w:line="260" w:lineRule="exact"/>
              <w:jc w:val="center"/>
              <w:rPr>
                <w:kern w:val="0"/>
                <w:sz w:val="18"/>
                <w:szCs w:val="18"/>
              </w:rPr>
            </w:pPr>
          </w:p>
        </w:tc>
        <w:tc>
          <w:tcPr>
            <w:tcW w:w="1609" w:type="dxa"/>
            <w:gridSpan w:val="5"/>
            <w:vMerge w:val="continue"/>
            <w:vAlign w:val="center"/>
          </w:tcPr>
          <w:p>
            <w:pPr>
              <w:widowControl/>
              <w:spacing w:line="260" w:lineRule="exact"/>
              <w:jc w:val="center"/>
              <w:rPr>
                <w:kern w:val="0"/>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739" w:type="dxa"/>
            <w:vMerge w:val="continue"/>
            <w:vAlign w:val="center"/>
          </w:tcPr>
          <w:p>
            <w:pPr>
              <w:widowControl/>
              <w:spacing w:line="260" w:lineRule="exact"/>
              <w:jc w:val="center"/>
              <w:rPr>
                <w:kern w:val="0"/>
                <w:sz w:val="18"/>
                <w:szCs w:val="18"/>
              </w:rPr>
            </w:pPr>
          </w:p>
        </w:tc>
        <w:tc>
          <w:tcPr>
            <w:tcW w:w="1354" w:type="dxa"/>
            <w:vMerge w:val="continue"/>
            <w:vAlign w:val="center"/>
          </w:tcPr>
          <w:p>
            <w:pPr>
              <w:widowControl/>
              <w:spacing w:line="260" w:lineRule="exact"/>
              <w:jc w:val="center"/>
              <w:rPr>
                <w:kern w:val="0"/>
                <w:sz w:val="18"/>
                <w:szCs w:val="18"/>
              </w:rPr>
            </w:pPr>
          </w:p>
        </w:tc>
        <w:tc>
          <w:tcPr>
            <w:tcW w:w="2126" w:type="dxa"/>
            <w:gridSpan w:val="4"/>
            <w:vMerge w:val="continue"/>
            <w:vAlign w:val="center"/>
          </w:tcPr>
          <w:p>
            <w:pPr>
              <w:widowControl/>
              <w:spacing w:line="260" w:lineRule="exact"/>
              <w:jc w:val="center"/>
              <w:rPr>
                <w:kern w:val="0"/>
                <w:sz w:val="18"/>
                <w:szCs w:val="18"/>
              </w:rPr>
            </w:pPr>
          </w:p>
        </w:tc>
        <w:tc>
          <w:tcPr>
            <w:tcW w:w="1559" w:type="dxa"/>
            <w:gridSpan w:val="7"/>
            <w:vMerge w:val="continue"/>
            <w:vAlign w:val="center"/>
          </w:tcPr>
          <w:p>
            <w:pPr>
              <w:widowControl/>
              <w:spacing w:line="260" w:lineRule="exact"/>
              <w:jc w:val="center"/>
              <w:rPr>
                <w:kern w:val="0"/>
                <w:sz w:val="18"/>
                <w:szCs w:val="18"/>
              </w:rPr>
            </w:pPr>
          </w:p>
        </w:tc>
        <w:tc>
          <w:tcPr>
            <w:tcW w:w="1560" w:type="dxa"/>
            <w:gridSpan w:val="2"/>
            <w:vMerge w:val="continue"/>
            <w:vAlign w:val="center"/>
          </w:tcPr>
          <w:p>
            <w:pPr>
              <w:widowControl/>
              <w:spacing w:line="260" w:lineRule="exact"/>
              <w:jc w:val="center"/>
              <w:rPr>
                <w:kern w:val="0"/>
                <w:sz w:val="18"/>
                <w:szCs w:val="18"/>
              </w:rPr>
            </w:pPr>
          </w:p>
        </w:tc>
        <w:tc>
          <w:tcPr>
            <w:tcW w:w="1609" w:type="dxa"/>
            <w:gridSpan w:val="5"/>
            <w:vMerge w:val="continue"/>
            <w:vAlign w:val="center"/>
          </w:tcPr>
          <w:p>
            <w:pPr>
              <w:widowControl/>
              <w:spacing w:line="260" w:lineRule="exact"/>
              <w:jc w:val="center"/>
              <w:rPr>
                <w:kern w:val="0"/>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restart"/>
            <w:vAlign w:val="center"/>
          </w:tcPr>
          <w:p>
            <w:pPr>
              <w:widowControl/>
              <w:spacing w:line="260" w:lineRule="exact"/>
              <w:jc w:val="center"/>
              <w:rPr>
                <w:kern w:val="0"/>
                <w:sz w:val="18"/>
                <w:szCs w:val="18"/>
              </w:rPr>
            </w:pPr>
            <w:r>
              <w:rPr>
                <w:kern w:val="0"/>
                <w:sz w:val="18"/>
                <w:szCs w:val="18"/>
              </w:rPr>
              <w:t>大气环境影响预测与评价</w:t>
            </w:r>
          </w:p>
        </w:tc>
        <w:tc>
          <w:tcPr>
            <w:tcW w:w="1354" w:type="dxa"/>
            <w:vAlign w:val="center"/>
          </w:tcPr>
          <w:p>
            <w:pPr>
              <w:widowControl/>
              <w:spacing w:line="260" w:lineRule="exact"/>
              <w:jc w:val="center"/>
              <w:rPr>
                <w:kern w:val="0"/>
                <w:sz w:val="18"/>
                <w:szCs w:val="18"/>
              </w:rPr>
            </w:pPr>
            <w:r>
              <w:rPr>
                <w:kern w:val="0"/>
                <w:sz w:val="18"/>
                <w:szCs w:val="18"/>
              </w:rPr>
              <w:t>预测模型</w:t>
            </w:r>
          </w:p>
        </w:tc>
        <w:tc>
          <w:tcPr>
            <w:tcW w:w="1056" w:type="dxa"/>
            <w:vAlign w:val="center"/>
          </w:tcPr>
          <w:p>
            <w:pPr>
              <w:widowControl/>
              <w:spacing w:line="260" w:lineRule="exact"/>
              <w:jc w:val="center"/>
              <w:rPr>
                <w:kern w:val="0"/>
                <w:sz w:val="16"/>
                <w:szCs w:val="16"/>
              </w:rPr>
            </w:pPr>
            <w:r>
              <w:rPr>
                <w:kern w:val="0"/>
                <w:sz w:val="16"/>
                <w:szCs w:val="16"/>
              </w:rPr>
              <w:t>AERMOD</w:t>
            </w:r>
            <w:r>
              <w:rPr>
                <w:rFonts w:hint="eastAsia" w:eastAsia="MS Mincho"/>
                <w:kern w:val="0"/>
                <w:sz w:val="18"/>
                <w:szCs w:val="18"/>
              </w:rPr>
              <w:sym w:font="Wingdings 2" w:char="00A3"/>
            </w:r>
          </w:p>
        </w:tc>
        <w:tc>
          <w:tcPr>
            <w:tcW w:w="1070" w:type="dxa"/>
            <w:gridSpan w:val="3"/>
            <w:vAlign w:val="center"/>
          </w:tcPr>
          <w:p>
            <w:pPr>
              <w:widowControl/>
              <w:spacing w:line="260" w:lineRule="exact"/>
              <w:jc w:val="center"/>
              <w:rPr>
                <w:kern w:val="0"/>
                <w:sz w:val="16"/>
                <w:szCs w:val="16"/>
              </w:rPr>
            </w:pPr>
            <w:r>
              <w:rPr>
                <w:kern w:val="0"/>
                <w:sz w:val="16"/>
                <w:szCs w:val="16"/>
              </w:rPr>
              <w:t>ADMS</w:t>
            </w:r>
          </w:p>
          <w:p>
            <w:pPr>
              <w:widowControl/>
              <w:spacing w:line="260" w:lineRule="exact"/>
              <w:jc w:val="center"/>
              <w:rPr>
                <w:kern w:val="0"/>
                <w:sz w:val="16"/>
                <w:szCs w:val="16"/>
              </w:rPr>
            </w:pPr>
            <w:r>
              <w:rPr>
                <w:rFonts w:hint="eastAsia" w:eastAsia="MS Mincho"/>
                <w:kern w:val="0"/>
                <w:sz w:val="18"/>
                <w:szCs w:val="18"/>
              </w:rPr>
              <w:t>□</w:t>
            </w:r>
          </w:p>
        </w:tc>
        <w:tc>
          <w:tcPr>
            <w:tcW w:w="1060" w:type="dxa"/>
            <w:gridSpan w:val="4"/>
            <w:vAlign w:val="center"/>
          </w:tcPr>
          <w:p>
            <w:pPr>
              <w:widowControl/>
              <w:spacing w:line="260" w:lineRule="exact"/>
              <w:jc w:val="center"/>
              <w:rPr>
                <w:kern w:val="0"/>
                <w:sz w:val="16"/>
                <w:szCs w:val="16"/>
              </w:rPr>
            </w:pPr>
            <w:r>
              <w:rPr>
                <w:kern w:val="0"/>
                <w:sz w:val="16"/>
                <w:szCs w:val="16"/>
              </w:rPr>
              <w:t>AUSTAL2000</w:t>
            </w:r>
            <w:r>
              <w:rPr>
                <w:rFonts w:hint="eastAsia" w:eastAsia="MS Mincho"/>
                <w:kern w:val="0"/>
                <w:sz w:val="18"/>
                <w:szCs w:val="18"/>
              </w:rPr>
              <w:t>□</w:t>
            </w:r>
          </w:p>
        </w:tc>
        <w:tc>
          <w:tcPr>
            <w:tcW w:w="1208" w:type="dxa"/>
            <w:gridSpan w:val="4"/>
            <w:vAlign w:val="center"/>
          </w:tcPr>
          <w:p>
            <w:pPr>
              <w:widowControl/>
              <w:spacing w:line="260" w:lineRule="exact"/>
              <w:jc w:val="center"/>
              <w:rPr>
                <w:kern w:val="0"/>
                <w:sz w:val="16"/>
                <w:szCs w:val="16"/>
              </w:rPr>
            </w:pPr>
            <w:r>
              <w:rPr>
                <w:kern w:val="0"/>
                <w:sz w:val="16"/>
                <w:szCs w:val="16"/>
              </w:rPr>
              <w:t>EDMS/AEDT</w:t>
            </w:r>
            <w:r>
              <w:rPr>
                <w:rFonts w:hint="eastAsia" w:eastAsia="MS Mincho"/>
                <w:kern w:val="0"/>
                <w:sz w:val="18"/>
                <w:szCs w:val="18"/>
              </w:rPr>
              <w:t>□</w:t>
            </w:r>
          </w:p>
        </w:tc>
        <w:tc>
          <w:tcPr>
            <w:tcW w:w="851" w:type="dxa"/>
            <w:vAlign w:val="center"/>
          </w:tcPr>
          <w:p>
            <w:pPr>
              <w:widowControl/>
              <w:spacing w:line="260" w:lineRule="exact"/>
              <w:jc w:val="center"/>
              <w:rPr>
                <w:kern w:val="0"/>
                <w:sz w:val="16"/>
                <w:szCs w:val="16"/>
              </w:rPr>
            </w:pPr>
            <w:r>
              <w:rPr>
                <w:kern w:val="0"/>
                <w:sz w:val="16"/>
                <w:szCs w:val="16"/>
              </w:rPr>
              <w:t>CALPUFF</w:t>
            </w:r>
            <w:r>
              <w:rPr>
                <w:rFonts w:hint="eastAsia" w:eastAsia="MS Mincho"/>
                <w:kern w:val="0"/>
                <w:sz w:val="18"/>
                <w:szCs w:val="18"/>
              </w:rPr>
              <w:t>□</w:t>
            </w:r>
          </w:p>
        </w:tc>
        <w:tc>
          <w:tcPr>
            <w:tcW w:w="850" w:type="dxa"/>
            <w:gridSpan w:val="3"/>
            <w:vAlign w:val="center"/>
          </w:tcPr>
          <w:p>
            <w:pPr>
              <w:widowControl/>
              <w:spacing w:line="260" w:lineRule="exact"/>
              <w:jc w:val="center"/>
              <w:rPr>
                <w:kern w:val="0"/>
                <w:sz w:val="16"/>
                <w:szCs w:val="16"/>
              </w:rPr>
            </w:pPr>
            <w:r>
              <w:rPr>
                <w:kern w:val="0"/>
                <w:sz w:val="16"/>
                <w:szCs w:val="16"/>
              </w:rPr>
              <w:t>网格模型</w:t>
            </w:r>
            <w:r>
              <w:rPr>
                <w:rFonts w:hint="eastAsia" w:eastAsia="MS Mincho"/>
                <w:kern w:val="0"/>
                <w:sz w:val="18"/>
                <w:szCs w:val="18"/>
              </w:rPr>
              <w:t>□</w:t>
            </w:r>
          </w:p>
        </w:tc>
        <w:tc>
          <w:tcPr>
            <w:tcW w:w="759" w:type="dxa"/>
            <w:gridSpan w:val="2"/>
            <w:vAlign w:val="center"/>
          </w:tcPr>
          <w:p>
            <w:pPr>
              <w:widowControl/>
              <w:spacing w:line="260" w:lineRule="exact"/>
              <w:jc w:val="center"/>
              <w:rPr>
                <w:kern w:val="0"/>
                <w:sz w:val="16"/>
                <w:szCs w:val="16"/>
              </w:rPr>
            </w:pPr>
            <w:r>
              <w:rPr>
                <w:kern w:val="0"/>
                <w:sz w:val="16"/>
                <w:szCs w:val="16"/>
              </w:rPr>
              <w:t>其他</w:t>
            </w:r>
          </w:p>
          <w:p>
            <w:pPr>
              <w:widowControl/>
              <w:spacing w:line="260" w:lineRule="exact"/>
              <w:jc w:val="center"/>
              <w:rPr>
                <w:kern w:val="0"/>
                <w:sz w:val="16"/>
                <w:szCs w:val="16"/>
              </w:rPr>
            </w:pPr>
            <w:r>
              <w:rPr>
                <w:rFonts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noWrap/>
            <w:vAlign w:val="center"/>
          </w:tcPr>
          <w:p>
            <w:pPr>
              <w:widowControl/>
              <w:spacing w:line="260" w:lineRule="exact"/>
              <w:jc w:val="center"/>
              <w:rPr>
                <w:kern w:val="0"/>
                <w:sz w:val="18"/>
                <w:szCs w:val="18"/>
              </w:rPr>
            </w:pPr>
            <w:r>
              <w:rPr>
                <w:kern w:val="0"/>
                <w:sz w:val="18"/>
                <w:szCs w:val="18"/>
              </w:rPr>
              <w:t>预测范围</w:t>
            </w:r>
          </w:p>
        </w:tc>
        <w:tc>
          <w:tcPr>
            <w:tcW w:w="2126" w:type="dxa"/>
            <w:gridSpan w:val="4"/>
            <w:noWrap/>
            <w:vAlign w:val="center"/>
          </w:tcPr>
          <w:p>
            <w:pPr>
              <w:widowControl/>
              <w:spacing w:line="260" w:lineRule="exact"/>
              <w:jc w:val="center"/>
              <w:rPr>
                <w:kern w:val="0"/>
                <w:sz w:val="18"/>
                <w:szCs w:val="18"/>
              </w:rPr>
            </w:pPr>
            <w:r>
              <w:rPr>
                <w:kern w:val="0"/>
                <w:sz w:val="18"/>
                <w:szCs w:val="18"/>
              </w:rPr>
              <w:t>边长≥50km</w:t>
            </w:r>
            <w:r>
              <w:rPr>
                <w:rFonts w:hint="eastAsia" w:eastAsia="MS Mincho"/>
                <w:kern w:val="0"/>
                <w:sz w:val="18"/>
                <w:szCs w:val="18"/>
              </w:rPr>
              <w:t>□</w:t>
            </w:r>
          </w:p>
        </w:tc>
        <w:tc>
          <w:tcPr>
            <w:tcW w:w="2268" w:type="dxa"/>
            <w:gridSpan w:val="8"/>
            <w:noWrap/>
            <w:vAlign w:val="center"/>
          </w:tcPr>
          <w:p>
            <w:pPr>
              <w:widowControl/>
              <w:spacing w:line="260" w:lineRule="exact"/>
              <w:jc w:val="center"/>
              <w:rPr>
                <w:kern w:val="0"/>
                <w:sz w:val="18"/>
                <w:szCs w:val="18"/>
              </w:rPr>
            </w:pPr>
            <w:r>
              <w:rPr>
                <w:kern w:val="0"/>
                <w:sz w:val="18"/>
                <w:szCs w:val="18"/>
              </w:rPr>
              <w:t>边长5～50km</w:t>
            </w:r>
            <w:r>
              <w:rPr>
                <w:rFonts w:hint="eastAsia" w:eastAsia="MS Mincho"/>
                <w:kern w:val="0"/>
                <w:sz w:val="18"/>
                <w:szCs w:val="18"/>
              </w:rPr>
              <w:t>□</w:t>
            </w:r>
          </w:p>
        </w:tc>
        <w:tc>
          <w:tcPr>
            <w:tcW w:w="2460" w:type="dxa"/>
            <w:gridSpan w:val="6"/>
            <w:noWrap/>
            <w:vAlign w:val="center"/>
          </w:tcPr>
          <w:p>
            <w:pPr>
              <w:widowControl/>
              <w:spacing w:line="260" w:lineRule="exact"/>
              <w:jc w:val="center"/>
              <w:rPr>
                <w:kern w:val="0"/>
                <w:sz w:val="18"/>
                <w:szCs w:val="18"/>
              </w:rPr>
            </w:pPr>
            <w:r>
              <w:rPr>
                <w:kern w:val="0"/>
                <w:sz w:val="18"/>
                <w:szCs w:val="18"/>
              </w:rPr>
              <w:t>边长=5km</w:t>
            </w:r>
            <w:r>
              <w:rPr>
                <w:rFonts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noWrap/>
            <w:vAlign w:val="center"/>
          </w:tcPr>
          <w:p>
            <w:pPr>
              <w:widowControl/>
              <w:spacing w:line="260" w:lineRule="exact"/>
              <w:jc w:val="center"/>
              <w:rPr>
                <w:kern w:val="0"/>
                <w:sz w:val="18"/>
                <w:szCs w:val="18"/>
              </w:rPr>
            </w:pPr>
            <w:r>
              <w:rPr>
                <w:kern w:val="0"/>
                <w:sz w:val="18"/>
                <w:szCs w:val="18"/>
              </w:rPr>
              <w:t>预测因子</w:t>
            </w:r>
          </w:p>
        </w:tc>
        <w:tc>
          <w:tcPr>
            <w:tcW w:w="4394" w:type="dxa"/>
            <w:gridSpan w:val="12"/>
            <w:noWrap/>
            <w:vAlign w:val="center"/>
          </w:tcPr>
          <w:p>
            <w:pPr>
              <w:widowControl/>
              <w:spacing w:line="260" w:lineRule="exact"/>
              <w:jc w:val="center"/>
              <w:rPr>
                <w:kern w:val="0"/>
                <w:sz w:val="18"/>
                <w:szCs w:val="18"/>
              </w:rPr>
            </w:pPr>
            <w:r>
              <w:rPr>
                <w:kern w:val="0"/>
                <w:sz w:val="18"/>
                <w:szCs w:val="18"/>
              </w:rPr>
              <w:t>预测因子(PM</w:t>
            </w:r>
            <w:r>
              <w:rPr>
                <w:kern w:val="0"/>
                <w:sz w:val="18"/>
                <w:szCs w:val="18"/>
                <w:vertAlign w:val="subscript"/>
              </w:rPr>
              <w:t>10</w:t>
            </w:r>
            <w:r>
              <w:rPr>
                <w:rFonts w:hint="eastAsia"/>
                <w:kern w:val="0"/>
                <w:sz w:val="18"/>
                <w:szCs w:val="18"/>
              </w:rPr>
              <w:t>、N</w:t>
            </w:r>
            <w:r>
              <w:rPr>
                <w:kern w:val="0"/>
                <w:sz w:val="18"/>
                <w:szCs w:val="18"/>
              </w:rPr>
              <w:t>O</w:t>
            </w:r>
            <w:r>
              <w:rPr>
                <w:kern w:val="0"/>
                <w:sz w:val="18"/>
                <w:szCs w:val="18"/>
                <w:vertAlign w:val="subscript"/>
              </w:rPr>
              <w:t>2</w:t>
            </w:r>
            <w:r>
              <w:rPr>
                <w:rFonts w:hint="eastAsia"/>
                <w:kern w:val="0"/>
                <w:sz w:val="18"/>
                <w:szCs w:val="18"/>
              </w:rPr>
              <w:t>、H</w:t>
            </w:r>
            <w:r>
              <w:rPr>
                <w:rFonts w:hint="eastAsia"/>
                <w:kern w:val="0"/>
                <w:sz w:val="18"/>
                <w:szCs w:val="18"/>
                <w:vertAlign w:val="subscript"/>
              </w:rPr>
              <w:t>2</w:t>
            </w:r>
            <w:r>
              <w:rPr>
                <w:rFonts w:hint="eastAsia"/>
                <w:kern w:val="0"/>
                <w:sz w:val="18"/>
                <w:szCs w:val="18"/>
              </w:rPr>
              <w:t>S、NH</w:t>
            </w:r>
            <w:r>
              <w:rPr>
                <w:rFonts w:hint="eastAsia"/>
                <w:kern w:val="0"/>
                <w:sz w:val="18"/>
                <w:szCs w:val="18"/>
                <w:vertAlign w:val="subscript"/>
              </w:rPr>
              <w:t>3</w:t>
            </w:r>
            <w:r>
              <w:rPr>
                <w:kern w:val="0"/>
                <w:sz w:val="18"/>
                <w:szCs w:val="18"/>
              </w:rPr>
              <w:t>)</w:t>
            </w:r>
          </w:p>
        </w:tc>
        <w:tc>
          <w:tcPr>
            <w:tcW w:w="2460" w:type="dxa"/>
            <w:gridSpan w:val="6"/>
            <w:vAlign w:val="center"/>
          </w:tcPr>
          <w:p>
            <w:pPr>
              <w:widowControl/>
              <w:spacing w:line="260" w:lineRule="exact"/>
              <w:jc w:val="center"/>
              <w:rPr>
                <w:kern w:val="0"/>
                <w:sz w:val="18"/>
                <w:szCs w:val="18"/>
              </w:rPr>
            </w:pPr>
            <w:r>
              <w:rPr>
                <w:kern w:val="0"/>
                <w:sz w:val="18"/>
                <w:szCs w:val="18"/>
              </w:rPr>
              <w:t>包括二次PM2.5</w:t>
            </w:r>
            <w:r>
              <w:rPr>
                <w:rFonts w:hint="eastAsia" w:eastAsia="MS Mincho"/>
                <w:kern w:val="0"/>
                <w:sz w:val="18"/>
                <w:szCs w:val="18"/>
              </w:rPr>
              <w:t>□</w:t>
            </w:r>
          </w:p>
          <w:p>
            <w:pPr>
              <w:widowControl/>
              <w:spacing w:line="260" w:lineRule="exact"/>
              <w:jc w:val="center"/>
              <w:rPr>
                <w:kern w:val="0"/>
                <w:sz w:val="18"/>
                <w:szCs w:val="18"/>
              </w:rPr>
            </w:pPr>
            <w:r>
              <w:rPr>
                <w:kern w:val="0"/>
                <w:sz w:val="18"/>
                <w:szCs w:val="18"/>
              </w:rPr>
              <w:t>不包括二次PM2.5</w:t>
            </w:r>
            <w:r>
              <w:rPr>
                <w:rFonts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vAlign w:val="center"/>
          </w:tcPr>
          <w:p>
            <w:pPr>
              <w:widowControl/>
              <w:spacing w:line="260" w:lineRule="exact"/>
              <w:jc w:val="center"/>
              <w:rPr>
                <w:kern w:val="0"/>
                <w:sz w:val="18"/>
                <w:szCs w:val="18"/>
              </w:rPr>
            </w:pPr>
            <w:r>
              <w:rPr>
                <w:kern w:val="0"/>
                <w:sz w:val="18"/>
                <w:szCs w:val="18"/>
              </w:rPr>
              <w:t>正常排放短期浓度贡献值</w:t>
            </w:r>
          </w:p>
        </w:tc>
        <w:tc>
          <w:tcPr>
            <w:tcW w:w="4394" w:type="dxa"/>
            <w:gridSpan w:val="12"/>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最大占标率≤100%</w:t>
            </w:r>
            <w:r>
              <w:rPr>
                <w:rFonts w:ascii="MS Mincho" w:hAnsi="MS Mincho" w:cs="MS Mincho"/>
                <w:kern w:val="0"/>
                <w:sz w:val="18"/>
                <w:szCs w:val="18"/>
              </w:rPr>
              <w:t>✔</w:t>
            </w:r>
          </w:p>
        </w:tc>
        <w:tc>
          <w:tcPr>
            <w:tcW w:w="2460" w:type="dxa"/>
            <w:gridSpan w:val="6"/>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最大占标率＞100%</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vMerge w:val="restart"/>
            <w:vAlign w:val="center"/>
          </w:tcPr>
          <w:p>
            <w:pPr>
              <w:widowControl/>
              <w:spacing w:line="260" w:lineRule="exact"/>
              <w:jc w:val="center"/>
              <w:rPr>
                <w:kern w:val="0"/>
                <w:sz w:val="18"/>
                <w:szCs w:val="18"/>
              </w:rPr>
            </w:pPr>
            <w:r>
              <w:rPr>
                <w:kern w:val="0"/>
                <w:sz w:val="18"/>
                <w:szCs w:val="18"/>
              </w:rPr>
              <w:t>正常排放年均浓度贡献值</w:t>
            </w:r>
          </w:p>
        </w:tc>
        <w:tc>
          <w:tcPr>
            <w:tcW w:w="1559" w:type="dxa"/>
            <w:gridSpan w:val="2"/>
            <w:noWrap/>
            <w:vAlign w:val="center"/>
          </w:tcPr>
          <w:p>
            <w:pPr>
              <w:widowControl/>
              <w:spacing w:line="260" w:lineRule="exact"/>
              <w:jc w:val="center"/>
              <w:rPr>
                <w:kern w:val="0"/>
                <w:sz w:val="18"/>
                <w:szCs w:val="18"/>
              </w:rPr>
            </w:pPr>
            <w:r>
              <w:rPr>
                <w:kern w:val="0"/>
                <w:sz w:val="18"/>
                <w:szCs w:val="18"/>
              </w:rPr>
              <w:t>一类区</w:t>
            </w:r>
          </w:p>
        </w:tc>
        <w:tc>
          <w:tcPr>
            <w:tcW w:w="2835" w:type="dxa"/>
            <w:gridSpan w:val="10"/>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最大占标率≤10%</w:t>
            </w:r>
            <w:r>
              <w:rPr>
                <w:rFonts w:hint="eastAsia" w:eastAsia="MS Mincho"/>
                <w:kern w:val="0"/>
                <w:sz w:val="18"/>
                <w:szCs w:val="18"/>
              </w:rPr>
              <w:t>□</w:t>
            </w:r>
          </w:p>
        </w:tc>
        <w:tc>
          <w:tcPr>
            <w:tcW w:w="2460" w:type="dxa"/>
            <w:gridSpan w:val="6"/>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最大占标率＞10%</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vMerge w:val="continue"/>
            <w:vAlign w:val="center"/>
          </w:tcPr>
          <w:p>
            <w:pPr>
              <w:widowControl/>
              <w:spacing w:line="260" w:lineRule="exact"/>
              <w:jc w:val="center"/>
              <w:rPr>
                <w:kern w:val="0"/>
                <w:sz w:val="18"/>
                <w:szCs w:val="18"/>
              </w:rPr>
            </w:pPr>
          </w:p>
        </w:tc>
        <w:tc>
          <w:tcPr>
            <w:tcW w:w="1559" w:type="dxa"/>
            <w:gridSpan w:val="2"/>
            <w:noWrap/>
            <w:vAlign w:val="center"/>
          </w:tcPr>
          <w:p>
            <w:pPr>
              <w:widowControl/>
              <w:spacing w:line="260" w:lineRule="exact"/>
              <w:jc w:val="center"/>
              <w:rPr>
                <w:kern w:val="0"/>
                <w:sz w:val="18"/>
                <w:szCs w:val="18"/>
              </w:rPr>
            </w:pPr>
            <w:r>
              <w:rPr>
                <w:kern w:val="0"/>
                <w:sz w:val="18"/>
                <w:szCs w:val="18"/>
              </w:rPr>
              <w:t>二类区</w:t>
            </w:r>
          </w:p>
        </w:tc>
        <w:tc>
          <w:tcPr>
            <w:tcW w:w="2835" w:type="dxa"/>
            <w:gridSpan w:val="10"/>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最大占标率≤30%</w:t>
            </w:r>
            <w:r>
              <w:rPr>
                <w:rFonts w:hint="eastAsia" w:eastAsia="MS Mincho"/>
                <w:kern w:val="0"/>
                <w:sz w:val="18"/>
                <w:szCs w:val="18"/>
              </w:rPr>
              <w:t>□</w:t>
            </w:r>
          </w:p>
        </w:tc>
        <w:tc>
          <w:tcPr>
            <w:tcW w:w="2460" w:type="dxa"/>
            <w:gridSpan w:val="6"/>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本项目</w:t>
            </w:r>
            <w:r>
              <w:rPr>
                <w:kern w:val="0"/>
                <w:sz w:val="18"/>
                <w:szCs w:val="18"/>
              </w:rPr>
              <w:t>最大占标率＞30%</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vAlign w:val="center"/>
          </w:tcPr>
          <w:p>
            <w:pPr>
              <w:widowControl/>
              <w:spacing w:line="260" w:lineRule="exact"/>
              <w:jc w:val="center"/>
              <w:rPr>
                <w:kern w:val="0"/>
                <w:sz w:val="18"/>
                <w:szCs w:val="18"/>
              </w:rPr>
            </w:pPr>
            <w:r>
              <w:rPr>
                <w:kern w:val="0"/>
                <w:sz w:val="18"/>
                <w:szCs w:val="18"/>
              </w:rPr>
              <w:t>非正常排放1h浓度贡献值</w:t>
            </w:r>
          </w:p>
        </w:tc>
        <w:tc>
          <w:tcPr>
            <w:tcW w:w="1559" w:type="dxa"/>
            <w:gridSpan w:val="2"/>
            <w:vAlign w:val="center"/>
          </w:tcPr>
          <w:p>
            <w:pPr>
              <w:widowControl/>
              <w:spacing w:line="260" w:lineRule="exact"/>
              <w:jc w:val="center"/>
              <w:rPr>
                <w:kern w:val="0"/>
                <w:sz w:val="18"/>
                <w:szCs w:val="18"/>
              </w:rPr>
            </w:pPr>
            <w:r>
              <w:rPr>
                <w:kern w:val="0"/>
                <w:sz w:val="18"/>
                <w:szCs w:val="18"/>
              </w:rPr>
              <w:t>非正常持续时长(   )h</w:t>
            </w:r>
          </w:p>
        </w:tc>
        <w:tc>
          <w:tcPr>
            <w:tcW w:w="2835" w:type="dxa"/>
            <w:gridSpan w:val="10"/>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非正常</w:t>
            </w:r>
            <w:r>
              <w:rPr>
                <w:kern w:val="0"/>
                <w:sz w:val="18"/>
                <w:szCs w:val="18"/>
              </w:rPr>
              <w:t>占标率≤100%</w:t>
            </w:r>
            <w:r>
              <w:rPr>
                <w:rFonts w:hint="eastAsia" w:eastAsia="MS Mincho"/>
                <w:kern w:val="0"/>
                <w:sz w:val="18"/>
                <w:szCs w:val="18"/>
              </w:rPr>
              <w:t>□</w:t>
            </w:r>
          </w:p>
        </w:tc>
        <w:tc>
          <w:tcPr>
            <w:tcW w:w="2460" w:type="dxa"/>
            <w:gridSpan w:val="6"/>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非正常</w:t>
            </w:r>
            <w:r>
              <w:rPr>
                <w:kern w:val="0"/>
                <w:sz w:val="18"/>
                <w:szCs w:val="18"/>
              </w:rPr>
              <w:t>占标率＞100%</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vAlign w:val="center"/>
          </w:tcPr>
          <w:p>
            <w:pPr>
              <w:widowControl/>
              <w:spacing w:line="260" w:lineRule="exact"/>
              <w:jc w:val="center"/>
              <w:rPr>
                <w:kern w:val="0"/>
                <w:sz w:val="18"/>
                <w:szCs w:val="18"/>
              </w:rPr>
            </w:pPr>
            <w:r>
              <w:rPr>
                <w:kern w:val="0"/>
                <w:sz w:val="18"/>
                <w:szCs w:val="18"/>
              </w:rPr>
              <w:t>保证率日平均浓度和年平均浓度叠加值</w:t>
            </w:r>
          </w:p>
        </w:tc>
        <w:tc>
          <w:tcPr>
            <w:tcW w:w="3118" w:type="dxa"/>
            <w:gridSpan w:val="7"/>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叠加</w:t>
            </w:r>
            <w:r>
              <w:rPr>
                <w:kern w:val="0"/>
                <w:sz w:val="18"/>
                <w:szCs w:val="18"/>
              </w:rPr>
              <w:t>达标</w:t>
            </w:r>
            <w:r>
              <w:rPr>
                <w:rFonts w:hint="eastAsia" w:eastAsia="MS Mincho"/>
                <w:kern w:val="0"/>
                <w:sz w:val="18"/>
                <w:szCs w:val="18"/>
              </w:rPr>
              <w:t>□</w:t>
            </w:r>
          </w:p>
        </w:tc>
        <w:tc>
          <w:tcPr>
            <w:tcW w:w="3736" w:type="dxa"/>
            <w:gridSpan w:val="11"/>
            <w:noWrap/>
            <w:vAlign w:val="center"/>
          </w:tcPr>
          <w:p>
            <w:pPr>
              <w:widowControl/>
              <w:spacing w:line="260" w:lineRule="exact"/>
              <w:jc w:val="center"/>
              <w:rPr>
                <w:kern w:val="0"/>
                <w:sz w:val="18"/>
                <w:szCs w:val="18"/>
              </w:rPr>
            </w:pPr>
            <w:r>
              <w:rPr>
                <w:kern w:val="0"/>
                <w:sz w:val="18"/>
                <w:szCs w:val="18"/>
              </w:rPr>
              <w:t>C</w:t>
            </w:r>
            <w:r>
              <w:rPr>
                <w:kern w:val="0"/>
                <w:sz w:val="18"/>
                <w:szCs w:val="18"/>
                <w:vertAlign w:val="subscript"/>
              </w:rPr>
              <w:t>叠加</w:t>
            </w:r>
            <w:r>
              <w:rPr>
                <w:kern w:val="0"/>
                <w:sz w:val="18"/>
                <w:szCs w:val="18"/>
              </w:rPr>
              <w:t>不达标</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vAlign w:val="center"/>
          </w:tcPr>
          <w:p>
            <w:pPr>
              <w:widowControl/>
              <w:spacing w:line="260" w:lineRule="exact"/>
              <w:jc w:val="center"/>
              <w:rPr>
                <w:kern w:val="0"/>
                <w:sz w:val="18"/>
                <w:szCs w:val="18"/>
              </w:rPr>
            </w:pPr>
            <w:r>
              <w:rPr>
                <w:kern w:val="0"/>
                <w:sz w:val="18"/>
                <w:szCs w:val="18"/>
              </w:rPr>
              <w:t>区域环境质量的整体变化情况</w:t>
            </w:r>
          </w:p>
        </w:tc>
        <w:tc>
          <w:tcPr>
            <w:tcW w:w="3118" w:type="dxa"/>
            <w:gridSpan w:val="7"/>
            <w:noWrap/>
            <w:vAlign w:val="center"/>
          </w:tcPr>
          <w:p>
            <w:pPr>
              <w:widowControl/>
              <w:spacing w:line="260" w:lineRule="exact"/>
              <w:jc w:val="center"/>
              <w:rPr>
                <w:kern w:val="0"/>
                <w:sz w:val="18"/>
                <w:szCs w:val="18"/>
              </w:rPr>
            </w:pPr>
            <w:r>
              <w:rPr>
                <w:kern w:val="0"/>
                <w:sz w:val="18"/>
                <w:szCs w:val="18"/>
              </w:rPr>
              <w:t>k≤-20%</w:t>
            </w:r>
            <w:r>
              <w:rPr>
                <w:rFonts w:hint="eastAsia" w:eastAsia="MS Mincho"/>
                <w:kern w:val="0"/>
                <w:sz w:val="18"/>
                <w:szCs w:val="18"/>
              </w:rPr>
              <w:t>□</w:t>
            </w:r>
          </w:p>
        </w:tc>
        <w:tc>
          <w:tcPr>
            <w:tcW w:w="3736" w:type="dxa"/>
            <w:gridSpan w:val="11"/>
            <w:noWrap/>
            <w:vAlign w:val="center"/>
          </w:tcPr>
          <w:p>
            <w:pPr>
              <w:widowControl/>
              <w:spacing w:line="260" w:lineRule="exact"/>
              <w:jc w:val="center"/>
              <w:rPr>
                <w:kern w:val="0"/>
                <w:sz w:val="18"/>
                <w:szCs w:val="18"/>
              </w:rPr>
            </w:pPr>
            <w:r>
              <w:rPr>
                <w:kern w:val="0"/>
                <w:sz w:val="18"/>
                <w:szCs w:val="18"/>
              </w:rPr>
              <w:t>k＞-20%</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restart"/>
            <w:noWrap/>
            <w:vAlign w:val="center"/>
          </w:tcPr>
          <w:p>
            <w:pPr>
              <w:widowControl/>
              <w:spacing w:line="260" w:lineRule="exact"/>
              <w:jc w:val="center"/>
              <w:rPr>
                <w:kern w:val="0"/>
                <w:sz w:val="18"/>
                <w:szCs w:val="18"/>
              </w:rPr>
            </w:pPr>
            <w:r>
              <w:rPr>
                <w:kern w:val="0"/>
                <w:sz w:val="18"/>
                <w:szCs w:val="18"/>
              </w:rPr>
              <w:t>环境监测计划</w:t>
            </w:r>
          </w:p>
        </w:tc>
        <w:tc>
          <w:tcPr>
            <w:tcW w:w="1354" w:type="dxa"/>
            <w:noWrap/>
            <w:vAlign w:val="center"/>
          </w:tcPr>
          <w:p>
            <w:pPr>
              <w:widowControl/>
              <w:spacing w:line="260" w:lineRule="exact"/>
              <w:jc w:val="center"/>
              <w:rPr>
                <w:kern w:val="0"/>
                <w:sz w:val="18"/>
                <w:szCs w:val="18"/>
              </w:rPr>
            </w:pPr>
            <w:r>
              <w:rPr>
                <w:kern w:val="0"/>
                <w:sz w:val="18"/>
                <w:szCs w:val="18"/>
              </w:rPr>
              <w:t>污染源监测</w:t>
            </w:r>
          </w:p>
        </w:tc>
        <w:tc>
          <w:tcPr>
            <w:tcW w:w="3118" w:type="dxa"/>
            <w:gridSpan w:val="7"/>
            <w:noWrap/>
            <w:vAlign w:val="center"/>
          </w:tcPr>
          <w:p>
            <w:pPr>
              <w:widowControl/>
              <w:spacing w:line="260" w:lineRule="exact"/>
              <w:jc w:val="center"/>
              <w:rPr>
                <w:kern w:val="0"/>
                <w:sz w:val="18"/>
                <w:szCs w:val="18"/>
              </w:rPr>
            </w:pPr>
            <w:r>
              <w:rPr>
                <w:kern w:val="0"/>
                <w:sz w:val="18"/>
                <w:szCs w:val="18"/>
              </w:rPr>
              <w:t>监测因子：(</w:t>
            </w:r>
            <w:r>
              <w:rPr>
                <w:rFonts w:hint="eastAsia"/>
                <w:kern w:val="0"/>
                <w:sz w:val="18"/>
                <w:szCs w:val="18"/>
              </w:rPr>
              <w:t>颗粒物、N</w:t>
            </w:r>
            <w:r>
              <w:rPr>
                <w:kern w:val="0"/>
                <w:sz w:val="18"/>
                <w:szCs w:val="18"/>
              </w:rPr>
              <w:t>O</w:t>
            </w:r>
            <w:r>
              <w:rPr>
                <w:kern w:val="0"/>
                <w:sz w:val="18"/>
                <w:szCs w:val="18"/>
                <w:vertAlign w:val="subscript"/>
              </w:rPr>
              <w:t>2</w:t>
            </w:r>
            <w:r>
              <w:rPr>
                <w:rFonts w:hint="eastAsia"/>
                <w:kern w:val="0"/>
                <w:sz w:val="18"/>
                <w:szCs w:val="18"/>
              </w:rPr>
              <w:t>、NH</w:t>
            </w:r>
            <w:r>
              <w:rPr>
                <w:rFonts w:hint="eastAsia"/>
                <w:kern w:val="0"/>
                <w:sz w:val="18"/>
                <w:szCs w:val="18"/>
                <w:vertAlign w:val="subscript"/>
              </w:rPr>
              <w:t>3</w:t>
            </w:r>
            <w:r>
              <w:rPr>
                <w:rFonts w:hint="eastAsia"/>
                <w:kern w:val="0"/>
                <w:sz w:val="18"/>
                <w:szCs w:val="18"/>
              </w:rPr>
              <w:t>、H</w:t>
            </w:r>
            <w:r>
              <w:rPr>
                <w:rFonts w:hint="eastAsia"/>
                <w:kern w:val="0"/>
                <w:sz w:val="18"/>
                <w:szCs w:val="18"/>
                <w:vertAlign w:val="subscript"/>
              </w:rPr>
              <w:t>2</w:t>
            </w:r>
            <w:r>
              <w:rPr>
                <w:rFonts w:hint="eastAsia"/>
                <w:kern w:val="0"/>
                <w:sz w:val="18"/>
                <w:szCs w:val="18"/>
              </w:rPr>
              <w:t>S、臭气浓度</w:t>
            </w:r>
            <w:r>
              <w:rPr>
                <w:kern w:val="0"/>
                <w:sz w:val="18"/>
                <w:szCs w:val="18"/>
              </w:rPr>
              <w:t>)</w:t>
            </w:r>
          </w:p>
        </w:tc>
        <w:tc>
          <w:tcPr>
            <w:tcW w:w="3010" w:type="dxa"/>
            <w:gridSpan w:val="10"/>
            <w:vAlign w:val="center"/>
          </w:tcPr>
          <w:p>
            <w:pPr>
              <w:widowControl/>
              <w:spacing w:line="260" w:lineRule="exact"/>
              <w:jc w:val="center"/>
              <w:rPr>
                <w:kern w:val="0"/>
                <w:sz w:val="18"/>
                <w:szCs w:val="18"/>
              </w:rPr>
            </w:pPr>
            <w:r>
              <w:rPr>
                <w:kern w:val="0"/>
                <w:sz w:val="18"/>
                <w:szCs w:val="18"/>
              </w:rPr>
              <w:t>有组织废气监测</w:t>
            </w:r>
            <w:r>
              <w:rPr>
                <w:rFonts w:ascii="MS Mincho" w:hAnsi="MS Mincho" w:cs="MS Mincho"/>
                <w:kern w:val="0"/>
                <w:sz w:val="18"/>
                <w:szCs w:val="18"/>
              </w:rPr>
              <w:t>✔</w:t>
            </w:r>
          </w:p>
          <w:p>
            <w:pPr>
              <w:widowControl/>
              <w:spacing w:line="260" w:lineRule="exact"/>
              <w:jc w:val="center"/>
              <w:rPr>
                <w:kern w:val="0"/>
                <w:sz w:val="18"/>
                <w:szCs w:val="18"/>
              </w:rPr>
            </w:pPr>
            <w:r>
              <w:rPr>
                <w:kern w:val="0"/>
                <w:sz w:val="18"/>
                <w:szCs w:val="18"/>
              </w:rPr>
              <w:t>无组织废气监测</w:t>
            </w:r>
            <w:r>
              <w:rPr>
                <w:rFonts w:ascii="MS Mincho" w:hAnsi="MS Mincho" w:cs="MS Mincho"/>
                <w:kern w:val="0"/>
                <w:sz w:val="18"/>
                <w:szCs w:val="18"/>
              </w:rPr>
              <w:t>✔</w:t>
            </w:r>
          </w:p>
        </w:tc>
        <w:tc>
          <w:tcPr>
            <w:tcW w:w="726" w:type="dxa"/>
            <w:noWrap/>
            <w:vAlign w:val="center"/>
          </w:tcPr>
          <w:p>
            <w:pPr>
              <w:widowControl/>
              <w:spacing w:line="260" w:lineRule="exact"/>
              <w:jc w:val="center"/>
              <w:rPr>
                <w:kern w:val="0"/>
                <w:sz w:val="18"/>
                <w:szCs w:val="18"/>
              </w:rPr>
            </w:pPr>
            <w:r>
              <w:rPr>
                <w:kern w:val="0"/>
                <w:sz w:val="18"/>
                <w:szCs w:val="18"/>
              </w:rPr>
              <w:t>无监测</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noWrap/>
            <w:vAlign w:val="center"/>
          </w:tcPr>
          <w:p>
            <w:pPr>
              <w:widowControl/>
              <w:spacing w:line="260" w:lineRule="exact"/>
              <w:jc w:val="center"/>
              <w:rPr>
                <w:kern w:val="0"/>
                <w:sz w:val="18"/>
                <w:szCs w:val="18"/>
              </w:rPr>
            </w:pPr>
            <w:r>
              <w:rPr>
                <w:kern w:val="0"/>
                <w:sz w:val="18"/>
                <w:szCs w:val="18"/>
              </w:rPr>
              <w:t>环境质量监测</w:t>
            </w:r>
          </w:p>
        </w:tc>
        <w:tc>
          <w:tcPr>
            <w:tcW w:w="3118" w:type="dxa"/>
            <w:gridSpan w:val="7"/>
            <w:noWrap/>
            <w:vAlign w:val="center"/>
          </w:tcPr>
          <w:p>
            <w:pPr>
              <w:widowControl/>
              <w:spacing w:line="260" w:lineRule="exact"/>
              <w:jc w:val="center"/>
              <w:rPr>
                <w:kern w:val="0"/>
                <w:sz w:val="18"/>
                <w:szCs w:val="18"/>
              </w:rPr>
            </w:pPr>
            <w:r>
              <w:rPr>
                <w:kern w:val="0"/>
                <w:sz w:val="18"/>
                <w:szCs w:val="18"/>
              </w:rPr>
              <w:t>监测因子：(          )</w:t>
            </w:r>
          </w:p>
        </w:tc>
        <w:tc>
          <w:tcPr>
            <w:tcW w:w="3010" w:type="dxa"/>
            <w:gridSpan w:val="10"/>
            <w:noWrap/>
            <w:vAlign w:val="center"/>
          </w:tcPr>
          <w:p>
            <w:pPr>
              <w:widowControl/>
              <w:spacing w:line="260" w:lineRule="exact"/>
              <w:jc w:val="center"/>
              <w:rPr>
                <w:kern w:val="0"/>
                <w:sz w:val="18"/>
                <w:szCs w:val="18"/>
              </w:rPr>
            </w:pPr>
            <w:r>
              <w:rPr>
                <w:kern w:val="0"/>
                <w:sz w:val="18"/>
                <w:szCs w:val="18"/>
              </w:rPr>
              <w:t>监测点位数(        )</w:t>
            </w:r>
          </w:p>
        </w:tc>
        <w:tc>
          <w:tcPr>
            <w:tcW w:w="726" w:type="dxa"/>
            <w:noWrap/>
            <w:vAlign w:val="center"/>
          </w:tcPr>
          <w:p>
            <w:pPr>
              <w:widowControl/>
              <w:spacing w:line="260" w:lineRule="exact"/>
              <w:jc w:val="center"/>
              <w:rPr>
                <w:kern w:val="0"/>
                <w:sz w:val="18"/>
                <w:szCs w:val="18"/>
              </w:rPr>
            </w:pPr>
            <w:r>
              <w:rPr>
                <w:kern w:val="0"/>
                <w:sz w:val="18"/>
                <w:szCs w:val="18"/>
              </w:rPr>
              <w:t>无监测</w:t>
            </w:r>
            <w:r>
              <w:rPr>
                <w:rFonts w:ascii="MS Mincho" w:hAnsi="MS Mincho" w:cs="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restart"/>
            <w:noWrap/>
            <w:vAlign w:val="center"/>
          </w:tcPr>
          <w:p>
            <w:pPr>
              <w:widowControl/>
              <w:spacing w:line="260" w:lineRule="exact"/>
              <w:jc w:val="center"/>
              <w:rPr>
                <w:kern w:val="0"/>
                <w:sz w:val="18"/>
                <w:szCs w:val="18"/>
              </w:rPr>
            </w:pPr>
            <w:r>
              <w:rPr>
                <w:kern w:val="0"/>
                <w:sz w:val="18"/>
                <w:szCs w:val="18"/>
              </w:rPr>
              <w:t>评价结论</w:t>
            </w:r>
          </w:p>
        </w:tc>
        <w:tc>
          <w:tcPr>
            <w:tcW w:w="1354" w:type="dxa"/>
            <w:noWrap/>
            <w:vAlign w:val="center"/>
          </w:tcPr>
          <w:p>
            <w:pPr>
              <w:widowControl/>
              <w:spacing w:line="260" w:lineRule="exact"/>
              <w:jc w:val="center"/>
              <w:rPr>
                <w:kern w:val="0"/>
                <w:sz w:val="18"/>
                <w:szCs w:val="18"/>
              </w:rPr>
            </w:pPr>
            <w:r>
              <w:rPr>
                <w:kern w:val="0"/>
                <w:sz w:val="18"/>
                <w:szCs w:val="18"/>
              </w:rPr>
              <w:t>环境影响</w:t>
            </w:r>
          </w:p>
        </w:tc>
        <w:tc>
          <w:tcPr>
            <w:tcW w:w="6854" w:type="dxa"/>
            <w:gridSpan w:val="18"/>
            <w:noWrap/>
            <w:vAlign w:val="center"/>
          </w:tcPr>
          <w:p>
            <w:pPr>
              <w:widowControl/>
              <w:spacing w:line="260" w:lineRule="exact"/>
              <w:jc w:val="center"/>
              <w:rPr>
                <w:kern w:val="0"/>
                <w:sz w:val="18"/>
                <w:szCs w:val="18"/>
              </w:rPr>
            </w:pPr>
            <w:r>
              <w:rPr>
                <w:kern w:val="0"/>
                <w:sz w:val="18"/>
                <w:szCs w:val="18"/>
              </w:rPr>
              <w:t>可以接受</w:t>
            </w:r>
            <w:r>
              <w:rPr>
                <w:rFonts w:ascii="MS Mincho" w:hAnsi="MS Mincho" w:cs="MS Mincho"/>
                <w:kern w:val="0"/>
                <w:sz w:val="18"/>
                <w:szCs w:val="18"/>
              </w:rPr>
              <w:t>✔</w:t>
            </w:r>
            <w:r>
              <w:rPr>
                <w:kern w:val="0"/>
                <w:sz w:val="18"/>
                <w:szCs w:val="18"/>
              </w:rPr>
              <w:t xml:space="preserve">   不可以接受</w:t>
            </w:r>
            <w:r>
              <w:rPr>
                <w:rFonts w:hint="eastAsia" w:eastAsia="MS Mincho"/>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noWrap/>
            <w:vAlign w:val="center"/>
          </w:tcPr>
          <w:p>
            <w:pPr>
              <w:widowControl/>
              <w:spacing w:line="260" w:lineRule="exact"/>
              <w:jc w:val="center"/>
              <w:rPr>
                <w:kern w:val="0"/>
                <w:sz w:val="18"/>
                <w:szCs w:val="18"/>
              </w:rPr>
            </w:pPr>
            <w:r>
              <w:rPr>
                <w:kern w:val="0"/>
                <w:sz w:val="18"/>
                <w:szCs w:val="18"/>
              </w:rPr>
              <w:t>大气环境防护距离</w:t>
            </w:r>
          </w:p>
        </w:tc>
        <w:tc>
          <w:tcPr>
            <w:tcW w:w="6854" w:type="dxa"/>
            <w:gridSpan w:val="18"/>
            <w:noWrap/>
            <w:vAlign w:val="center"/>
          </w:tcPr>
          <w:p>
            <w:pPr>
              <w:widowControl/>
              <w:spacing w:line="260" w:lineRule="exact"/>
              <w:jc w:val="center"/>
              <w:rPr>
                <w:kern w:val="0"/>
                <w:sz w:val="18"/>
                <w:szCs w:val="18"/>
              </w:rPr>
            </w:pPr>
            <w:r>
              <w:rPr>
                <w:kern w:val="0"/>
                <w:sz w:val="18"/>
                <w:szCs w:val="18"/>
              </w:rPr>
              <w:t>距(      )厂界最远(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39" w:type="dxa"/>
            <w:vMerge w:val="continue"/>
            <w:vAlign w:val="center"/>
          </w:tcPr>
          <w:p>
            <w:pPr>
              <w:widowControl/>
              <w:spacing w:line="260" w:lineRule="exact"/>
              <w:jc w:val="center"/>
              <w:rPr>
                <w:kern w:val="0"/>
                <w:sz w:val="18"/>
                <w:szCs w:val="18"/>
              </w:rPr>
            </w:pPr>
          </w:p>
        </w:tc>
        <w:tc>
          <w:tcPr>
            <w:tcW w:w="1354" w:type="dxa"/>
            <w:noWrap/>
            <w:vAlign w:val="center"/>
          </w:tcPr>
          <w:p>
            <w:pPr>
              <w:widowControl/>
              <w:spacing w:line="260" w:lineRule="exact"/>
              <w:jc w:val="center"/>
              <w:rPr>
                <w:kern w:val="0"/>
                <w:sz w:val="18"/>
                <w:szCs w:val="18"/>
              </w:rPr>
            </w:pPr>
            <w:r>
              <w:rPr>
                <w:kern w:val="0"/>
                <w:sz w:val="18"/>
                <w:szCs w:val="18"/>
              </w:rPr>
              <w:t>污染源年排放量</w:t>
            </w:r>
          </w:p>
        </w:tc>
        <w:tc>
          <w:tcPr>
            <w:tcW w:w="1890" w:type="dxa"/>
            <w:gridSpan w:val="3"/>
            <w:noWrap/>
            <w:vAlign w:val="center"/>
          </w:tcPr>
          <w:p>
            <w:pPr>
              <w:widowControl/>
              <w:spacing w:line="260" w:lineRule="exact"/>
              <w:jc w:val="center"/>
              <w:rPr>
                <w:kern w:val="0"/>
                <w:sz w:val="18"/>
                <w:szCs w:val="18"/>
              </w:rPr>
            </w:pPr>
            <w:r>
              <w:rPr>
                <w:kern w:val="0"/>
                <w:sz w:val="18"/>
                <w:szCs w:val="18"/>
              </w:rPr>
              <w:t>SO</w:t>
            </w:r>
            <w:r>
              <w:rPr>
                <w:kern w:val="0"/>
                <w:sz w:val="18"/>
                <w:szCs w:val="18"/>
                <w:vertAlign w:val="subscript"/>
              </w:rPr>
              <w:t>2</w:t>
            </w:r>
            <w:r>
              <w:rPr>
                <w:kern w:val="0"/>
                <w:sz w:val="18"/>
                <w:szCs w:val="18"/>
              </w:rPr>
              <w:t>：</w:t>
            </w:r>
          </w:p>
          <w:p>
            <w:pPr>
              <w:widowControl/>
              <w:spacing w:line="260" w:lineRule="exact"/>
              <w:jc w:val="center"/>
              <w:rPr>
                <w:kern w:val="0"/>
                <w:sz w:val="18"/>
                <w:szCs w:val="18"/>
              </w:rPr>
            </w:pPr>
            <w:r>
              <w:rPr>
                <w:kern w:val="0"/>
                <w:sz w:val="18"/>
                <w:szCs w:val="18"/>
              </w:rPr>
              <w:t>(   )t/a</w:t>
            </w:r>
          </w:p>
        </w:tc>
        <w:tc>
          <w:tcPr>
            <w:tcW w:w="1512" w:type="dxa"/>
            <w:gridSpan w:val="6"/>
            <w:noWrap/>
            <w:vAlign w:val="center"/>
          </w:tcPr>
          <w:p>
            <w:pPr>
              <w:widowControl/>
              <w:spacing w:line="260" w:lineRule="exact"/>
              <w:jc w:val="center"/>
              <w:rPr>
                <w:kern w:val="0"/>
                <w:sz w:val="18"/>
                <w:szCs w:val="18"/>
              </w:rPr>
            </w:pPr>
            <w:r>
              <w:rPr>
                <w:kern w:val="0"/>
                <w:sz w:val="18"/>
                <w:szCs w:val="18"/>
              </w:rPr>
              <w:t>NOx：</w:t>
            </w:r>
          </w:p>
          <w:p>
            <w:pPr>
              <w:widowControl/>
              <w:spacing w:line="260" w:lineRule="exact"/>
              <w:jc w:val="center"/>
              <w:rPr>
                <w:kern w:val="0"/>
                <w:sz w:val="18"/>
                <w:szCs w:val="18"/>
              </w:rPr>
            </w:pPr>
            <w:r>
              <w:rPr>
                <w:kern w:val="0"/>
                <w:sz w:val="18"/>
                <w:szCs w:val="18"/>
              </w:rPr>
              <w:t>(</w:t>
            </w:r>
            <w:r>
              <w:rPr>
                <w:rFonts w:hint="eastAsia"/>
                <w:kern w:val="0"/>
                <w:sz w:val="18"/>
                <w:szCs w:val="18"/>
              </w:rPr>
              <w:t>1.</w:t>
            </w:r>
            <w:r>
              <w:rPr>
                <w:kern w:val="0"/>
                <w:sz w:val="18"/>
                <w:szCs w:val="18"/>
              </w:rPr>
              <w:t>2)t/a</w:t>
            </w:r>
          </w:p>
        </w:tc>
        <w:tc>
          <w:tcPr>
            <w:tcW w:w="2078" w:type="dxa"/>
            <w:gridSpan w:val="6"/>
            <w:noWrap/>
            <w:vAlign w:val="center"/>
          </w:tcPr>
          <w:p>
            <w:pPr>
              <w:widowControl/>
              <w:spacing w:line="260" w:lineRule="exact"/>
              <w:jc w:val="center"/>
              <w:rPr>
                <w:kern w:val="0"/>
                <w:sz w:val="18"/>
                <w:szCs w:val="18"/>
              </w:rPr>
            </w:pPr>
            <w:r>
              <w:rPr>
                <w:kern w:val="0"/>
                <w:sz w:val="18"/>
                <w:szCs w:val="18"/>
              </w:rPr>
              <w:t>颗粒物：</w:t>
            </w:r>
          </w:p>
          <w:p>
            <w:pPr>
              <w:widowControl/>
              <w:spacing w:line="260" w:lineRule="exact"/>
              <w:jc w:val="center"/>
              <w:rPr>
                <w:kern w:val="0"/>
                <w:sz w:val="18"/>
                <w:szCs w:val="18"/>
              </w:rPr>
            </w:pPr>
            <w:r>
              <w:rPr>
                <w:kern w:val="0"/>
                <w:sz w:val="18"/>
                <w:szCs w:val="18"/>
              </w:rPr>
              <w:t>(</w:t>
            </w:r>
            <w:r>
              <w:rPr>
                <w:rFonts w:hint="eastAsia"/>
                <w:kern w:val="0"/>
                <w:sz w:val="18"/>
                <w:szCs w:val="18"/>
              </w:rPr>
              <w:t>0.</w:t>
            </w:r>
            <w:r>
              <w:rPr>
                <w:kern w:val="0"/>
                <w:sz w:val="18"/>
                <w:szCs w:val="18"/>
              </w:rPr>
              <w:t>12</w:t>
            </w:r>
            <w:r>
              <w:rPr>
                <w:rFonts w:hint="eastAsia"/>
                <w:kern w:val="0"/>
                <w:sz w:val="18"/>
                <w:szCs w:val="18"/>
              </w:rPr>
              <w:t>)</w:t>
            </w:r>
            <w:r>
              <w:rPr>
                <w:kern w:val="0"/>
                <w:sz w:val="18"/>
                <w:szCs w:val="18"/>
              </w:rPr>
              <w:t>t/a</w:t>
            </w:r>
          </w:p>
        </w:tc>
        <w:tc>
          <w:tcPr>
            <w:tcW w:w="1374" w:type="dxa"/>
            <w:gridSpan w:val="3"/>
            <w:noWrap/>
            <w:vAlign w:val="center"/>
          </w:tcPr>
          <w:p>
            <w:pPr>
              <w:widowControl/>
              <w:spacing w:line="260" w:lineRule="exact"/>
              <w:jc w:val="center"/>
              <w:rPr>
                <w:kern w:val="0"/>
                <w:sz w:val="18"/>
                <w:szCs w:val="18"/>
              </w:rPr>
            </w:pPr>
            <w:r>
              <w:rPr>
                <w:kern w:val="0"/>
                <w:sz w:val="18"/>
                <w:szCs w:val="18"/>
              </w:rPr>
              <w:t>VOCs：</w:t>
            </w:r>
          </w:p>
          <w:p>
            <w:pPr>
              <w:widowControl/>
              <w:spacing w:line="260" w:lineRule="exact"/>
              <w:jc w:val="center"/>
              <w:rPr>
                <w:kern w:val="0"/>
                <w:sz w:val="18"/>
                <w:szCs w:val="18"/>
              </w:rPr>
            </w:pPr>
            <w:r>
              <w:rPr>
                <w:rFonts w:hint="eastAsia"/>
                <w:kern w:val="0"/>
                <w:sz w:val="18"/>
                <w:szCs w:val="18"/>
              </w:rPr>
              <w:t>（   ）</w:t>
            </w:r>
            <w:r>
              <w:rPr>
                <w:kern w:val="0"/>
                <w:sz w:val="18"/>
                <w:szCs w:val="18"/>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947" w:type="dxa"/>
            <w:gridSpan w:val="20"/>
            <w:noWrap/>
            <w:vAlign w:val="center"/>
          </w:tcPr>
          <w:p>
            <w:pPr>
              <w:widowControl/>
              <w:spacing w:line="260" w:lineRule="exact"/>
              <w:rPr>
                <w:b/>
                <w:kern w:val="0"/>
                <w:sz w:val="18"/>
                <w:szCs w:val="18"/>
              </w:rPr>
            </w:pPr>
            <w:r>
              <w:rPr>
                <w:b/>
                <w:kern w:val="0"/>
                <w:sz w:val="18"/>
                <w:szCs w:val="18"/>
              </w:rPr>
              <w:t>注：“</w:t>
            </w:r>
            <w:r>
              <w:rPr>
                <w:rFonts w:eastAsia="MS Mincho"/>
                <w:b/>
                <w:kern w:val="0"/>
                <w:sz w:val="18"/>
                <w:szCs w:val="18"/>
              </w:rPr>
              <w:t>□</w:t>
            </w:r>
            <w:r>
              <w:rPr>
                <w:b/>
                <w:kern w:val="0"/>
                <w:sz w:val="18"/>
                <w:szCs w:val="18"/>
              </w:rPr>
              <w:t>”为勾选项，填“√”；“(  )”为内容填写项</w:t>
            </w:r>
          </w:p>
        </w:tc>
      </w:tr>
      <w:bookmarkEnd w:id="97"/>
    </w:tbl>
    <w:p>
      <w:pPr>
        <w:pStyle w:val="3"/>
        <w:spacing w:before="0" w:after="0" w:line="480" w:lineRule="exact"/>
        <w:rPr>
          <w:sz w:val="24"/>
          <w:szCs w:val="24"/>
        </w:rPr>
      </w:pPr>
      <w:r>
        <w:rPr>
          <w:rFonts w:hint="eastAsia"/>
          <w:sz w:val="24"/>
          <w:szCs w:val="24"/>
        </w:rPr>
        <w:t>5.2.2地表水环境影响预测与评价</w:t>
      </w:r>
    </w:p>
    <w:p>
      <w:pPr>
        <w:pStyle w:val="57"/>
        <w:keepNext/>
        <w:keepLines/>
        <w:spacing w:before="0" w:after="0" w:line="480" w:lineRule="exact"/>
        <w:ind w:firstLine="0" w:firstLineChars="0"/>
        <w:outlineLvl w:val="3"/>
        <w:rPr>
          <w:b/>
        </w:rPr>
      </w:pPr>
      <w:bookmarkStart w:id="98" w:name="_Hlk9001641"/>
      <w:r>
        <w:rPr>
          <w:rFonts w:hint="eastAsia"/>
          <w:b/>
        </w:rPr>
        <w:t>5.2.2.1</w:t>
      </w:r>
      <w:r>
        <w:rPr>
          <w:rFonts w:hint="eastAsia" w:ascii="宋体" w:hAnsi="宋体"/>
          <w:b/>
        </w:rPr>
        <w:t>废水</w:t>
      </w:r>
      <w:r>
        <w:rPr>
          <w:rFonts w:ascii="宋体" w:hAnsi="宋体"/>
          <w:b/>
        </w:rPr>
        <w:t>排放情况</w:t>
      </w:r>
    </w:p>
    <w:p>
      <w:pPr>
        <w:autoSpaceDE w:val="0"/>
        <w:autoSpaceDN w:val="0"/>
        <w:spacing w:line="480" w:lineRule="exact"/>
        <w:ind w:firstLine="480" w:firstLineChars="200"/>
        <w:rPr>
          <w:sz w:val="24"/>
          <w:szCs w:val="24"/>
        </w:rPr>
      </w:pPr>
      <w:r>
        <w:rPr>
          <w:rFonts w:hint="eastAsia"/>
          <w:sz w:val="24"/>
        </w:rPr>
        <w:t>养殖场废水主要包括鸡舍冲洗废水、职工生活污水、锅炉定排水和软水系统排水。</w:t>
      </w:r>
      <w:r>
        <w:rPr>
          <w:rFonts w:hint="eastAsia"/>
          <w:kern w:val="0"/>
          <w:sz w:val="24"/>
        </w:rPr>
        <w:t>项目排水采用雨污分流制；雨水经雨水收集管网收集后由场区路旁排水沟排出场外。鸡舍冲洗废水、锅炉定排水、软水制备系统排水、生活污水经污水收集池收集后由污水处理站处理达《农田灌溉水质标准》（</w:t>
      </w:r>
      <w:r>
        <w:rPr>
          <w:kern w:val="0"/>
          <w:sz w:val="24"/>
        </w:rPr>
        <w:t>GB5084-2005</w:t>
      </w:r>
      <w:r>
        <w:rPr>
          <w:rFonts w:hint="eastAsia"/>
          <w:kern w:val="0"/>
          <w:sz w:val="24"/>
        </w:rPr>
        <w:t>）中旱作标准后回用于农田灌溉；污水处理站采取</w:t>
      </w:r>
      <w:r>
        <w:rPr>
          <w:rFonts w:hint="eastAsia"/>
          <w:bCs/>
          <w:kern w:val="0"/>
          <w:sz w:val="24"/>
        </w:rPr>
        <w:t>地埋式污水处理设备，处理工艺为“生物接触氧化</w:t>
      </w:r>
      <w:r>
        <w:rPr>
          <w:bCs/>
          <w:kern w:val="0"/>
          <w:sz w:val="24"/>
        </w:rPr>
        <w:t>+</w:t>
      </w:r>
      <w:r>
        <w:rPr>
          <w:rFonts w:hint="eastAsia"/>
          <w:bCs/>
          <w:kern w:val="0"/>
          <w:sz w:val="24"/>
        </w:rPr>
        <w:t>沉淀</w:t>
      </w:r>
      <w:r>
        <w:rPr>
          <w:bCs/>
          <w:kern w:val="0"/>
          <w:sz w:val="24"/>
        </w:rPr>
        <w:t>+</w:t>
      </w:r>
      <w:r>
        <w:rPr>
          <w:rFonts w:hint="eastAsia"/>
          <w:bCs/>
          <w:kern w:val="0"/>
          <w:sz w:val="24"/>
        </w:rPr>
        <w:t>消毒”，消毒方式为紫外线消毒，处理能力为</w:t>
      </w:r>
      <w:r>
        <w:rPr>
          <w:bCs/>
          <w:kern w:val="0"/>
          <w:sz w:val="24"/>
        </w:rPr>
        <w:t>2m</w:t>
      </w:r>
      <w:r>
        <w:rPr>
          <w:bCs/>
          <w:kern w:val="0"/>
          <w:sz w:val="24"/>
          <w:vertAlign w:val="superscript"/>
        </w:rPr>
        <w:t>3</w:t>
      </w:r>
      <w:r>
        <w:rPr>
          <w:bCs/>
          <w:kern w:val="0"/>
          <w:sz w:val="24"/>
        </w:rPr>
        <w:t>/d</w:t>
      </w:r>
      <w:r>
        <w:rPr>
          <w:rFonts w:hint="eastAsia"/>
          <w:bCs/>
          <w:kern w:val="0"/>
          <w:sz w:val="24"/>
        </w:rPr>
        <w:t>，可以满足污水处理及回用要求。</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根据《环境影响评价技术导则 地表水环境》（HJ2.3-2018），建设项目生产工艺中有废水产生，但作为回水利用，不排放到外环境的，按三级B评价。本项目无废水外排，地表水环境影响评价等级为三级B；本项目仅对生产废水回用不外排的可行性进行分析。</w:t>
      </w:r>
    </w:p>
    <w:p>
      <w:pPr>
        <w:pStyle w:val="57"/>
        <w:keepNext/>
        <w:keepLines/>
        <w:spacing w:before="0" w:after="0" w:line="480" w:lineRule="exact"/>
        <w:ind w:firstLine="0" w:firstLineChars="0"/>
        <w:outlineLvl w:val="3"/>
        <w:rPr>
          <w:b/>
        </w:rPr>
      </w:pPr>
      <w:r>
        <w:rPr>
          <w:rFonts w:hint="eastAsia"/>
          <w:b/>
        </w:rPr>
        <w:t>5.2.2.2</w:t>
      </w:r>
      <w:r>
        <w:rPr>
          <w:rFonts w:hint="eastAsia" w:ascii="宋体" w:hAnsi="宋体"/>
          <w:b/>
        </w:rPr>
        <w:t>污水回用可行性分析</w:t>
      </w:r>
    </w:p>
    <w:p>
      <w:pPr>
        <w:spacing w:line="480" w:lineRule="exact"/>
        <w:ind w:firstLine="480" w:firstLineChars="200"/>
        <w:rPr>
          <w:bCs/>
          <w:kern w:val="0"/>
          <w:sz w:val="24"/>
        </w:rPr>
      </w:pPr>
      <w:r>
        <w:rPr>
          <w:sz w:val="24"/>
        </w:rPr>
        <w:t>本项目产生的</w:t>
      </w:r>
      <w:r>
        <w:rPr>
          <w:kern w:val="0"/>
          <w:sz w:val="24"/>
        </w:rPr>
        <w:t>鸡舍冲洗废水、职工生活污水、锅炉定排水和软水系统排水经污水收集池收集后由污水处理站处理达《农田灌溉水质标准》（GB5084-2005）中旱作标准后回用于农田灌溉；污水处理站采取</w:t>
      </w:r>
      <w:r>
        <w:rPr>
          <w:bCs/>
          <w:kern w:val="0"/>
          <w:sz w:val="24"/>
        </w:rPr>
        <w:t>地埋式一体化污水处理设备，处理工艺为</w:t>
      </w:r>
      <w:r>
        <w:rPr>
          <w:rFonts w:hint="eastAsia"/>
          <w:bCs/>
          <w:kern w:val="0"/>
          <w:sz w:val="24"/>
        </w:rPr>
        <w:t>“</w:t>
      </w:r>
      <w:r>
        <w:rPr>
          <w:bCs/>
          <w:kern w:val="0"/>
          <w:sz w:val="24"/>
        </w:rPr>
        <w:t>生物接触氧化+沉淀+消毒</w:t>
      </w:r>
      <w:r>
        <w:rPr>
          <w:rFonts w:hint="eastAsia"/>
          <w:bCs/>
          <w:kern w:val="0"/>
          <w:sz w:val="24"/>
        </w:rPr>
        <w:t>”</w:t>
      </w:r>
      <w:r>
        <w:rPr>
          <w:bCs/>
          <w:kern w:val="0"/>
          <w:sz w:val="24"/>
        </w:rPr>
        <w:t>，消毒方式为紫外线消毒，处理能力为2m</w:t>
      </w:r>
      <w:r>
        <w:rPr>
          <w:bCs/>
          <w:kern w:val="0"/>
          <w:sz w:val="24"/>
          <w:vertAlign w:val="superscript"/>
        </w:rPr>
        <w:t>3</w:t>
      </w:r>
      <w:r>
        <w:rPr>
          <w:bCs/>
          <w:kern w:val="0"/>
          <w:sz w:val="24"/>
        </w:rPr>
        <w:t>/d，可以满足污水处理及回用要求。</w:t>
      </w:r>
    </w:p>
    <w:p>
      <w:pPr>
        <w:pStyle w:val="85"/>
        <w:spacing w:line="480" w:lineRule="exact"/>
        <w:ind w:firstLine="480"/>
        <w:rPr>
          <w:rFonts w:ascii="Times New Roman" w:hAnsi="Times New Roman" w:cs="Times New Roman"/>
          <w:sz w:val="24"/>
          <w:szCs w:val="24"/>
        </w:rPr>
      </w:pPr>
      <w:r>
        <w:rPr>
          <w:rFonts w:hint="eastAsia" w:ascii="Times New Roman" w:cs="Times New Roman"/>
          <w:kern w:val="0"/>
          <w:sz w:val="24"/>
        </w:rPr>
        <w:t>本项目采暖期废水产生量=28.9×3（鸡舍冲洗废水）+</w:t>
      </w:r>
      <w:r>
        <w:rPr>
          <w:rFonts w:ascii="Times New Roman" w:cs="Times New Roman"/>
          <w:kern w:val="0"/>
          <w:sz w:val="24"/>
        </w:rPr>
        <w:t>54</w:t>
      </w:r>
      <w:r>
        <w:rPr>
          <w:rFonts w:hint="eastAsia" w:ascii="Times New Roman" w:cs="Times New Roman"/>
          <w:kern w:val="0"/>
          <w:sz w:val="24"/>
        </w:rPr>
        <w:t>（锅炉定排水）+</w:t>
      </w:r>
      <w:r>
        <w:rPr>
          <w:rFonts w:ascii="Times New Roman" w:cs="Times New Roman"/>
          <w:kern w:val="0"/>
          <w:sz w:val="24"/>
        </w:rPr>
        <w:t>27</w:t>
      </w:r>
      <w:r>
        <w:rPr>
          <w:rFonts w:hint="eastAsia" w:ascii="Times New Roman" w:cs="Times New Roman"/>
          <w:kern w:val="0"/>
          <w:sz w:val="24"/>
        </w:rPr>
        <w:t>（软水制备系统）+</w:t>
      </w:r>
      <w:r>
        <w:rPr>
          <w:rFonts w:ascii="Times New Roman" w:cs="Times New Roman"/>
          <w:kern w:val="0"/>
          <w:sz w:val="24"/>
        </w:rPr>
        <w:t>65.7</w:t>
      </w:r>
      <w:r>
        <w:rPr>
          <w:rFonts w:hint="eastAsia" w:ascii="Times New Roman" w:cs="Times New Roman"/>
          <w:kern w:val="0"/>
          <w:sz w:val="24"/>
        </w:rPr>
        <w:t>（生活废水）=233.4m</w:t>
      </w:r>
      <w:r>
        <w:rPr>
          <w:rFonts w:hint="eastAsia" w:ascii="Times New Roman" w:cs="Times New Roman"/>
          <w:kern w:val="0"/>
          <w:sz w:val="24"/>
          <w:vertAlign w:val="superscript"/>
        </w:rPr>
        <w:t>3</w:t>
      </w:r>
      <w:r>
        <w:rPr>
          <w:rFonts w:hint="eastAsia" w:ascii="Times New Roman" w:cs="Times New Roman"/>
          <w:kern w:val="0"/>
          <w:sz w:val="24"/>
        </w:rPr>
        <w:t>；采暖期产生的废水由污水处理站处理达《农田灌溉水质标准》（GB5084-2005）中旱作标准后储存于出水收集池（</w:t>
      </w:r>
      <w:r>
        <w:rPr>
          <w:rFonts w:ascii="Times New Roman" w:cs="Times New Roman"/>
          <w:kern w:val="0"/>
          <w:sz w:val="24"/>
        </w:rPr>
        <w:t>250</w:t>
      </w:r>
      <w:r>
        <w:rPr>
          <w:rFonts w:hint="eastAsia" w:ascii="Times New Roman" w:cs="Times New Roman"/>
          <w:kern w:val="0"/>
          <w:sz w:val="24"/>
        </w:rPr>
        <w:t>m</w:t>
      </w:r>
      <w:r>
        <w:rPr>
          <w:rFonts w:hint="eastAsia" w:ascii="Times New Roman" w:cs="Times New Roman"/>
          <w:kern w:val="0"/>
          <w:sz w:val="24"/>
          <w:vertAlign w:val="superscript"/>
        </w:rPr>
        <w:t>3</w:t>
      </w:r>
      <w:r>
        <w:rPr>
          <w:rFonts w:hint="eastAsia" w:ascii="Times New Roman" w:cs="Times New Roman"/>
          <w:kern w:val="0"/>
          <w:sz w:val="24"/>
        </w:rPr>
        <w:t>），待非采暖期用于农田灌溉。</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由以上分析可知，本项目可以实现废水的零排放，同时也使水资源得到了有效合理的利用。</w:t>
      </w:r>
    </w:p>
    <w:p>
      <w:pPr>
        <w:pStyle w:val="57"/>
        <w:keepNext/>
        <w:keepLines/>
        <w:spacing w:before="0" w:after="0" w:line="480" w:lineRule="exact"/>
        <w:ind w:firstLine="0" w:firstLineChars="0"/>
        <w:outlineLvl w:val="3"/>
        <w:rPr>
          <w:b/>
        </w:rPr>
      </w:pPr>
      <w:r>
        <w:rPr>
          <w:rFonts w:hint="eastAsia"/>
          <w:b/>
        </w:rPr>
        <w:t>5.2.2.3</w:t>
      </w:r>
      <w:r>
        <w:rPr>
          <w:rFonts w:ascii="宋体" w:hAnsi="宋体"/>
          <w:b/>
        </w:rPr>
        <w:t>地表水环境影响分析</w:t>
      </w:r>
    </w:p>
    <w:p>
      <w:pPr>
        <w:pStyle w:val="85"/>
        <w:spacing w:line="460" w:lineRule="exact"/>
        <w:ind w:firstLine="480"/>
        <w:rPr>
          <w:rFonts w:ascii="Times New Roman" w:hAnsi="Times New Roman" w:cs="Times New Roman"/>
          <w:sz w:val="24"/>
          <w:szCs w:val="24"/>
        </w:rPr>
      </w:pPr>
      <w:r>
        <w:rPr>
          <w:rFonts w:ascii="Times New Roman" w:hAnsi="Times New Roman" w:cs="Times New Roman"/>
          <w:sz w:val="24"/>
          <w:szCs w:val="24"/>
        </w:rPr>
        <w:t>在正常生产情况下，废水排放量为零，不会对地表水产生影响。生产废水主要为循环冷却水，事故状态下，也不会对地表水造成较大的影响。但企业要加强管理，规范操作，以实现废水零排放。</w:t>
      </w:r>
    </w:p>
    <w:p>
      <w:pPr>
        <w:pStyle w:val="12"/>
        <w:spacing w:line="480" w:lineRule="exact"/>
        <w:jc w:val="center"/>
        <w:rPr>
          <w:rFonts w:ascii="黑体" w:hAnsi="黑体" w:eastAsia="黑体"/>
          <w:bCs/>
          <w:sz w:val="24"/>
        </w:rPr>
      </w:pPr>
      <w:r>
        <w:rPr>
          <w:rFonts w:hint="eastAsia" w:ascii="黑体" w:hAnsi="黑体" w:eastAsia="黑体"/>
          <w:bCs/>
          <w:sz w:val="24"/>
        </w:rPr>
        <w:t>表5.</w:t>
      </w:r>
      <w:r>
        <w:rPr>
          <w:rFonts w:ascii="黑体" w:hAnsi="黑体" w:eastAsia="黑体"/>
          <w:bCs/>
          <w:sz w:val="24"/>
        </w:rPr>
        <w:t>2-1</w:t>
      </w:r>
      <w:r>
        <w:rPr>
          <w:rFonts w:hint="eastAsia" w:ascii="黑体" w:hAnsi="黑体" w:eastAsia="黑体"/>
          <w:bCs/>
          <w:sz w:val="24"/>
        </w:rPr>
        <w:t>2  地表水环境自查表</w:t>
      </w:r>
    </w:p>
    <w:tbl>
      <w:tblPr>
        <w:tblStyle w:val="31"/>
        <w:tblW w:w="49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507"/>
        <w:gridCol w:w="1555"/>
        <w:gridCol w:w="393"/>
        <w:gridCol w:w="569"/>
        <w:gridCol w:w="404"/>
        <w:gridCol w:w="646"/>
        <w:gridCol w:w="528"/>
        <w:gridCol w:w="266"/>
        <w:gridCol w:w="927"/>
        <w:gridCol w:w="169"/>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gridSpan w:val="2"/>
            <w:vAlign w:val="center"/>
          </w:tcPr>
          <w:p>
            <w:pPr>
              <w:spacing w:line="0" w:lineRule="atLeast"/>
              <w:jc w:val="center"/>
              <w:rPr>
                <w:sz w:val="18"/>
                <w:szCs w:val="18"/>
              </w:rPr>
            </w:pPr>
            <w:r>
              <w:rPr>
                <w:sz w:val="18"/>
                <w:szCs w:val="18"/>
              </w:rPr>
              <w:t>工作内容</w:t>
            </w:r>
          </w:p>
        </w:tc>
        <w:tc>
          <w:tcPr>
            <w:tcW w:w="3797" w:type="pct"/>
            <w:gridSpan w:val="10"/>
            <w:vAlign w:val="center"/>
          </w:tcPr>
          <w:p>
            <w:pPr>
              <w:spacing w:line="0" w:lineRule="atLeast"/>
              <w:jc w:val="center"/>
              <w:rPr>
                <w:sz w:val="18"/>
                <w:szCs w:val="18"/>
              </w:rPr>
            </w:pPr>
            <w:r>
              <w:rPr>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restart"/>
            <w:vAlign w:val="center"/>
          </w:tcPr>
          <w:p>
            <w:pPr>
              <w:spacing w:line="0" w:lineRule="atLeast"/>
              <w:jc w:val="center"/>
              <w:rPr>
                <w:sz w:val="18"/>
                <w:szCs w:val="18"/>
              </w:rPr>
            </w:pPr>
            <w:r>
              <w:rPr>
                <w:rFonts w:hint="eastAsia"/>
                <w:sz w:val="18"/>
                <w:szCs w:val="18"/>
              </w:rPr>
              <w:t>影</w:t>
            </w:r>
          </w:p>
          <w:p>
            <w:pPr>
              <w:spacing w:line="0" w:lineRule="atLeast"/>
              <w:jc w:val="center"/>
              <w:rPr>
                <w:sz w:val="18"/>
                <w:szCs w:val="18"/>
              </w:rPr>
            </w:pPr>
            <w:r>
              <w:rPr>
                <w:rFonts w:hint="eastAsia"/>
                <w:sz w:val="18"/>
                <w:szCs w:val="18"/>
              </w:rPr>
              <w:t>响</w:t>
            </w:r>
          </w:p>
          <w:p>
            <w:pPr>
              <w:spacing w:line="0" w:lineRule="atLeast"/>
              <w:jc w:val="center"/>
              <w:rPr>
                <w:sz w:val="18"/>
                <w:szCs w:val="18"/>
              </w:rPr>
            </w:pPr>
            <w:r>
              <w:rPr>
                <w:rFonts w:hint="eastAsia"/>
                <w:sz w:val="18"/>
                <w:szCs w:val="18"/>
              </w:rPr>
              <w:t>识</w:t>
            </w:r>
          </w:p>
          <w:p>
            <w:pPr>
              <w:spacing w:line="0" w:lineRule="atLeast"/>
              <w:jc w:val="center"/>
              <w:rPr>
                <w:sz w:val="18"/>
                <w:szCs w:val="18"/>
              </w:rPr>
            </w:pPr>
            <w:r>
              <w:rPr>
                <w:rFonts w:hint="eastAsia"/>
                <w:sz w:val="18"/>
                <w:szCs w:val="18"/>
              </w:rPr>
              <w:t>别</w:t>
            </w:r>
          </w:p>
        </w:tc>
        <w:tc>
          <w:tcPr>
            <w:tcW w:w="839" w:type="pct"/>
            <w:vAlign w:val="center"/>
          </w:tcPr>
          <w:p>
            <w:pPr>
              <w:spacing w:line="0" w:lineRule="atLeast"/>
              <w:jc w:val="center"/>
              <w:rPr>
                <w:sz w:val="18"/>
                <w:szCs w:val="18"/>
              </w:rPr>
            </w:pPr>
            <w:r>
              <w:rPr>
                <w:rFonts w:hint="eastAsia"/>
                <w:sz w:val="18"/>
                <w:szCs w:val="18"/>
              </w:rPr>
              <w:t>影响类型</w:t>
            </w:r>
          </w:p>
        </w:tc>
        <w:tc>
          <w:tcPr>
            <w:tcW w:w="3797" w:type="pct"/>
            <w:gridSpan w:val="10"/>
            <w:vAlign w:val="center"/>
          </w:tcPr>
          <w:p>
            <w:pPr>
              <w:spacing w:line="0" w:lineRule="atLeast"/>
              <w:jc w:val="left"/>
              <w:rPr>
                <w:sz w:val="18"/>
                <w:szCs w:val="18"/>
              </w:rPr>
            </w:pPr>
            <w:r>
              <w:rPr>
                <w:rFonts w:hint="eastAsia"/>
                <w:sz w:val="18"/>
                <w:szCs w:val="18"/>
              </w:rPr>
              <w:t>水污染影响型</w:t>
            </w:r>
            <w:r>
              <w:rPr>
                <w:rFonts w:hint="eastAsia"/>
                <w:b/>
                <w:sz w:val="18"/>
                <w:szCs w:val="18"/>
              </w:rPr>
              <w:t>√</w:t>
            </w:r>
            <w:r>
              <w:rPr>
                <w:rFonts w:hint="eastAsia"/>
                <w:sz w:val="18"/>
                <w:szCs w:val="18"/>
              </w:rPr>
              <w:t>；水文要素影响型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水环境保护目标</w:t>
            </w:r>
          </w:p>
        </w:tc>
        <w:tc>
          <w:tcPr>
            <w:tcW w:w="3797" w:type="pct"/>
            <w:gridSpan w:val="10"/>
            <w:vAlign w:val="center"/>
          </w:tcPr>
          <w:p>
            <w:pPr>
              <w:spacing w:line="0" w:lineRule="atLeast"/>
              <w:jc w:val="left"/>
              <w:rPr>
                <w:sz w:val="18"/>
                <w:szCs w:val="18"/>
              </w:rPr>
            </w:pPr>
            <w:r>
              <w:rPr>
                <w:rFonts w:hint="eastAsia"/>
                <w:sz w:val="18"/>
                <w:szCs w:val="18"/>
              </w:rPr>
              <w:t xml:space="preserve">饮用水水源保护区 □；饮用水取水口 □；涉水的自然保护区 □；重要湿地 □； </w:t>
            </w:r>
          </w:p>
          <w:p>
            <w:pPr>
              <w:spacing w:line="0" w:lineRule="atLeast"/>
              <w:jc w:val="left"/>
              <w:rPr>
                <w:sz w:val="18"/>
                <w:szCs w:val="18"/>
              </w:rPr>
            </w:pPr>
            <w:r>
              <w:rPr>
                <w:rFonts w:hint="eastAsia"/>
                <w:sz w:val="18"/>
                <w:szCs w:val="18"/>
              </w:rPr>
              <w:t xml:space="preserve">重点保护与珍稀水生生物的栖息地 □；重要水生生物的自然产卵场及索饵场、越冬场和洄游通道、天然渔场等渔业水体 □；涉水的风景名胜区 □；其他 </w:t>
            </w:r>
            <w:r>
              <w:rPr>
                <w:rFonts w:hint="eastAsia"/>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restart"/>
            <w:vAlign w:val="center"/>
          </w:tcPr>
          <w:p>
            <w:pPr>
              <w:spacing w:line="0" w:lineRule="atLeast"/>
              <w:jc w:val="center"/>
              <w:rPr>
                <w:sz w:val="18"/>
                <w:szCs w:val="18"/>
              </w:rPr>
            </w:pPr>
            <w:r>
              <w:rPr>
                <w:rFonts w:hint="eastAsia"/>
                <w:sz w:val="18"/>
                <w:szCs w:val="18"/>
              </w:rPr>
              <w:t>影响途径</w:t>
            </w:r>
          </w:p>
        </w:tc>
        <w:tc>
          <w:tcPr>
            <w:tcW w:w="1987" w:type="pct"/>
            <w:gridSpan w:val="5"/>
            <w:vAlign w:val="center"/>
          </w:tcPr>
          <w:p>
            <w:pPr>
              <w:spacing w:line="0" w:lineRule="atLeast"/>
              <w:jc w:val="center"/>
              <w:rPr>
                <w:sz w:val="18"/>
                <w:szCs w:val="18"/>
              </w:rPr>
            </w:pPr>
            <w:r>
              <w:rPr>
                <w:sz w:val="18"/>
                <w:szCs w:val="18"/>
              </w:rPr>
              <w:t>水污染影响型</w:t>
            </w:r>
          </w:p>
        </w:tc>
        <w:tc>
          <w:tcPr>
            <w:tcW w:w="1810" w:type="pct"/>
            <w:gridSpan w:val="5"/>
            <w:vAlign w:val="center"/>
          </w:tcPr>
          <w:p>
            <w:pPr>
              <w:spacing w:line="0" w:lineRule="atLeast"/>
              <w:jc w:val="center"/>
              <w:rPr>
                <w:sz w:val="18"/>
                <w:szCs w:val="18"/>
              </w:rPr>
            </w:pPr>
            <w:r>
              <w:rPr>
                <w:rFonts w:hint="eastAsia"/>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1987" w:type="pct"/>
            <w:gridSpan w:val="5"/>
            <w:vAlign w:val="center"/>
          </w:tcPr>
          <w:p>
            <w:pPr>
              <w:spacing w:line="0" w:lineRule="atLeast"/>
              <w:jc w:val="left"/>
              <w:rPr>
                <w:sz w:val="18"/>
                <w:szCs w:val="18"/>
              </w:rPr>
            </w:pPr>
            <w:r>
              <w:rPr>
                <w:rFonts w:hint="eastAsia"/>
                <w:sz w:val="18"/>
                <w:szCs w:val="18"/>
              </w:rPr>
              <w:t xml:space="preserve">直接排放 □；间接排放 □；其他 </w:t>
            </w:r>
            <w:r>
              <w:rPr>
                <w:rFonts w:hint="eastAsia"/>
                <w:b/>
                <w:sz w:val="18"/>
                <w:szCs w:val="18"/>
              </w:rPr>
              <w:t>√</w:t>
            </w:r>
          </w:p>
        </w:tc>
        <w:tc>
          <w:tcPr>
            <w:tcW w:w="1810" w:type="pct"/>
            <w:gridSpan w:val="5"/>
            <w:vAlign w:val="center"/>
          </w:tcPr>
          <w:p>
            <w:pPr>
              <w:spacing w:line="0" w:lineRule="atLeast"/>
              <w:jc w:val="left"/>
              <w:rPr>
                <w:sz w:val="18"/>
                <w:szCs w:val="18"/>
              </w:rPr>
            </w:pPr>
            <w:r>
              <w:rPr>
                <w:rFonts w:hint="eastAsia"/>
                <w:sz w:val="18"/>
                <w:szCs w:val="18"/>
              </w:rPr>
              <w:t>水温 □；径流 □；水域面积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影响因子</w:t>
            </w:r>
          </w:p>
        </w:tc>
        <w:tc>
          <w:tcPr>
            <w:tcW w:w="1987" w:type="pct"/>
            <w:gridSpan w:val="5"/>
            <w:vAlign w:val="center"/>
          </w:tcPr>
          <w:p>
            <w:pPr>
              <w:spacing w:line="0" w:lineRule="atLeast"/>
              <w:jc w:val="left"/>
              <w:rPr>
                <w:sz w:val="18"/>
                <w:szCs w:val="18"/>
              </w:rPr>
            </w:pPr>
            <w:r>
              <w:rPr>
                <w:rFonts w:hint="eastAsia"/>
                <w:sz w:val="18"/>
                <w:szCs w:val="18"/>
              </w:rPr>
              <w:t>持久性污染物 □；有毒有害污染物 □；非持久性污染物 □；</w:t>
            </w:r>
          </w:p>
          <w:p>
            <w:pPr>
              <w:spacing w:line="0" w:lineRule="atLeast"/>
              <w:jc w:val="left"/>
              <w:rPr>
                <w:sz w:val="18"/>
                <w:szCs w:val="18"/>
              </w:rPr>
            </w:pPr>
            <w:r>
              <w:rPr>
                <w:rFonts w:hint="eastAsia"/>
                <w:sz w:val="18"/>
                <w:szCs w:val="18"/>
              </w:rPr>
              <w:t xml:space="preserve">pH值 □；热污染 □；富营养化 □；其他 </w:t>
            </w:r>
            <w:r>
              <w:rPr>
                <w:sz w:val="18"/>
                <w:szCs w:val="18"/>
              </w:rPr>
              <w:sym w:font="Wingdings 2" w:char="00A3"/>
            </w:r>
          </w:p>
        </w:tc>
        <w:tc>
          <w:tcPr>
            <w:tcW w:w="1810" w:type="pct"/>
            <w:gridSpan w:val="5"/>
            <w:vAlign w:val="center"/>
          </w:tcPr>
          <w:p>
            <w:pPr>
              <w:spacing w:line="0" w:lineRule="atLeast"/>
              <w:jc w:val="left"/>
              <w:rPr>
                <w:sz w:val="18"/>
                <w:szCs w:val="18"/>
              </w:rPr>
            </w:pPr>
            <w:r>
              <w:rPr>
                <w:rFonts w:hint="eastAsia"/>
                <w:sz w:val="18"/>
                <w:szCs w:val="18"/>
              </w:rPr>
              <w:t>水温 □；水位（水深） □；流速 □；流量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gridSpan w:val="2"/>
            <w:vMerge w:val="restart"/>
            <w:vAlign w:val="center"/>
          </w:tcPr>
          <w:p>
            <w:pPr>
              <w:spacing w:line="0" w:lineRule="atLeast"/>
              <w:jc w:val="center"/>
              <w:rPr>
                <w:sz w:val="18"/>
                <w:szCs w:val="18"/>
              </w:rPr>
            </w:pPr>
            <w:r>
              <w:rPr>
                <w:sz w:val="18"/>
                <w:szCs w:val="18"/>
              </w:rPr>
              <w:t>评价等级</w:t>
            </w:r>
          </w:p>
        </w:tc>
        <w:tc>
          <w:tcPr>
            <w:tcW w:w="1987" w:type="pct"/>
            <w:gridSpan w:val="5"/>
            <w:vAlign w:val="center"/>
          </w:tcPr>
          <w:p>
            <w:pPr>
              <w:spacing w:line="0" w:lineRule="atLeast"/>
              <w:jc w:val="center"/>
              <w:rPr>
                <w:sz w:val="18"/>
                <w:szCs w:val="18"/>
              </w:rPr>
            </w:pPr>
            <w:r>
              <w:rPr>
                <w:sz w:val="18"/>
                <w:szCs w:val="18"/>
              </w:rPr>
              <w:t>水污染影响型</w:t>
            </w:r>
          </w:p>
        </w:tc>
        <w:tc>
          <w:tcPr>
            <w:tcW w:w="1810" w:type="pct"/>
            <w:gridSpan w:val="5"/>
            <w:vAlign w:val="center"/>
          </w:tcPr>
          <w:p>
            <w:pPr>
              <w:spacing w:line="0" w:lineRule="atLeast"/>
              <w:jc w:val="center"/>
              <w:rPr>
                <w:sz w:val="18"/>
                <w:szCs w:val="18"/>
              </w:rPr>
            </w:pPr>
            <w:r>
              <w:rPr>
                <w:rFonts w:hint="eastAsia"/>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gridSpan w:val="2"/>
            <w:vMerge w:val="continue"/>
            <w:vAlign w:val="center"/>
          </w:tcPr>
          <w:p>
            <w:pPr>
              <w:spacing w:line="0" w:lineRule="atLeast"/>
              <w:jc w:val="center"/>
              <w:rPr>
                <w:sz w:val="18"/>
                <w:szCs w:val="18"/>
              </w:rPr>
            </w:pPr>
          </w:p>
        </w:tc>
        <w:tc>
          <w:tcPr>
            <w:tcW w:w="1987" w:type="pct"/>
            <w:gridSpan w:val="5"/>
            <w:vAlign w:val="center"/>
          </w:tcPr>
          <w:p>
            <w:pPr>
              <w:spacing w:line="0" w:lineRule="atLeast"/>
              <w:jc w:val="left"/>
              <w:rPr>
                <w:sz w:val="18"/>
                <w:szCs w:val="18"/>
              </w:rPr>
            </w:pPr>
            <w:r>
              <w:rPr>
                <w:rFonts w:hint="eastAsia"/>
                <w:sz w:val="18"/>
                <w:szCs w:val="18"/>
              </w:rPr>
              <w:t xml:space="preserve">一级 □；二级 □；三级A □；三级B </w:t>
            </w:r>
            <w:r>
              <w:rPr>
                <w:rFonts w:hint="eastAsia"/>
                <w:b/>
                <w:sz w:val="18"/>
                <w:szCs w:val="18"/>
              </w:rPr>
              <w:t>√</w:t>
            </w:r>
          </w:p>
        </w:tc>
        <w:tc>
          <w:tcPr>
            <w:tcW w:w="1810" w:type="pct"/>
            <w:gridSpan w:val="5"/>
            <w:vAlign w:val="center"/>
          </w:tcPr>
          <w:p>
            <w:pPr>
              <w:spacing w:line="0" w:lineRule="atLeast"/>
              <w:jc w:val="left"/>
              <w:rPr>
                <w:sz w:val="18"/>
                <w:szCs w:val="18"/>
              </w:rPr>
            </w:pPr>
            <w:r>
              <w:rPr>
                <w:rFonts w:hint="eastAsia"/>
                <w:sz w:val="18"/>
                <w:szCs w:val="18"/>
              </w:rPr>
              <w:t>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restart"/>
            <w:vAlign w:val="center"/>
          </w:tcPr>
          <w:p>
            <w:pPr>
              <w:spacing w:line="0" w:lineRule="atLeast"/>
              <w:jc w:val="center"/>
              <w:rPr>
                <w:sz w:val="18"/>
                <w:szCs w:val="18"/>
              </w:rPr>
            </w:pPr>
            <w:r>
              <w:rPr>
                <w:rFonts w:hint="eastAsia"/>
                <w:sz w:val="18"/>
                <w:szCs w:val="18"/>
              </w:rPr>
              <w:t>现</w:t>
            </w:r>
          </w:p>
          <w:p>
            <w:pPr>
              <w:spacing w:line="0" w:lineRule="atLeast"/>
              <w:jc w:val="center"/>
              <w:rPr>
                <w:sz w:val="18"/>
                <w:szCs w:val="18"/>
              </w:rPr>
            </w:pPr>
            <w:r>
              <w:rPr>
                <w:rFonts w:hint="eastAsia"/>
                <w:sz w:val="18"/>
                <w:szCs w:val="18"/>
              </w:rPr>
              <w:t>状</w:t>
            </w:r>
          </w:p>
          <w:p>
            <w:pPr>
              <w:spacing w:line="0" w:lineRule="atLeast"/>
              <w:jc w:val="center"/>
              <w:rPr>
                <w:sz w:val="18"/>
                <w:szCs w:val="18"/>
              </w:rPr>
            </w:pPr>
            <w:r>
              <w:rPr>
                <w:rFonts w:hint="eastAsia"/>
                <w:sz w:val="18"/>
                <w:szCs w:val="18"/>
              </w:rPr>
              <w:t>调</w:t>
            </w:r>
          </w:p>
          <w:p>
            <w:pPr>
              <w:spacing w:line="0" w:lineRule="atLeast"/>
              <w:jc w:val="center"/>
              <w:rPr>
                <w:sz w:val="18"/>
                <w:szCs w:val="18"/>
              </w:rPr>
            </w:pPr>
            <w:r>
              <w:rPr>
                <w:rFonts w:hint="eastAsia"/>
                <w:sz w:val="18"/>
                <w:szCs w:val="18"/>
              </w:rPr>
              <w:t>查</w:t>
            </w:r>
          </w:p>
        </w:tc>
        <w:tc>
          <w:tcPr>
            <w:tcW w:w="839" w:type="pct"/>
            <w:vMerge w:val="restart"/>
            <w:vAlign w:val="center"/>
          </w:tcPr>
          <w:p>
            <w:pPr>
              <w:spacing w:line="0" w:lineRule="atLeast"/>
              <w:jc w:val="center"/>
              <w:rPr>
                <w:sz w:val="18"/>
                <w:szCs w:val="18"/>
              </w:rPr>
            </w:pPr>
            <w:r>
              <w:rPr>
                <w:rFonts w:hint="eastAsia"/>
                <w:sz w:val="18"/>
                <w:szCs w:val="18"/>
              </w:rPr>
              <w:t>区域污染源</w:t>
            </w:r>
          </w:p>
        </w:tc>
        <w:tc>
          <w:tcPr>
            <w:tcW w:w="1987" w:type="pct"/>
            <w:gridSpan w:val="5"/>
            <w:vAlign w:val="center"/>
          </w:tcPr>
          <w:p>
            <w:pPr>
              <w:spacing w:line="0" w:lineRule="atLeast"/>
              <w:jc w:val="center"/>
              <w:rPr>
                <w:sz w:val="18"/>
                <w:szCs w:val="18"/>
              </w:rPr>
            </w:pPr>
            <w:r>
              <w:rPr>
                <w:rFonts w:hint="eastAsia"/>
                <w:sz w:val="18"/>
                <w:szCs w:val="18"/>
              </w:rPr>
              <w:t>调查项目</w:t>
            </w:r>
          </w:p>
        </w:tc>
        <w:tc>
          <w:tcPr>
            <w:tcW w:w="1810" w:type="pct"/>
            <w:gridSpan w:val="5"/>
            <w:vAlign w:val="center"/>
          </w:tcPr>
          <w:p>
            <w:pPr>
              <w:spacing w:line="0" w:lineRule="atLeast"/>
              <w:jc w:val="center"/>
              <w:rPr>
                <w:sz w:val="18"/>
                <w:szCs w:val="18"/>
              </w:rPr>
            </w:pPr>
            <w:r>
              <w:rPr>
                <w:rFonts w:hint="eastAsia"/>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1085" w:type="pct"/>
            <w:gridSpan w:val="2"/>
            <w:vAlign w:val="center"/>
          </w:tcPr>
          <w:p>
            <w:pPr>
              <w:spacing w:line="0" w:lineRule="atLeast"/>
              <w:jc w:val="left"/>
              <w:rPr>
                <w:sz w:val="18"/>
                <w:szCs w:val="18"/>
              </w:rPr>
            </w:pPr>
            <w:r>
              <w:rPr>
                <w:rFonts w:hint="eastAsia"/>
                <w:sz w:val="18"/>
                <w:szCs w:val="18"/>
              </w:rPr>
              <w:t>已建 □；在建 □；拟建 □；其他 □</w:t>
            </w:r>
          </w:p>
        </w:tc>
        <w:tc>
          <w:tcPr>
            <w:tcW w:w="902" w:type="pct"/>
            <w:gridSpan w:val="3"/>
            <w:vAlign w:val="center"/>
          </w:tcPr>
          <w:p>
            <w:pPr>
              <w:spacing w:line="0" w:lineRule="atLeast"/>
              <w:jc w:val="left"/>
              <w:rPr>
                <w:sz w:val="18"/>
                <w:szCs w:val="18"/>
              </w:rPr>
            </w:pPr>
            <w:r>
              <w:rPr>
                <w:rFonts w:hint="eastAsia"/>
                <w:sz w:val="18"/>
                <w:szCs w:val="18"/>
              </w:rPr>
              <w:t>拟替代的污染源□</w:t>
            </w:r>
          </w:p>
        </w:tc>
        <w:tc>
          <w:tcPr>
            <w:tcW w:w="1810" w:type="pct"/>
            <w:gridSpan w:val="5"/>
            <w:vAlign w:val="center"/>
          </w:tcPr>
          <w:p>
            <w:pPr>
              <w:spacing w:line="0" w:lineRule="atLeast"/>
              <w:jc w:val="center"/>
              <w:rPr>
                <w:sz w:val="18"/>
                <w:szCs w:val="18"/>
              </w:rPr>
            </w:pPr>
            <w:r>
              <w:rPr>
                <w:rFonts w:hint="eastAsia"/>
                <w:sz w:val="18"/>
                <w:szCs w:val="18"/>
              </w:rPr>
              <w:t>排污许可证 □；环评 □；环保验收 □；既有实测 □；现场监测 □；入河排放口数据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restart"/>
            <w:vAlign w:val="center"/>
          </w:tcPr>
          <w:p>
            <w:pPr>
              <w:spacing w:line="0" w:lineRule="atLeast"/>
              <w:jc w:val="center"/>
              <w:rPr>
                <w:sz w:val="18"/>
                <w:szCs w:val="18"/>
              </w:rPr>
            </w:pPr>
            <w:r>
              <w:rPr>
                <w:rFonts w:hint="eastAsia"/>
                <w:sz w:val="18"/>
                <w:szCs w:val="18"/>
              </w:rPr>
              <w:t>受影响水体水环境质量</w:t>
            </w:r>
          </w:p>
        </w:tc>
        <w:tc>
          <w:tcPr>
            <w:tcW w:w="1987" w:type="pct"/>
            <w:gridSpan w:val="5"/>
            <w:vAlign w:val="center"/>
          </w:tcPr>
          <w:p>
            <w:pPr>
              <w:spacing w:line="0" w:lineRule="atLeast"/>
              <w:jc w:val="center"/>
              <w:rPr>
                <w:sz w:val="18"/>
                <w:szCs w:val="18"/>
              </w:rPr>
            </w:pPr>
            <w:r>
              <w:rPr>
                <w:rFonts w:hint="eastAsia"/>
                <w:sz w:val="18"/>
                <w:szCs w:val="18"/>
              </w:rPr>
              <w:t>调查时期</w:t>
            </w:r>
          </w:p>
        </w:tc>
        <w:tc>
          <w:tcPr>
            <w:tcW w:w="1810" w:type="pct"/>
            <w:gridSpan w:val="5"/>
            <w:vAlign w:val="center"/>
          </w:tcPr>
          <w:p>
            <w:pPr>
              <w:spacing w:line="0" w:lineRule="atLeast"/>
              <w:jc w:val="center"/>
              <w:rPr>
                <w:sz w:val="18"/>
                <w:szCs w:val="18"/>
              </w:rPr>
            </w:pPr>
            <w:r>
              <w:rPr>
                <w:rFonts w:hint="eastAsia"/>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1987" w:type="pct"/>
            <w:gridSpan w:val="5"/>
            <w:vAlign w:val="center"/>
          </w:tcPr>
          <w:p>
            <w:pPr>
              <w:spacing w:line="0" w:lineRule="atLeast"/>
              <w:jc w:val="left"/>
              <w:rPr>
                <w:sz w:val="18"/>
                <w:szCs w:val="18"/>
              </w:rPr>
            </w:pPr>
            <w:r>
              <w:rPr>
                <w:rFonts w:hint="eastAsia"/>
                <w:sz w:val="18"/>
                <w:szCs w:val="18"/>
              </w:rPr>
              <w:t>丰水期 □；平水期 □；枯水期 □；冰封期 □</w:t>
            </w:r>
          </w:p>
          <w:p>
            <w:pPr>
              <w:spacing w:line="0" w:lineRule="atLeast"/>
              <w:jc w:val="left"/>
              <w:rPr>
                <w:sz w:val="18"/>
                <w:szCs w:val="18"/>
              </w:rPr>
            </w:pPr>
            <w:r>
              <w:rPr>
                <w:rFonts w:hint="eastAsia"/>
                <w:sz w:val="18"/>
                <w:szCs w:val="18"/>
              </w:rPr>
              <w:t xml:space="preserve">春季 □；夏季 □；秋季 □；冬季 □ </w:t>
            </w:r>
          </w:p>
        </w:tc>
        <w:tc>
          <w:tcPr>
            <w:tcW w:w="1810" w:type="pct"/>
            <w:gridSpan w:val="5"/>
            <w:vAlign w:val="center"/>
          </w:tcPr>
          <w:p>
            <w:pPr>
              <w:spacing w:line="0" w:lineRule="atLeast"/>
              <w:rPr>
                <w:sz w:val="18"/>
                <w:szCs w:val="18"/>
              </w:rPr>
            </w:pPr>
            <w:r>
              <w:rPr>
                <w:rFonts w:hint="eastAsia"/>
                <w:sz w:val="18"/>
                <w:szCs w:val="18"/>
              </w:rPr>
              <w:t>生态环境保护主管部门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区域水资源开发利用状况</w:t>
            </w:r>
          </w:p>
        </w:tc>
        <w:tc>
          <w:tcPr>
            <w:tcW w:w="3797" w:type="pct"/>
            <w:gridSpan w:val="10"/>
            <w:vAlign w:val="center"/>
          </w:tcPr>
          <w:p>
            <w:pPr>
              <w:spacing w:line="0" w:lineRule="atLeast"/>
              <w:jc w:val="left"/>
              <w:rPr>
                <w:sz w:val="18"/>
                <w:szCs w:val="18"/>
              </w:rPr>
            </w:pPr>
            <w:r>
              <w:rPr>
                <w:rFonts w:hint="eastAsia"/>
                <w:sz w:val="18"/>
                <w:szCs w:val="18"/>
              </w:rPr>
              <w:t>未开发 □；开发量 40%以下 □；开发量 40%以上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restart"/>
            <w:vAlign w:val="center"/>
          </w:tcPr>
          <w:p>
            <w:pPr>
              <w:spacing w:line="0" w:lineRule="atLeast"/>
              <w:jc w:val="center"/>
              <w:rPr>
                <w:sz w:val="18"/>
                <w:szCs w:val="18"/>
              </w:rPr>
            </w:pPr>
            <w:r>
              <w:rPr>
                <w:rFonts w:hint="eastAsia"/>
                <w:sz w:val="18"/>
                <w:szCs w:val="18"/>
              </w:rPr>
              <w:t>水文情势调查</w:t>
            </w:r>
          </w:p>
        </w:tc>
        <w:tc>
          <w:tcPr>
            <w:tcW w:w="1987" w:type="pct"/>
            <w:gridSpan w:val="5"/>
            <w:vAlign w:val="center"/>
          </w:tcPr>
          <w:p>
            <w:pPr>
              <w:spacing w:line="0" w:lineRule="atLeast"/>
              <w:jc w:val="center"/>
              <w:rPr>
                <w:sz w:val="18"/>
                <w:szCs w:val="18"/>
              </w:rPr>
            </w:pPr>
            <w:r>
              <w:rPr>
                <w:rFonts w:hint="eastAsia"/>
                <w:sz w:val="18"/>
                <w:szCs w:val="18"/>
              </w:rPr>
              <w:t>调查时期</w:t>
            </w:r>
          </w:p>
        </w:tc>
        <w:tc>
          <w:tcPr>
            <w:tcW w:w="1810" w:type="pct"/>
            <w:gridSpan w:val="5"/>
            <w:vAlign w:val="center"/>
          </w:tcPr>
          <w:p>
            <w:pPr>
              <w:spacing w:line="0" w:lineRule="atLeast"/>
              <w:jc w:val="center"/>
              <w:rPr>
                <w:sz w:val="18"/>
                <w:szCs w:val="18"/>
              </w:rPr>
            </w:pPr>
            <w:r>
              <w:rPr>
                <w:rFonts w:hint="eastAsia"/>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1987" w:type="pct"/>
            <w:gridSpan w:val="5"/>
            <w:vAlign w:val="center"/>
          </w:tcPr>
          <w:p>
            <w:pPr>
              <w:spacing w:line="0" w:lineRule="atLeast"/>
              <w:jc w:val="left"/>
              <w:rPr>
                <w:sz w:val="18"/>
                <w:szCs w:val="18"/>
              </w:rPr>
            </w:pPr>
            <w:r>
              <w:rPr>
                <w:rFonts w:hint="eastAsia"/>
                <w:sz w:val="18"/>
                <w:szCs w:val="18"/>
              </w:rPr>
              <w:t>丰水期 □；平水期 □；枯水期 □；冰封期</w:t>
            </w:r>
          </w:p>
          <w:p>
            <w:pPr>
              <w:spacing w:line="0" w:lineRule="atLeast"/>
              <w:jc w:val="left"/>
              <w:rPr>
                <w:sz w:val="18"/>
                <w:szCs w:val="18"/>
              </w:rPr>
            </w:pPr>
            <w:r>
              <w:rPr>
                <w:rFonts w:hint="eastAsia"/>
                <w:sz w:val="18"/>
                <w:szCs w:val="18"/>
              </w:rPr>
              <w:t xml:space="preserve">春季 </w:t>
            </w:r>
            <w:r>
              <w:rPr>
                <w:sz w:val="18"/>
                <w:szCs w:val="18"/>
              </w:rPr>
              <w:sym w:font="Wingdings 2" w:char="00A3"/>
            </w:r>
            <w:r>
              <w:rPr>
                <w:rFonts w:hint="eastAsia"/>
                <w:sz w:val="18"/>
                <w:szCs w:val="18"/>
              </w:rPr>
              <w:t>；夏季 □；秋季 □；冬季 □</w:t>
            </w:r>
          </w:p>
        </w:tc>
        <w:tc>
          <w:tcPr>
            <w:tcW w:w="1810" w:type="pct"/>
            <w:gridSpan w:val="5"/>
            <w:vAlign w:val="center"/>
          </w:tcPr>
          <w:p>
            <w:pPr>
              <w:spacing w:line="0" w:lineRule="atLeast"/>
              <w:jc w:val="left"/>
              <w:rPr>
                <w:sz w:val="18"/>
                <w:szCs w:val="18"/>
              </w:rPr>
            </w:pPr>
            <w:r>
              <w:rPr>
                <w:rFonts w:hint="eastAsia"/>
                <w:sz w:val="18"/>
                <w:szCs w:val="18"/>
              </w:rPr>
              <w:t xml:space="preserve">水行政主管部门 □；补充监测 </w:t>
            </w:r>
            <w:r>
              <w:rPr>
                <w:sz w:val="18"/>
                <w:szCs w:val="18"/>
              </w:rPr>
              <w:sym w:font="Wingdings 2" w:char="00A3"/>
            </w:r>
            <w:r>
              <w:rPr>
                <w:rFonts w:hint="eastAsia"/>
                <w:sz w:val="18"/>
                <w:szCs w:val="18"/>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restart"/>
            <w:vAlign w:val="center"/>
          </w:tcPr>
          <w:p>
            <w:pPr>
              <w:spacing w:line="0" w:lineRule="atLeast"/>
              <w:jc w:val="center"/>
              <w:rPr>
                <w:sz w:val="18"/>
                <w:szCs w:val="18"/>
              </w:rPr>
            </w:pPr>
            <w:r>
              <w:rPr>
                <w:rFonts w:hint="eastAsia"/>
                <w:sz w:val="18"/>
                <w:szCs w:val="18"/>
              </w:rPr>
              <w:t>补充监测</w:t>
            </w:r>
          </w:p>
        </w:tc>
        <w:tc>
          <w:tcPr>
            <w:tcW w:w="1402" w:type="pct"/>
            <w:gridSpan w:val="3"/>
            <w:vAlign w:val="center"/>
          </w:tcPr>
          <w:p>
            <w:pPr>
              <w:spacing w:line="0" w:lineRule="atLeast"/>
              <w:jc w:val="center"/>
              <w:rPr>
                <w:sz w:val="18"/>
                <w:szCs w:val="18"/>
              </w:rPr>
            </w:pPr>
            <w:r>
              <w:rPr>
                <w:rFonts w:hint="eastAsia"/>
                <w:sz w:val="18"/>
                <w:szCs w:val="18"/>
              </w:rPr>
              <w:t>监测时期</w:t>
            </w:r>
          </w:p>
        </w:tc>
        <w:tc>
          <w:tcPr>
            <w:tcW w:w="1543" w:type="pct"/>
            <w:gridSpan w:val="5"/>
            <w:vAlign w:val="center"/>
          </w:tcPr>
          <w:p>
            <w:pPr>
              <w:spacing w:line="0" w:lineRule="atLeast"/>
              <w:jc w:val="center"/>
              <w:rPr>
                <w:sz w:val="18"/>
                <w:szCs w:val="18"/>
              </w:rPr>
            </w:pPr>
            <w:r>
              <w:rPr>
                <w:rFonts w:hint="eastAsia"/>
                <w:sz w:val="18"/>
                <w:szCs w:val="18"/>
              </w:rPr>
              <w:t>监测因子</w:t>
            </w:r>
          </w:p>
        </w:tc>
        <w:tc>
          <w:tcPr>
            <w:tcW w:w="852" w:type="pct"/>
            <w:gridSpan w:val="2"/>
            <w:vAlign w:val="center"/>
          </w:tcPr>
          <w:p>
            <w:pPr>
              <w:spacing w:line="0" w:lineRule="atLeast"/>
              <w:jc w:val="center"/>
              <w:rPr>
                <w:sz w:val="18"/>
                <w:szCs w:val="18"/>
              </w:rPr>
            </w:pPr>
            <w:r>
              <w:rPr>
                <w:rFonts w:hint="eastAsia"/>
                <w:sz w:val="18"/>
                <w:szCs w:val="18"/>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1402" w:type="pct"/>
            <w:gridSpan w:val="3"/>
            <w:vAlign w:val="center"/>
          </w:tcPr>
          <w:p>
            <w:pPr>
              <w:spacing w:line="0" w:lineRule="atLeast"/>
              <w:jc w:val="left"/>
              <w:rPr>
                <w:sz w:val="18"/>
                <w:szCs w:val="18"/>
              </w:rPr>
            </w:pPr>
            <w:r>
              <w:rPr>
                <w:rFonts w:hint="eastAsia"/>
                <w:sz w:val="18"/>
                <w:szCs w:val="18"/>
              </w:rPr>
              <w:t xml:space="preserve">丰水期 □；平水期 □；枯水期 □；冰封期 □ </w:t>
            </w:r>
          </w:p>
          <w:p>
            <w:pPr>
              <w:spacing w:line="0" w:lineRule="atLeast"/>
              <w:jc w:val="left"/>
              <w:rPr>
                <w:sz w:val="18"/>
                <w:szCs w:val="18"/>
              </w:rPr>
            </w:pPr>
            <w:r>
              <w:rPr>
                <w:rFonts w:hint="eastAsia"/>
                <w:sz w:val="18"/>
                <w:szCs w:val="18"/>
              </w:rPr>
              <w:t xml:space="preserve">春季 </w:t>
            </w:r>
            <w:r>
              <w:rPr>
                <w:sz w:val="18"/>
                <w:szCs w:val="18"/>
              </w:rPr>
              <w:sym w:font="Wingdings 2" w:char="00A3"/>
            </w:r>
            <w:r>
              <w:rPr>
                <w:rFonts w:hint="eastAsia"/>
                <w:sz w:val="18"/>
                <w:szCs w:val="18"/>
              </w:rPr>
              <w:t>；夏季 □；秋季 □；冬季 □</w:t>
            </w:r>
          </w:p>
        </w:tc>
        <w:tc>
          <w:tcPr>
            <w:tcW w:w="1543" w:type="pct"/>
            <w:gridSpan w:val="5"/>
            <w:vAlign w:val="center"/>
          </w:tcPr>
          <w:p>
            <w:pPr>
              <w:spacing w:line="0" w:lineRule="atLeast"/>
              <w:jc w:val="center"/>
              <w:rPr>
                <w:sz w:val="18"/>
                <w:szCs w:val="18"/>
              </w:rPr>
            </w:pPr>
            <w:r>
              <w:rPr>
                <w:rFonts w:hint="eastAsia"/>
                <w:sz w:val="18"/>
                <w:szCs w:val="18"/>
              </w:rPr>
              <w:t>/</w:t>
            </w:r>
          </w:p>
        </w:tc>
        <w:tc>
          <w:tcPr>
            <w:tcW w:w="852" w:type="pct"/>
            <w:gridSpan w:val="2"/>
            <w:vAlign w:val="center"/>
          </w:tcPr>
          <w:p>
            <w:pPr>
              <w:spacing w:line="0" w:lineRule="atLeas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restart"/>
            <w:vAlign w:val="center"/>
          </w:tcPr>
          <w:p>
            <w:pPr>
              <w:spacing w:line="0" w:lineRule="atLeast"/>
              <w:jc w:val="center"/>
              <w:rPr>
                <w:sz w:val="18"/>
                <w:szCs w:val="18"/>
              </w:rPr>
            </w:pPr>
            <w:r>
              <w:rPr>
                <w:rFonts w:hint="eastAsia"/>
                <w:sz w:val="18"/>
                <w:szCs w:val="18"/>
              </w:rPr>
              <w:t>现</w:t>
            </w:r>
          </w:p>
          <w:p>
            <w:pPr>
              <w:spacing w:line="0" w:lineRule="atLeast"/>
              <w:jc w:val="center"/>
              <w:rPr>
                <w:sz w:val="18"/>
                <w:szCs w:val="18"/>
              </w:rPr>
            </w:pPr>
            <w:r>
              <w:rPr>
                <w:rFonts w:hint="eastAsia"/>
                <w:sz w:val="18"/>
                <w:szCs w:val="18"/>
              </w:rPr>
              <w:t>状</w:t>
            </w:r>
          </w:p>
          <w:p>
            <w:pPr>
              <w:spacing w:line="0" w:lineRule="atLeast"/>
              <w:jc w:val="center"/>
              <w:rPr>
                <w:sz w:val="18"/>
                <w:szCs w:val="18"/>
              </w:rPr>
            </w:pPr>
            <w:r>
              <w:rPr>
                <w:rFonts w:hint="eastAsia"/>
                <w:sz w:val="18"/>
                <w:szCs w:val="18"/>
              </w:rPr>
              <w:t>评</w:t>
            </w:r>
          </w:p>
          <w:p>
            <w:pPr>
              <w:spacing w:line="0" w:lineRule="atLeast"/>
              <w:jc w:val="center"/>
              <w:rPr>
                <w:sz w:val="18"/>
                <w:szCs w:val="18"/>
              </w:rPr>
            </w:pPr>
            <w:r>
              <w:rPr>
                <w:rFonts w:hint="eastAsia"/>
                <w:sz w:val="18"/>
                <w:szCs w:val="18"/>
              </w:rPr>
              <w:t>价</w:t>
            </w:r>
          </w:p>
        </w:tc>
        <w:tc>
          <w:tcPr>
            <w:tcW w:w="839" w:type="pct"/>
            <w:vAlign w:val="center"/>
          </w:tcPr>
          <w:p>
            <w:pPr>
              <w:spacing w:line="0" w:lineRule="atLeast"/>
              <w:jc w:val="center"/>
              <w:rPr>
                <w:sz w:val="18"/>
                <w:szCs w:val="18"/>
              </w:rPr>
            </w:pPr>
            <w:r>
              <w:rPr>
                <w:rFonts w:hint="eastAsia"/>
                <w:sz w:val="18"/>
                <w:szCs w:val="18"/>
              </w:rPr>
              <w:t>评价范围</w:t>
            </w:r>
          </w:p>
        </w:tc>
        <w:tc>
          <w:tcPr>
            <w:tcW w:w="3797" w:type="pct"/>
            <w:gridSpan w:val="10"/>
            <w:vAlign w:val="center"/>
          </w:tcPr>
          <w:p>
            <w:pPr>
              <w:spacing w:line="0" w:lineRule="atLeast"/>
              <w:jc w:val="left"/>
              <w:rPr>
                <w:sz w:val="18"/>
                <w:szCs w:val="18"/>
              </w:rPr>
            </w:pPr>
            <w:r>
              <w:rPr>
                <w:rFonts w:hint="eastAsia"/>
                <w:sz w:val="18"/>
                <w:szCs w:val="18"/>
              </w:rPr>
              <w:t>河流：长度（ ）km；湖库、河口及近岸海域：面积（</w:t>
            </w:r>
            <w:r>
              <w:rPr>
                <w:sz w:val="18"/>
                <w:szCs w:val="18"/>
              </w:rPr>
              <w:t xml:space="preserve"> </w:t>
            </w:r>
            <w:r>
              <w:rPr>
                <w:rFonts w:hint="eastAsia"/>
                <w:sz w:val="18"/>
                <w:szCs w:val="18"/>
              </w:rPr>
              <w:t>）km</w:t>
            </w:r>
            <w:r>
              <w:rPr>
                <w:rFonts w:hint="eastAsia"/>
                <w:sz w:val="18"/>
                <w:szCs w:val="18"/>
                <w:vertAlign w:val="superscript"/>
              </w:rPr>
              <w:t>2</w:t>
            </w:r>
            <w:r>
              <w:rPr>
                <w:rFonts w:hint="eastAsia"/>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评价因子</w:t>
            </w:r>
          </w:p>
        </w:tc>
        <w:tc>
          <w:tcPr>
            <w:tcW w:w="3797" w:type="pct"/>
            <w:gridSpan w:val="10"/>
            <w:vAlign w:val="center"/>
          </w:tcPr>
          <w:p>
            <w:pPr>
              <w:spacing w:line="0" w:lineRule="atLeas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评价标准</w:t>
            </w:r>
          </w:p>
        </w:tc>
        <w:tc>
          <w:tcPr>
            <w:tcW w:w="3797" w:type="pct"/>
            <w:gridSpan w:val="10"/>
            <w:vAlign w:val="center"/>
          </w:tcPr>
          <w:p>
            <w:pPr>
              <w:spacing w:line="0" w:lineRule="atLeast"/>
              <w:jc w:val="left"/>
              <w:rPr>
                <w:sz w:val="18"/>
                <w:szCs w:val="18"/>
              </w:rPr>
            </w:pPr>
            <w:r>
              <w:rPr>
                <w:rFonts w:hint="eastAsia"/>
                <w:sz w:val="18"/>
                <w:szCs w:val="18"/>
              </w:rPr>
              <w:t xml:space="preserve">河流、湖库、河口：Ⅰ类 □；Ⅱ类 </w:t>
            </w:r>
            <w:r>
              <w:rPr>
                <w:sz w:val="18"/>
                <w:szCs w:val="18"/>
              </w:rPr>
              <w:sym w:font="Wingdings 2" w:char="00A3"/>
            </w:r>
            <w:r>
              <w:rPr>
                <w:rFonts w:hint="eastAsia"/>
                <w:sz w:val="18"/>
                <w:szCs w:val="18"/>
              </w:rPr>
              <w:t xml:space="preserve">；Ⅲ类 □；Ⅳ类 □；Ⅴ类 □ </w:t>
            </w:r>
          </w:p>
          <w:p>
            <w:pPr>
              <w:spacing w:line="0" w:lineRule="atLeast"/>
              <w:jc w:val="left"/>
              <w:rPr>
                <w:sz w:val="18"/>
                <w:szCs w:val="18"/>
              </w:rPr>
            </w:pPr>
            <w:r>
              <w:rPr>
                <w:rFonts w:hint="eastAsia"/>
                <w:sz w:val="18"/>
                <w:szCs w:val="18"/>
              </w:rPr>
              <w:t xml:space="preserve">近岸海域：第一类 □；第二类 □；第三类 □；第四类 □ </w:t>
            </w:r>
          </w:p>
          <w:p>
            <w:pPr>
              <w:spacing w:line="0" w:lineRule="atLeast"/>
              <w:jc w:val="left"/>
              <w:rPr>
                <w:sz w:val="18"/>
                <w:szCs w:val="18"/>
              </w:rPr>
            </w:pPr>
            <w:r>
              <w:rPr>
                <w:rFonts w:hint="eastAsia"/>
                <w:sz w:val="18"/>
                <w:szCs w:val="18"/>
              </w:rPr>
              <w:t xml:space="preserve">规划年评价标准（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评价时期</w:t>
            </w:r>
          </w:p>
        </w:tc>
        <w:tc>
          <w:tcPr>
            <w:tcW w:w="3797" w:type="pct"/>
            <w:gridSpan w:val="10"/>
            <w:vAlign w:val="center"/>
          </w:tcPr>
          <w:p>
            <w:pPr>
              <w:spacing w:line="0" w:lineRule="atLeast"/>
              <w:jc w:val="left"/>
              <w:rPr>
                <w:sz w:val="18"/>
                <w:szCs w:val="18"/>
              </w:rPr>
            </w:pPr>
            <w:r>
              <w:rPr>
                <w:rFonts w:hint="eastAsia"/>
                <w:sz w:val="18"/>
                <w:szCs w:val="18"/>
              </w:rPr>
              <w:t xml:space="preserve">丰水期 □；平水期 □；枯水期 □；冰封期 □ </w:t>
            </w:r>
          </w:p>
          <w:p>
            <w:pPr>
              <w:spacing w:line="0" w:lineRule="atLeast"/>
              <w:jc w:val="left"/>
              <w:rPr>
                <w:sz w:val="18"/>
                <w:szCs w:val="18"/>
              </w:rPr>
            </w:pPr>
            <w:r>
              <w:rPr>
                <w:rFonts w:hint="eastAsia"/>
                <w:sz w:val="18"/>
                <w:szCs w:val="18"/>
              </w:rPr>
              <w:t xml:space="preserve">春季 </w:t>
            </w:r>
            <w:r>
              <w:rPr>
                <w:sz w:val="18"/>
                <w:szCs w:val="18"/>
              </w:rPr>
              <w:sym w:font="Wingdings 2" w:char="00A3"/>
            </w:r>
            <w:r>
              <w:rPr>
                <w:rFonts w:hint="eastAsia"/>
                <w:sz w:val="18"/>
                <w:szCs w:val="18"/>
              </w:rPr>
              <w:t xml:space="preserve">；夏季 □；秋季 □；冬季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评价结论</w:t>
            </w:r>
          </w:p>
        </w:tc>
        <w:tc>
          <w:tcPr>
            <w:tcW w:w="3039" w:type="pct"/>
            <w:gridSpan w:val="9"/>
            <w:vAlign w:val="center"/>
          </w:tcPr>
          <w:p>
            <w:pPr>
              <w:spacing w:line="0" w:lineRule="atLeast"/>
              <w:jc w:val="left"/>
              <w:rPr>
                <w:sz w:val="18"/>
                <w:szCs w:val="18"/>
              </w:rPr>
            </w:pPr>
            <w:r>
              <w:rPr>
                <w:rFonts w:hint="eastAsia"/>
                <w:sz w:val="18"/>
                <w:szCs w:val="18"/>
              </w:rPr>
              <w:t xml:space="preserve">水环境功能区或水功能区、近岸海域环境功能区水质达标状况 □：达标 □；不达标 </w:t>
            </w:r>
            <w:r>
              <w:rPr>
                <w:sz w:val="18"/>
                <w:szCs w:val="18"/>
              </w:rPr>
              <w:sym w:font="Wingdings 2" w:char="00A3"/>
            </w:r>
            <w:r>
              <w:rPr>
                <w:rFonts w:hint="eastAsia"/>
                <w:sz w:val="18"/>
                <w:szCs w:val="18"/>
              </w:rPr>
              <w:t xml:space="preserve"> </w:t>
            </w:r>
          </w:p>
          <w:p>
            <w:pPr>
              <w:spacing w:line="0" w:lineRule="atLeast"/>
              <w:jc w:val="left"/>
              <w:rPr>
                <w:sz w:val="18"/>
                <w:szCs w:val="18"/>
              </w:rPr>
            </w:pPr>
            <w:r>
              <w:rPr>
                <w:rFonts w:hint="eastAsia"/>
                <w:sz w:val="18"/>
                <w:szCs w:val="18"/>
              </w:rPr>
              <w:t xml:space="preserve">水环境控制单元或断面水质达标状况 □：达标 □；不达标 </w:t>
            </w:r>
            <w:r>
              <w:rPr>
                <w:sz w:val="18"/>
                <w:szCs w:val="18"/>
              </w:rPr>
              <w:sym w:font="Wingdings 2" w:char="00A3"/>
            </w:r>
          </w:p>
          <w:p>
            <w:pPr>
              <w:spacing w:line="0" w:lineRule="atLeast"/>
              <w:jc w:val="left"/>
              <w:rPr>
                <w:sz w:val="18"/>
                <w:szCs w:val="18"/>
              </w:rPr>
            </w:pPr>
            <w:r>
              <w:rPr>
                <w:rFonts w:hint="eastAsia"/>
                <w:sz w:val="18"/>
                <w:szCs w:val="18"/>
              </w:rPr>
              <w:t xml:space="preserve">水环境保护目标质量状况 □：达标 □；不达标 □ </w:t>
            </w:r>
          </w:p>
          <w:p>
            <w:pPr>
              <w:spacing w:line="0" w:lineRule="atLeast"/>
              <w:jc w:val="left"/>
              <w:rPr>
                <w:sz w:val="18"/>
                <w:szCs w:val="18"/>
              </w:rPr>
            </w:pPr>
            <w:r>
              <w:rPr>
                <w:rFonts w:hint="eastAsia"/>
                <w:sz w:val="18"/>
                <w:szCs w:val="18"/>
              </w:rPr>
              <w:t xml:space="preserve">对照断面、控制断面等代表性断面的水质状况 □：达标 □；不达标 </w:t>
            </w:r>
            <w:r>
              <w:rPr>
                <w:sz w:val="18"/>
                <w:szCs w:val="18"/>
              </w:rPr>
              <w:sym w:font="Wingdings 2" w:char="00A3"/>
            </w:r>
          </w:p>
          <w:p>
            <w:pPr>
              <w:spacing w:line="0" w:lineRule="atLeast"/>
              <w:jc w:val="left"/>
              <w:rPr>
                <w:sz w:val="18"/>
                <w:szCs w:val="18"/>
              </w:rPr>
            </w:pPr>
            <w:r>
              <w:rPr>
                <w:rFonts w:hint="eastAsia"/>
                <w:sz w:val="18"/>
                <w:szCs w:val="18"/>
              </w:rPr>
              <w:t xml:space="preserve">底泥污染评价 □ </w:t>
            </w:r>
          </w:p>
          <w:p>
            <w:pPr>
              <w:spacing w:line="0" w:lineRule="atLeast"/>
              <w:jc w:val="left"/>
              <w:rPr>
                <w:sz w:val="18"/>
                <w:szCs w:val="18"/>
              </w:rPr>
            </w:pPr>
            <w:r>
              <w:rPr>
                <w:rFonts w:hint="eastAsia"/>
                <w:sz w:val="18"/>
                <w:szCs w:val="18"/>
              </w:rPr>
              <w:t xml:space="preserve">水资源与开发利用程度及其水文情势评价 □ </w:t>
            </w:r>
          </w:p>
          <w:p>
            <w:pPr>
              <w:spacing w:line="0" w:lineRule="atLeast"/>
              <w:jc w:val="left"/>
              <w:rPr>
                <w:sz w:val="18"/>
                <w:szCs w:val="18"/>
              </w:rPr>
            </w:pPr>
            <w:r>
              <w:rPr>
                <w:rFonts w:hint="eastAsia"/>
                <w:sz w:val="18"/>
                <w:szCs w:val="18"/>
              </w:rPr>
              <w:t xml:space="preserve">水环境质量回顾评价 □ </w:t>
            </w:r>
          </w:p>
          <w:p>
            <w:pPr>
              <w:spacing w:line="0" w:lineRule="atLeast"/>
              <w:jc w:val="left"/>
              <w:rPr>
                <w:sz w:val="18"/>
                <w:szCs w:val="18"/>
              </w:rPr>
            </w:pPr>
            <w:r>
              <w:rPr>
                <w:rFonts w:hint="eastAsia"/>
                <w:sz w:val="18"/>
                <w:szCs w:val="18"/>
              </w:rPr>
              <w:t>流域（区域）水资源（包括水能资源）与开发利用总体状况、生态流量管理要求与现状满足程度、建设项目占用水域空间的水流状况与河湖演变状况 □</w:t>
            </w:r>
          </w:p>
        </w:tc>
        <w:tc>
          <w:tcPr>
            <w:tcW w:w="758" w:type="pct"/>
            <w:vAlign w:val="center"/>
          </w:tcPr>
          <w:p>
            <w:pPr>
              <w:spacing w:line="0" w:lineRule="atLeast"/>
              <w:jc w:val="center"/>
              <w:rPr>
                <w:sz w:val="18"/>
                <w:szCs w:val="18"/>
              </w:rPr>
            </w:pPr>
            <w:r>
              <w:rPr>
                <w:rFonts w:hint="eastAsia"/>
                <w:sz w:val="18"/>
                <w:szCs w:val="18"/>
              </w:rPr>
              <w:t xml:space="preserve">达标区 □ </w:t>
            </w:r>
          </w:p>
          <w:p>
            <w:pPr>
              <w:spacing w:line="0" w:lineRule="atLeast"/>
              <w:jc w:val="center"/>
              <w:rPr>
                <w:sz w:val="18"/>
                <w:szCs w:val="18"/>
              </w:rPr>
            </w:pPr>
            <w:r>
              <w:rPr>
                <w:rFonts w:hint="eastAsia"/>
                <w:sz w:val="18"/>
                <w:szCs w:val="18"/>
              </w:rPr>
              <w:t xml:space="preserve">不达标区 </w:t>
            </w:r>
            <w:r>
              <w:rPr>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restart"/>
            <w:vAlign w:val="center"/>
          </w:tcPr>
          <w:p>
            <w:pPr>
              <w:spacing w:line="0" w:lineRule="atLeast"/>
              <w:jc w:val="center"/>
              <w:rPr>
                <w:sz w:val="18"/>
                <w:szCs w:val="18"/>
              </w:rPr>
            </w:pPr>
            <w:r>
              <w:rPr>
                <w:rFonts w:hint="eastAsia"/>
                <w:sz w:val="18"/>
                <w:szCs w:val="18"/>
              </w:rPr>
              <w:t>影</w:t>
            </w:r>
          </w:p>
          <w:p>
            <w:pPr>
              <w:spacing w:line="0" w:lineRule="atLeast"/>
              <w:jc w:val="center"/>
              <w:rPr>
                <w:sz w:val="18"/>
                <w:szCs w:val="18"/>
              </w:rPr>
            </w:pPr>
            <w:r>
              <w:rPr>
                <w:rFonts w:hint="eastAsia"/>
                <w:sz w:val="18"/>
                <w:szCs w:val="18"/>
              </w:rPr>
              <w:t>响</w:t>
            </w:r>
          </w:p>
          <w:p>
            <w:pPr>
              <w:spacing w:line="0" w:lineRule="atLeast"/>
              <w:jc w:val="center"/>
              <w:rPr>
                <w:sz w:val="18"/>
                <w:szCs w:val="18"/>
              </w:rPr>
            </w:pPr>
            <w:r>
              <w:rPr>
                <w:rFonts w:hint="eastAsia"/>
                <w:sz w:val="18"/>
                <w:szCs w:val="18"/>
              </w:rPr>
              <w:t>预</w:t>
            </w:r>
          </w:p>
          <w:p>
            <w:pPr>
              <w:spacing w:line="0" w:lineRule="atLeast"/>
              <w:jc w:val="center"/>
              <w:rPr>
                <w:sz w:val="18"/>
                <w:szCs w:val="18"/>
              </w:rPr>
            </w:pPr>
            <w:r>
              <w:rPr>
                <w:rFonts w:hint="eastAsia"/>
                <w:sz w:val="18"/>
                <w:szCs w:val="18"/>
              </w:rPr>
              <w:t>测</w:t>
            </w:r>
          </w:p>
        </w:tc>
        <w:tc>
          <w:tcPr>
            <w:tcW w:w="839" w:type="pct"/>
            <w:vAlign w:val="center"/>
          </w:tcPr>
          <w:p>
            <w:pPr>
              <w:spacing w:line="0" w:lineRule="atLeast"/>
              <w:jc w:val="center"/>
              <w:rPr>
                <w:sz w:val="18"/>
                <w:szCs w:val="18"/>
              </w:rPr>
            </w:pPr>
            <w:r>
              <w:rPr>
                <w:rFonts w:hint="eastAsia"/>
                <w:sz w:val="18"/>
                <w:szCs w:val="18"/>
              </w:rPr>
              <w:t>预测范围</w:t>
            </w:r>
          </w:p>
        </w:tc>
        <w:tc>
          <w:tcPr>
            <w:tcW w:w="3797" w:type="pct"/>
            <w:gridSpan w:val="10"/>
            <w:vAlign w:val="center"/>
          </w:tcPr>
          <w:p>
            <w:pPr>
              <w:spacing w:line="0" w:lineRule="atLeast"/>
              <w:jc w:val="left"/>
              <w:rPr>
                <w:sz w:val="18"/>
                <w:szCs w:val="18"/>
              </w:rPr>
            </w:pPr>
            <w:r>
              <w:rPr>
                <w:rFonts w:hint="eastAsia"/>
                <w:sz w:val="18"/>
                <w:szCs w:val="18"/>
              </w:rPr>
              <w:t>河流：长度（</w:t>
            </w:r>
            <w:r>
              <w:rPr>
                <w:sz w:val="18"/>
                <w:szCs w:val="18"/>
              </w:rPr>
              <w:t xml:space="preserve"> </w:t>
            </w:r>
            <w:r>
              <w:rPr>
                <w:rFonts w:hint="eastAsia"/>
                <w:sz w:val="18"/>
                <w:szCs w:val="18"/>
              </w:rPr>
              <w:t>）km；湖库、河口及近岸海域：面积（</w:t>
            </w:r>
            <w:r>
              <w:rPr>
                <w:sz w:val="18"/>
                <w:szCs w:val="18"/>
              </w:rPr>
              <w:t xml:space="preserve"> </w:t>
            </w:r>
            <w:r>
              <w:rPr>
                <w:rFonts w:hint="eastAsia"/>
                <w:sz w:val="18"/>
                <w:szCs w:val="18"/>
              </w:rPr>
              <w:t>）km</w:t>
            </w:r>
            <w:r>
              <w:rPr>
                <w:rFonts w:hint="eastAsia"/>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预测因子</w:t>
            </w:r>
          </w:p>
        </w:tc>
        <w:tc>
          <w:tcPr>
            <w:tcW w:w="3797" w:type="pct"/>
            <w:gridSpan w:val="10"/>
            <w:vAlign w:val="center"/>
          </w:tcPr>
          <w:p>
            <w:pPr>
              <w:spacing w:line="0" w:lineRule="atLeast"/>
              <w:jc w:val="left"/>
              <w:rPr>
                <w:sz w:val="18"/>
                <w:szCs w:val="18"/>
              </w:rPr>
            </w:pPr>
            <w:r>
              <w:rPr>
                <w:rFonts w:hint="eastAsia"/>
                <w:sz w:val="18"/>
                <w:szCs w:val="18"/>
              </w:rPr>
              <w:t>（</w:t>
            </w:r>
            <w:r>
              <w:rPr>
                <w:sz w:val="18"/>
                <w:szCs w:val="18"/>
              </w:rPr>
              <w:t xml:space="preserve"> </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预测时期</w:t>
            </w:r>
          </w:p>
        </w:tc>
        <w:tc>
          <w:tcPr>
            <w:tcW w:w="3797" w:type="pct"/>
            <w:gridSpan w:val="10"/>
            <w:vAlign w:val="center"/>
          </w:tcPr>
          <w:p>
            <w:pPr>
              <w:spacing w:line="0" w:lineRule="atLeast"/>
              <w:jc w:val="left"/>
              <w:rPr>
                <w:sz w:val="18"/>
                <w:szCs w:val="18"/>
              </w:rPr>
            </w:pPr>
            <w:r>
              <w:rPr>
                <w:rFonts w:hint="eastAsia"/>
                <w:sz w:val="18"/>
                <w:szCs w:val="18"/>
              </w:rPr>
              <w:t>丰水期 □；平水期 □；枯水期 □；冰封期 □</w:t>
            </w:r>
          </w:p>
          <w:p>
            <w:pPr>
              <w:spacing w:line="0" w:lineRule="atLeast"/>
              <w:jc w:val="left"/>
              <w:rPr>
                <w:sz w:val="18"/>
                <w:szCs w:val="18"/>
              </w:rPr>
            </w:pPr>
            <w:r>
              <w:rPr>
                <w:rFonts w:hint="eastAsia"/>
                <w:sz w:val="18"/>
                <w:szCs w:val="18"/>
              </w:rPr>
              <w:t xml:space="preserve">春季 □；夏季 □；秋季 □；冬季 □ </w:t>
            </w:r>
          </w:p>
          <w:p>
            <w:pPr>
              <w:spacing w:line="0" w:lineRule="atLeast"/>
              <w:jc w:val="left"/>
              <w:rPr>
                <w:sz w:val="18"/>
                <w:szCs w:val="18"/>
              </w:rPr>
            </w:pPr>
            <w:r>
              <w:rPr>
                <w:rFonts w:hint="eastAsia"/>
                <w:sz w:val="18"/>
                <w:szCs w:val="18"/>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预测情景</w:t>
            </w:r>
          </w:p>
        </w:tc>
        <w:tc>
          <w:tcPr>
            <w:tcW w:w="3797" w:type="pct"/>
            <w:gridSpan w:val="10"/>
            <w:vAlign w:val="center"/>
          </w:tcPr>
          <w:p>
            <w:pPr>
              <w:spacing w:line="0" w:lineRule="atLeast"/>
              <w:jc w:val="left"/>
              <w:rPr>
                <w:sz w:val="18"/>
                <w:szCs w:val="18"/>
              </w:rPr>
            </w:pPr>
            <w:r>
              <w:rPr>
                <w:rFonts w:hint="eastAsia"/>
                <w:sz w:val="18"/>
                <w:szCs w:val="18"/>
              </w:rPr>
              <w:t xml:space="preserve">建设期 □；生产运行期 □；服务期满后 □ </w:t>
            </w:r>
          </w:p>
          <w:p>
            <w:pPr>
              <w:spacing w:line="0" w:lineRule="atLeast"/>
              <w:jc w:val="left"/>
              <w:rPr>
                <w:sz w:val="18"/>
                <w:szCs w:val="18"/>
              </w:rPr>
            </w:pPr>
            <w:r>
              <w:rPr>
                <w:rFonts w:hint="eastAsia"/>
                <w:sz w:val="18"/>
                <w:szCs w:val="18"/>
              </w:rPr>
              <w:t xml:space="preserve">正常工况 □；非正常工况 □ </w:t>
            </w:r>
          </w:p>
          <w:p>
            <w:pPr>
              <w:spacing w:line="0" w:lineRule="atLeast"/>
              <w:jc w:val="left"/>
              <w:rPr>
                <w:sz w:val="18"/>
                <w:szCs w:val="18"/>
              </w:rPr>
            </w:pPr>
            <w:r>
              <w:rPr>
                <w:rFonts w:hint="eastAsia"/>
                <w:sz w:val="18"/>
                <w:szCs w:val="18"/>
              </w:rPr>
              <w:t xml:space="preserve">污染控制和减缓措施方案 □ </w:t>
            </w:r>
          </w:p>
          <w:p>
            <w:pPr>
              <w:spacing w:line="0" w:lineRule="atLeast"/>
              <w:jc w:val="left"/>
              <w:rPr>
                <w:sz w:val="18"/>
                <w:szCs w:val="18"/>
              </w:rPr>
            </w:pPr>
            <w:r>
              <w:rPr>
                <w:rFonts w:hint="eastAsia"/>
                <w:sz w:val="18"/>
                <w:szCs w:val="18"/>
              </w:rPr>
              <w:t>区（流）域环境质量改善目标要求情景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预测方法</w:t>
            </w:r>
          </w:p>
        </w:tc>
        <w:tc>
          <w:tcPr>
            <w:tcW w:w="3797" w:type="pct"/>
            <w:gridSpan w:val="10"/>
            <w:vAlign w:val="center"/>
          </w:tcPr>
          <w:p>
            <w:pPr>
              <w:spacing w:line="0" w:lineRule="atLeast"/>
              <w:jc w:val="left"/>
              <w:rPr>
                <w:sz w:val="18"/>
                <w:szCs w:val="18"/>
              </w:rPr>
            </w:pPr>
            <w:r>
              <w:rPr>
                <w:rFonts w:hint="eastAsia"/>
                <w:sz w:val="18"/>
                <w:szCs w:val="18"/>
              </w:rPr>
              <w:t xml:space="preserve">数值解 □：解析解 □；其他 □ </w:t>
            </w:r>
          </w:p>
          <w:p>
            <w:pPr>
              <w:spacing w:line="0" w:lineRule="atLeast"/>
              <w:jc w:val="left"/>
              <w:rPr>
                <w:sz w:val="18"/>
                <w:szCs w:val="18"/>
              </w:rPr>
            </w:pPr>
            <w:r>
              <w:rPr>
                <w:rFonts w:hint="eastAsia"/>
                <w:sz w:val="18"/>
                <w:szCs w:val="18"/>
              </w:rPr>
              <w:t>导则推荐模式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restart"/>
            <w:vAlign w:val="center"/>
          </w:tcPr>
          <w:p>
            <w:pPr>
              <w:spacing w:line="0" w:lineRule="atLeast"/>
              <w:jc w:val="center"/>
              <w:rPr>
                <w:sz w:val="18"/>
                <w:szCs w:val="18"/>
              </w:rPr>
            </w:pPr>
            <w:r>
              <w:rPr>
                <w:rFonts w:hint="eastAsia"/>
                <w:sz w:val="18"/>
                <w:szCs w:val="18"/>
              </w:rPr>
              <w:t>影</w:t>
            </w:r>
          </w:p>
          <w:p>
            <w:pPr>
              <w:spacing w:line="0" w:lineRule="atLeast"/>
              <w:jc w:val="center"/>
              <w:rPr>
                <w:sz w:val="18"/>
                <w:szCs w:val="18"/>
              </w:rPr>
            </w:pPr>
            <w:r>
              <w:rPr>
                <w:rFonts w:hint="eastAsia"/>
                <w:sz w:val="18"/>
                <w:szCs w:val="18"/>
              </w:rPr>
              <w:t>响</w:t>
            </w:r>
          </w:p>
          <w:p>
            <w:pPr>
              <w:spacing w:line="0" w:lineRule="atLeast"/>
              <w:jc w:val="center"/>
              <w:rPr>
                <w:sz w:val="18"/>
                <w:szCs w:val="18"/>
              </w:rPr>
            </w:pPr>
            <w:r>
              <w:rPr>
                <w:rFonts w:hint="eastAsia"/>
                <w:sz w:val="18"/>
                <w:szCs w:val="18"/>
              </w:rPr>
              <w:t>评</w:t>
            </w:r>
          </w:p>
          <w:p>
            <w:pPr>
              <w:spacing w:line="0" w:lineRule="atLeast"/>
              <w:jc w:val="center"/>
              <w:rPr>
                <w:sz w:val="18"/>
                <w:szCs w:val="18"/>
              </w:rPr>
            </w:pPr>
            <w:r>
              <w:rPr>
                <w:rFonts w:hint="eastAsia"/>
                <w:sz w:val="18"/>
                <w:szCs w:val="18"/>
              </w:rPr>
              <w:t>价</w:t>
            </w:r>
          </w:p>
        </w:tc>
        <w:tc>
          <w:tcPr>
            <w:tcW w:w="839" w:type="pct"/>
            <w:vAlign w:val="center"/>
          </w:tcPr>
          <w:p>
            <w:pPr>
              <w:spacing w:line="0" w:lineRule="atLeast"/>
              <w:jc w:val="center"/>
              <w:rPr>
                <w:sz w:val="18"/>
                <w:szCs w:val="18"/>
              </w:rPr>
            </w:pPr>
            <w:r>
              <w:rPr>
                <w:rFonts w:hint="eastAsia"/>
                <w:sz w:val="18"/>
                <w:szCs w:val="18"/>
              </w:rPr>
              <w:t>水污染控制和水环境影响减缓措</w:t>
            </w:r>
          </w:p>
          <w:p>
            <w:pPr>
              <w:spacing w:line="0" w:lineRule="atLeast"/>
              <w:jc w:val="center"/>
              <w:rPr>
                <w:sz w:val="18"/>
                <w:szCs w:val="18"/>
              </w:rPr>
            </w:pPr>
            <w:r>
              <w:rPr>
                <w:rFonts w:hint="eastAsia"/>
                <w:sz w:val="18"/>
                <w:szCs w:val="18"/>
              </w:rPr>
              <w:t>施有效性评价</w:t>
            </w:r>
          </w:p>
        </w:tc>
        <w:tc>
          <w:tcPr>
            <w:tcW w:w="3797" w:type="pct"/>
            <w:gridSpan w:val="10"/>
            <w:vAlign w:val="center"/>
          </w:tcPr>
          <w:p>
            <w:pPr>
              <w:spacing w:line="0" w:lineRule="atLeast"/>
              <w:jc w:val="left"/>
              <w:rPr>
                <w:sz w:val="18"/>
                <w:szCs w:val="18"/>
              </w:rPr>
            </w:pPr>
            <w:r>
              <w:rPr>
                <w:rFonts w:hint="eastAsia"/>
                <w:sz w:val="18"/>
                <w:szCs w:val="18"/>
              </w:rPr>
              <w:t xml:space="preserve">区（流）域水环境质量改善目标 □；替代削减源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水环境影响评价</w:t>
            </w:r>
          </w:p>
        </w:tc>
        <w:tc>
          <w:tcPr>
            <w:tcW w:w="3797" w:type="pct"/>
            <w:gridSpan w:val="10"/>
            <w:vAlign w:val="center"/>
          </w:tcPr>
          <w:p>
            <w:pPr>
              <w:spacing w:line="0" w:lineRule="atLeast"/>
              <w:jc w:val="left"/>
              <w:rPr>
                <w:sz w:val="18"/>
                <w:szCs w:val="18"/>
              </w:rPr>
            </w:pPr>
            <w:r>
              <w:rPr>
                <w:rFonts w:hint="eastAsia"/>
                <w:sz w:val="18"/>
                <w:szCs w:val="18"/>
              </w:rPr>
              <w:t xml:space="preserve">排放口混合区外满足水环境管理要求 □ </w:t>
            </w:r>
          </w:p>
          <w:p>
            <w:pPr>
              <w:spacing w:line="0" w:lineRule="atLeast"/>
              <w:jc w:val="left"/>
              <w:rPr>
                <w:sz w:val="18"/>
                <w:szCs w:val="18"/>
              </w:rPr>
            </w:pPr>
            <w:r>
              <w:rPr>
                <w:rFonts w:hint="eastAsia"/>
                <w:sz w:val="18"/>
                <w:szCs w:val="18"/>
              </w:rPr>
              <w:t xml:space="preserve">水环境功能区或水功能区、近岸海域环境功能区水质达标 □ </w:t>
            </w:r>
          </w:p>
          <w:p>
            <w:pPr>
              <w:spacing w:line="0" w:lineRule="atLeast"/>
              <w:jc w:val="left"/>
              <w:rPr>
                <w:sz w:val="18"/>
                <w:szCs w:val="18"/>
              </w:rPr>
            </w:pPr>
            <w:r>
              <w:rPr>
                <w:rFonts w:hint="eastAsia"/>
                <w:sz w:val="18"/>
                <w:szCs w:val="18"/>
              </w:rPr>
              <w:t xml:space="preserve">满足水环境保护目标水域水环境质量要求 □ </w:t>
            </w:r>
          </w:p>
          <w:p>
            <w:pPr>
              <w:spacing w:line="0" w:lineRule="atLeast"/>
              <w:jc w:val="left"/>
              <w:rPr>
                <w:sz w:val="18"/>
                <w:szCs w:val="18"/>
              </w:rPr>
            </w:pPr>
            <w:r>
              <w:rPr>
                <w:rFonts w:hint="eastAsia"/>
                <w:sz w:val="18"/>
                <w:szCs w:val="18"/>
              </w:rPr>
              <w:t xml:space="preserve">水环境控制单元或断面水质达标 □ </w:t>
            </w:r>
          </w:p>
          <w:p>
            <w:pPr>
              <w:spacing w:line="0" w:lineRule="atLeast"/>
              <w:jc w:val="left"/>
              <w:rPr>
                <w:sz w:val="18"/>
                <w:szCs w:val="18"/>
              </w:rPr>
            </w:pPr>
            <w:r>
              <w:rPr>
                <w:rFonts w:hint="eastAsia"/>
                <w:sz w:val="18"/>
                <w:szCs w:val="18"/>
              </w:rPr>
              <w:t xml:space="preserve">满足重点水污染物排放总量控制指标要求，重点行业建设项目， 主要污染物排放满足等量或减量替代要求 □ </w:t>
            </w:r>
          </w:p>
          <w:p>
            <w:pPr>
              <w:spacing w:line="0" w:lineRule="atLeast"/>
              <w:jc w:val="left"/>
              <w:rPr>
                <w:sz w:val="18"/>
                <w:szCs w:val="18"/>
              </w:rPr>
            </w:pPr>
            <w:r>
              <w:rPr>
                <w:rFonts w:hint="eastAsia"/>
                <w:sz w:val="18"/>
                <w:szCs w:val="18"/>
              </w:rPr>
              <w:t xml:space="preserve">满足区（流）域水环境质量改善目标要求 □ </w:t>
            </w:r>
          </w:p>
          <w:p>
            <w:pPr>
              <w:spacing w:line="0" w:lineRule="atLeast"/>
              <w:jc w:val="left"/>
              <w:rPr>
                <w:sz w:val="18"/>
                <w:szCs w:val="18"/>
              </w:rPr>
            </w:pPr>
            <w:r>
              <w:rPr>
                <w:rFonts w:hint="eastAsia"/>
                <w:sz w:val="18"/>
                <w:szCs w:val="18"/>
              </w:rPr>
              <w:t xml:space="preserve">水文要素影响型建设项目同时应包括水文情势变化评价、主要水文特征值影响评价、生态流量符合性评价 □ </w:t>
            </w:r>
          </w:p>
          <w:p>
            <w:pPr>
              <w:spacing w:line="0" w:lineRule="atLeast"/>
              <w:jc w:val="left"/>
              <w:rPr>
                <w:sz w:val="18"/>
                <w:szCs w:val="18"/>
              </w:rPr>
            </w:pPr>
            <w:r>
              <w:rPr>
                <w:rFonts w:hint="eastAsia"/>
                <w:sz w:val="18"/>
                <w:szCs w:val="18"/>
              </w:rPr>
              <w:t xml:space="preserve">对于新设或调整入河（湖库、近岸海域）排放口的建设项目，应包括排放口设置的环境合理性评价 □ </w:t>
            </w:r>
          </w:p>
          <w:p>
            <w:pPr>
              <w:spacing w:line="0" w:lineRule="atLeast"/>
              <w:jc w:val="left"/>
              <w:rPr>
                <w:sz w:val="18"/>
                <w:szCs w:val="18"/>
              </w:rPr>
            </w:pPr>
            <w:r>
              <w:rPr>
                <w:rFonts w:hint="eastAsia"/>
                <w:sz w:val="18"/>
                <w:szCs w:val="18"/>
              </w:rPr>
              <w:t>满足生态保护红线、水环境质量底线、资源利用上线和环境准入清单管理要求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restart"/>
            <w:vAlign w:val="center"/>
          </w:tcPr>
          <w:p>
            <w:pPr>
              <w:spacing w:line="0" w:lineRule="atLeast"/>
              <w:jc w:val="center"/>
              <w:rPr>
                <w:sz w:val="18"/>
                <w:szCs w:val="18"/>
              </w:rPr>
            </w:pPr>
            <w:r>
              <w:rPr>
                <w:rFonts w:hint="eastAsia"/>
                <w:sz w:val="18"/>
                <w:szCs w:val="18"/>
              </w:rPr>
              <w:t>污染源排放量核算</w:t>
            </w:r>
          </w:p>
        </w:tc>
        <w:tc>
          <w:tcPr>
            <w:tcW w:w="1402" w:type="pct"/>
            <w:gridSpan w:val="3"/>
            <w:vAlign w:val="center"/>
          </w:tcPr>
          <w:p>
            <w:pPr>
              <w:spacing w:line="0" w:lineRule="atLeast"/>
              <w:jc w:val="center"/>
              <w:rPr>
                <w:sz w:val="18"/>
                <w:szCs w:val="18"/>
              </w:rPr>
            </w:pPr>
            <w:r>
              <w:rPr>
                <w:rFonts w:hint="eastAsia"/>
                <w:sz w:val="18"/>
                <w:szCs w:val="18"/>
              </w:rPr>
              <w:t>污染物名称</w:t>
            </w:r>
          </w:p>
        </w:tc>
        <w:tc>
          <w:tcPr>
            <w:tcW w:w="1543" w:type="pct"/>
            <w:gridSpan w:val="5"/>
            <w:vAlign w:val="center"/>
          </w:tcPr>
          <w:p>
            <w:pPr>
              <w:spacing w:line="0" w:lineRule="atLeast"/>
              <w:jc w:val="center"/>
              <w:rPr>
                <w:sz w:val="18"/>
                <w:szCs w:val="18"/>
              </w:rPr>
            </w:pPr>
            <w:r>
              <w:rPr>
                <w:rFonts w:hint="eastAsia"/>
                <w:sz w:val="18"/>
                <w:szCs w:val="18"/>
              </w:rPr>
              <w:t>排放量/（t/a）</w:t>
            </w:r>
          </w:p>
        </w:tc>
        <w:tc>
          <w:tcPr>
            <w:tcW w:w="852" w:type="pct"/>
            <w:gridSpan w:val="2"/>
            <w:vAlign w:val="center"/>
          </w:tcPr>
          <w:p>
            <w:pPr>
              <w:spacing w:line="0" w:lineRule="atLeast"/>
              <w:jc w:val="center"/>
              <w:rPr>
                <w:sz w:val="18"/>
                <w:szCs w:val="18"/>
              </w:rPr>
            </w:pPr>
            <w:r>
              <w:rPr>
                <w:rFonts w:hint="eastAsia"/>
                <w:sz w:val="18"/>
                <w:szCs w:val="18"/>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1402" w:type="pct"/>
            <w:gridSpan w:val="3"/>
            <w:vAlign w:val="center"/>
          </w:tcPr>
          <w:p>
            <w:pPr>
              <w:spacing w:line="0" w:lineRule="atLeast"/>
              <w:jc w:val="center"/>
              <w:rPr>
                <w:sz w:val="18"/>
                <w:szCs w:val="18"/>
              </w:rPr>
            </w:pPr>
            <w:r>
              <w:rPr>
                <w:rFonts w:hint="eastAsia"/>
                <w:sz w:val="18"/>
                <w:szCs w:val="18"/>
              </w:rPr>
              <w:t>（</w:t>
            </w:r>
            <w:r>
              <w:rPr>
                <w:sz w:val="18"/>
                <w:szCs w:val="18"/>
              </w:rPr>
              <w:t xml:space="preserve"> </w:t>
            </w:r>
            <w:r>
              <w:rPr>
                <w:rFonts w:hint="eastAsia"/>
                <w:sz w:val="18"/>
                <w:szCs w:val="18"/>
              </w:rPr>
              <w:t>）</w:t>
            </w:r>
          </w:p>
        </w:tc>
        <w:tc>
          <w:tcPr>
            <w:tcW w:w="1543" w:type="pct"/>
            <w:gridSpan w:val="5"/>
            <w:vAlign w:val="center"/>
          </w:tcPr>
          <w:p>
            <w:pPr>
              <w:spacing w:line="0" w:lineRule="atLeast"/>
              <w:jc w:val="center"/>
              <w:rPr>
                <w:sz w:val="18"/>
                <w:szCs w:val="18"/>
              </w:rPr>
            </w:pPr>
            <w:r>
              <w:rPr>
                <w:rFonts w:hint="eastAsia"/>
                <w:sz w:val="18"/>
                <w:szCs w:val="18"/>
              </w:rPr>
              <w:t>（</w:t>
            </w:r>
            <w:r>
              <w:rPr>
                <w:sz w:val="18"/>
                <w:szCs w:val="18"/>
              </w:rPr>
              <w:t xml:space="preserve"> </w:t>
            </w:r>
            <w:r>
              <w:rPr>
                <w:rFonts w:hint="eastAsia"/>
                <w:sz w:val="18"/>
                <w:szCs w:val="18"/>
              </w:rPr>
              <w:t>）</w:t>
            </w:r>
          </w:p>
        </w:tc>
        <w:tc>
          <w:tcPr>
            <w:tcW w:w="852" w:type="pct"/>
            <w:gridSpan w:val="2"/>
            <w:vAlign w:val="center"/>
          </w:tcPr>
          <w:p>
            <w:pPr>
              <w:spacing w:line="0" w:lineRule="atLeast"/>
              <w:jc w:val="center"/>
              <w:rPr>
                <w:sz w:val="18"/>
                <w:szCs w:val="18"/>
              </w:rPr>
            </w:pPr>
            <w:r>
              <w:rPr>
                <w:rFonts w:hint="eastAsia"/>
                <w:sz w:val="18"/>
                <w:szCs w:val="18"/>
              </w:rPr>
              <w:t>（</w:t>
            </w:r>
            <w:r>
              <w:rPr>
                <w:sz w:val="18"/>
                <w:szCs w:val="18"/>
              </w:rPr>
              <w:t xml:space="preserve"> </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restart"/>
            <w:vAlign w:val="center"/>
          </w:tcPr>
          <w:p>
            <w:pPr>
              <w:spacing w:line="0" w:lineRule="atLeast"/>
              <w:jc w:val="center"/>
              <w:rPr>
                <w:sz w:val="18"/>
                <w:szCs w:val="18"/>
              </w:rPr>
            </w:pPr>
            <w:r>
              <w:rPr>
                <w:rFonts w:hint="eastAsia"/>
                <w:sz w:val="18"/>
                <w:szCs w:val="18"/>
              </w:rPr>
              <w:t>替代源排放情况</w:t>
            </w:r>
          </w:p>
        </w:tc>
        <w:tc>
          <w:tcPr>
            <w:tcW w:w="866" w:type="pct"/>
            <w:vAlign w:val="center"/>
          </w:tcPr>
          <w:p>
            <w:pPr>
              <w:spacing w:line="0" w:lineRule="atLeast"/>
              <w:jc w:val="center"/>
              <w:rPr>
                <w:sz w:val="18"/>
                <w:szCs w:val="18"/>
              </w:rPr>
            </w:pPr>
            <w:r>
              <w:rPr>
                <w:rFonts w:hint="eastAsia"/>
                <w:sz w:val="18"/>
                <w:szCs w:val="18"/>
              </w:rPr>
              <w:t>污染源名称</w:t>
            </w:r>
          </w:p>
        </w:tc>
        <w:tc>
          <w:tcPr>
            <w:tcW w:w="761" w:type="pct"/>
            <w:gridSpan w:val="3"/>
            <w:vAlign w:val="center"/>
          </w:tcPr>
          <w:p>
            <w:pPr>
              <w:spacing w:line="0" w:lineRule="atLeast"/>
              <w:jc w:val="center"/>
              <w:rPr>
                <w:spacing w:val="-10"/>
                <w:sz w:val="18"/>
                <w:szCs w:val="18"/>
              </w:rPr>
            </w:pPr>
            <w:r>
              <w:rPr>
                <w:rFonts w:hint="eastAsia"/>
                <w:spacing w:val="-10"/>
                <w:sz w:val="18"/>
                <w:szCs w:val="18"/>
              </w:rPr>
              <w:t>排污许可证编号</w:t>
            </w:r>
          </w:p>
        </w:tc>
        <w:tc>
          <w:tcPr>
            <w:tcW w:w="654" w:type="pct"/>
            <w:gridSpan w:val="2"/>
            <w:vAlign w:val="center"/>
          </w:tcPr>
          <w:p>
            <w:pPr>
              <w:spacing w:line="0" w:lineRule="atLeast"/>
              <w:jc w:val="center"/>
              <w:rPr>
                <w:sz w:val="18"/>
                <w:szCs w:val="18"/>
              </w:rPr>
            </w:pPr>
            <w:r>
              <w:rPr>
                <w:rFonts w:hint="eastAsia"/>
                <w:sz w:val="18"/>
                <w:szCs w:val="18"/>
              </w:rPr>
              <w:t>污染物名称</w:t>
            </w:r>
          </w:p>
        </w:tc>
        <w:tc>
          <w:tcPr>
            <w:tcW w:w="664" w:type="pct"/>
            <w:gridSpan w:val="2"/>
            <w:vAlign w:val="center"/>
          </w:tcPr>
          <w:p>
            <w:pPr>
              <w:spacing w:line="0" w:lineRule="atLeast"/>
              <w:jc w:val="center"/>
              <w:rPr>
                <w:sz w:val="18"/>
                <w:szCs w:val="18"/>
              </w:rPr>
            </w:pPr>
            <w:r>
              <w:rPr>
                <w:rFonts w:hint="eastAsia"/>
                <w:sz w:val="18"/>
                <w:szCs w:val="18"/>
              </w:rPr>
              <w:t>排放量/（t/a）</w:t>
            </w:r>
          </w:p>
        </w:tc>
        <w:tc>
          <w:tcPr>
            <w:tcW w:w="852" w:type="pct"/>
            <w:gridSpan w:val="2"/>
            <w:vAlign w:val="center"/>
          </w:tcPr>
          <w:p>
            <w:pPr>
              <w:spacing w:line="0" w:lineRule="atLeast"/>
              <w:jc w:val="center"/>
              <w:rPr>
                <w:sz w:val="18"/>
                <w:szCs w:val="18"/>
              </w:rPr>
            </w:pPr>
            <w:r>
              <w:rPr>
                <w:rFonts w:hint="eastAsia"/>
                <w:sz w:val="18"/>
                <w:szCs w:val="18"/>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866" w:type="pct"/>
          </w:tcPr>
          <w:p>
            <w:pPr>
              <w:spacing w:line="0" w:lineRule="atLeast"/>
              <w:jc w:val="center"/>
            </w:pPr>
            <w:r>
              <w:rPr>
                <w:rFonts w:hint="eastAsia"/>
                <w:sz w:val="18"/>
                <w:szCs w:val="18"/>
              </w:rPr>
              <w:t>（</w:t>
            </w:r>
            <w:r>
              <w:rPr>
                <w:sz w:val="18"/>
                <w:szCs w:val="18"/>
              </w:rPr>
              <w:t xml:space="preserve"> </w:t>
            </w:r>
            <w:r>
              <w:rPr>
                <w:rFonts w:hint="eastAsia"/>
                <w:sz w:val="18"/>
                <w:szCs w:val="18"/>
              </w:rPr>
              <w:t>）</w:t>
            </w:r>
          </w:p>
        </w:tc>
        <w:tc>
          <w:tcPr>
            <w:tcW w:w="761" w:type="pct"/>
            <w:gridSpan w:val="3"/>
          </w:tcPr>
          <w:p>
            <w:pPr>
              <w:spacing w:line="0" w:lineRule="atLeast"/>
              <w:jc w:val="center"/>
            </w:pPr>
            <w:r>
              <w:rPr>
                <w:rFonts w:hint="eastAsia"/>
                <w:sz w:val="18"/>
                <w:szCs w:val="18"/>
              </w:rPr>
              <w:t>（</w:t>
            </w:r>
            <w:r>
              <w:rPr>
                <w:sz w:val="18"/>
                <w:szCs w:val="18"/>
              </w:rPr>
              <w:t xml:space="preserve"> </w:t>
            </w:r>
            <w:r>
              <w:rPr>
                <w:rFonts w:hint="eastAsia"/>
                <w:sz w:val="18"/>
                <w:szCs w:val="18"/>
              </w:rPr>
              <w:t>）</w:t>
            </w:r>
          </w:p>
        </w:tc>
        <w:tc>
          <w:tcPr>
            <w:tcW w:w="654" w:type="pct"/>
            <w:gridSpan w:val="2"/>
          </w:tcPr>
          <w:p>
            <w:pPr>
              <w:spacing w:line="0" w:lineRule="atLeast"/>
              <w:jc w:val="center"/>
            </w:pPr>
            <w:r>
              <w:rPr>
                <w:rFonts w:hint="eastAsia"/>
                <w:sz w:val="18"/>
                <w:szCs w:val="18"/>
              </w:rPr>
              <w:t>（</w:t>
            </w:r>
            <w:r>
              <w:rPr>
                <w:sz w:val="18"/>
                <w:szCs w:val="18"/>
              </w:rPr>
              <w:t xml:space="preserve"> </w:t>
            </w:r>
            <w:r>
              <w:rPr>
                <w:rFonts w:hint="eastAsia"/>
                <w:sz w:val="18"/>
                <w:szCs w:val="18"/>
              </w:rPr>
              <w:t>）</w:t>
            </w:r>
          </w:p>
        </w:tc>
        <w:tc>
          <w:tcPr>
            <w:tcW w:w="664" w:type="pct"/>
            <w:gridSpan w:val="2"/>
          </w:tcPr>
          <w:p>
            <w:pPr>
              <w:spacing w:line="0" w:lineRule="atLeast"/>
              <w:jc w:val="center"/>
            </w:pPr>
            <w:r>
              <w:rPr>
                <w:rFonts w:hint="eastAsia"/>
                <w:sz w:val="18"/>
                <w:szCs w:val="18"/>
              </w:rPr>
              <w:t>（</w:t>
            </w:r>
            <w:r>
              <w:rPr>
                <w:sz w:val="18"/>
                <w:szCs w:val="18"/>
              </w:rPr>
              <w:t xml:space="preserve"> </w:t>
            </w:r>
            <w:r>
              <w:rPr>
                <w:rFonts w:hint="eastAsia"/>
                <w:sz w:val="18"/>
                <w:szCs w:val="18"/>
              </w:rPr>
              <w:t>）</w:t>
            </w:r>
          </w:p>
        </w:tc>
        <w:tc>
          <w:tcPr>
            <w:tcW w:w="852" w:type="pct"/>
            <w:gridSpan w:val="2"/>
          </w:tcPr>
          <w:p>
            <w:pPr>
              <w:spacing w:line="0" w:lineRule="atLeast"/>
              <w:jc w:val="center"/>
            </w:pPr>
            <w:r>
              <w:rPr>
                <w:rFonts w:hint="eastAsia"/>
                <w:sz w:val="18"/>
                <w:szCs w:val="18"/>
              </w:rPr>
              <w:t>（</w:t>
            </w:r>
            <w:r>
              <w:rPr>
                <w:sz w:val="18"/>
                <w:szCs w:val="18"/>
              </w:rPr>
              <w:t xml:space="preserve"> </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生态流量确定</w:t>
            </w:r>
          </w:p>
        </w:tc>
        <w:tc>
          <w:tcPr>
            <w:tcW w:w="3797" w:type="pct"/>
            <w:gridSpan w:val="10"/>
            <w:vAlign w:val="center"/>
          </w:tcPr>
          <w:p>
            <w:pPr>
              <w:spacing w:line="0" w:lineRule="atLeast"/>
              <w:jc w:val="left"/>
              <w:rPr>
                <w:sz w:val="18"/>
                <w:szCs w:val="18"/>
              </w:rPr>
            </w:pPr>
            <w:r>
              <w:rPr>
                <w:rFonts w:hint="eastAsia"/>
                <w:sz w:val="18"/>
                <w:szCs w:val="18"/>
              </w:rPr>
              <w:t>生态流量：一般水期（ ）m</w:t>
            </w:r>
            <w:r>
              <w:rPr>
                <w:rFonts w:hint="eastAsia"/>
                <w:sz w:val="18"/>
                <w:szCs w:val="18"/>
                <w:vertAlign w:val="superscript"/>
              </w:rPr>
              <w:t>3</w:t>
            </w:r>
            <w:r>
              <w:rPr>
                <w:rFonts w:hint="eastAsia"/>
                <w:sz w:val="18"/>
                <w:szCs w:val="18"/>
              </w:rPr>
              <w:t>/s；鱼类繁殖期（ ）m</w:t>
            </w:r>
            <w:r>
              <w:rPr>
                <w:rFonts w:hint="eastAsia"/>
                <w:sz w:val="18"/>
                <w:szCs w:val="18"/>
                <w:vertAlign w:val="superscript"/>
              </w:rPr>
              <w:t>3</w:t>
            </w:r>
            <w:r>
              <w:rPr>
                <w:rFonts w:hint="eastAsia"/>
                <w:sz w:val="18"/>
                <w:szCs w:val="18"/>
              </w:rPr>
              <w:t>/s；其他（ ）m</w:t>
            </w:r>
            <w:r>
              <w:rPr>
                <w:rFonts w:hint="eastAsia"/>
                <w:sz w:val="18"/>
                <w:szCs w:val="18"/>
                <w:vertAlign w:val="superscript"/>
              </w:rPr>
              <w:t>3</w:t>
            </w:r>
            <w:r>
              <w:rPr>
                <w:rFonts w:hint="eastAsia"/>
                <w:sz w:val="18"/>
                <w:szCs w:val="18"/>
              </w:rPr>
              <w:t xml:space="preserve">/s </w:t>
            </w:r>
          </w:p>
          <w:p>
            <w:pPr>
              <w:spacing w:line="0" w:lineRule="atLeast"/>
              <w:jc w:val="left"/>
              <w:rPr>
                <w:sz w:val="18"/>
                <w:szCs w:val="18"/>
              </w:rPr>
            </w:pPr>
            <w:r>
              <w:rPr>
                <w:rFonts w:hint="eastAsia"/>
                <w:sz w:val="18"/>
                <w:szCs w:val="18"/>
              </w:rPr>
              <w:t>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restart"/>
            <w:vAlign w:val="center"/>
          </w:tcPr>
          <w:p>
            <w:pPr>
              <w:spacing w:line="0" w:lineRule="atLeast"/>
              <w:jc w:val="center"/>
              <w:rPr>
                <w:sz w:val="18"/>
                <w:szCs w:val="18"/>
              </w:rPr>
            </w:pPr>
            <w:r>
              <w:rPr>
                <w:rFonts w:hint="eastAsia"/>
                <w:sz w:val="18"/>
                <w:szCs w:val="18"/>
              </w:rPr>
              <w:t>防</w:t>
            </w:r>
          </w:p>
          <w:p>
            <w:pPr>
              <w:spacing w:line="0" w:lineRule="atLeast"/>
              <w:jc w:val="center"/>
              <w:rPr>
                <w:sz w:val="18"/>
                <w:szCs w:val="18"/>
              </w:rPr>
            </w:pPr>
            <w:r>
              <w:rPr>
                <w:rFonts w:hint="eastAsia"/>
                <w:sz w:val="18"/>
                <w:szCs w:val="18"/>
              </w:rPr>
              <w:t>治</w:t>
            </w:r>
          </w:p>
          <w:p>
            <w:pPr>
              <w:spacing w:line="0" w:lineRule="atLeast"/>
              <w:jc w:val="center"/>
              <w:rPr>
                <w:sz w:val="18"/>
                <w:szCs w:val="18"/>
              </w:rPr>
            </w:pPr>
            <w:r>
              <w:rPr>
                <w:rFonts w:hint="eastAsia"/>
                <w:sz w:val="18"/>
                <w:szCs w:val="18"/>
              </w:rPr>
              <w:t>措</w:t>
            </w:r>
          </w:p>
          <w:p>
            <w:pPr>
              <w:spacing w:line="0" w:lineRule="atLeast"/>
              <w:jc w:val="center"/>
              <w:rPr>
                <w:sz w:val="18"/>
                <w:szCs w:val="18"/>
              </w:rPr>
            </w:pPr>
            <w:r>
              <w:rPr>
                <w:rFonts w:hint="eastAsia"/>
                <w:sz w:val="18"/>
                <w:szCs w:val="18"/>
              </w:rPr>
              <w:t>施</w:t>
            </w:r>
          </w:p>
        </w:tc>
        <w:tc>
          <w:tcPr>
            <w:tcW w:w="839" w:type="pct"/>
            <w:vAlign w:val="center"/>
          </w:tcPr>
          <w:p>
            <w:pPr>
              <w:spacing w:line="0" w:lineRule="atLeast"/>
              <w:jc w:val="center"/>
              <w:rPr>
                <w:sz w:val="18"/>
                <w:szCs w:val="18"/>
              </w:rPr>
            </w:pPr>
            <w:r>
              <w:rPr>
                <w:rFonts w:hint="eastAsia"/>
                <w:sz w:val="18"/>
                <w:szCs w:val="18"/>
              </w:rPr>
              <w:t>环保措施</w:t>
            </w:r>
          </w:p>
        </w:tc>
        <w:tc>
          <w:tcPr>
            <w:tcW w:w="3797" w:type="pct"/>
            <w:gridSpan w:val="10"/>
            <w:vAlign w:val="center"/>
          </w:tcPr>
          <w:p>
            <w:pPr>
              <w:spacing w:line="0" w:lineRule="atLeast"/>
              <w:jc w:val="center"/>
              <w:rPr>
                <w:sz w:val="18"/>
                <w:szCs w:val="18"/>
              </w:rPr>
            </w:pPr>
            <w:r>
              <w:rPr>
                <w:rFonts w:hint="eastAsia"/>
                <w:sz w:val="18"/>
                <w:szCs w:val="18"/>
              </w:rPr>
              <w:t xml:space="preserve">污水处理设施 </w:t>
            </w:r>
            <w:r>
              <w:rPr>
                <w:rFonts w:hint="eastAsia"/>
                <w:sz w:val="18"/>
                <w:szCs w:val="18"/>
              </w:rPr>
              <w:sym w:font="Wingdings 2" w:char="0052"/>
            </w:r>
            <w:r>
              <w:rPr>
                <w:rFonts w:hint="eastAsia"/>
                <w:sz w:val="18"/>
                <w:szCs w:val="18"/>
              </w:rPr>
              <w:t xml:space="preserve">；水文减缓设施 □；生态流量保障设施 □；区域削减 □；依托其他工程措施 □；其他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64" w:type="pct"/>
            <w:vMerge w:val="continue"/>
            <w:vAlign w:val="center"/>
          </w:tcPr>
          <w:p>
            <w:pPr>
              <w:spacing w:line="0" w:lineRule="atLeast"/>
              <w:jc w:val="center"/>
              <w:rPr>
                <w:sz w:val="18"/>
                <w:szCs w:val="18"/>
              </w:rPr>
            </w:pPr>
          </w:p>
        </w:tc>
        <w:tc>
          <w:tcPr>
            <w:tcW w:w="839" w:type="pct"/>
            <w:vMerge w:val="restart"/>
            <w:vAlign w:val="center"/>
          </w:tcPr>
          <w:p>
            <w:pPr>
              <w:spacing w:line="0" w:lineRule="atLeast"/>
              <w:jc w:val="center"/>
              <w:rPr>
                <w:sz w:val="18"/>
                <w:szCs w:val="18"/>
              </w:rPr>
            </w:pPr>
            <w:r>
              <w:rPr>
                <w:rFonts w:hint="eastAsia"/>
                <w:sz w:val="18"/>
                <w:szCs w:val="18"/>
              </w:rPr>
              <w:t>监测计划</w:t>
            </w:r>
          </w:p>
        </w:tc>
        <w:tc>
          <w:tcPr>
            <w:tcW w:w="866" w:type="pct"/>
            <w:vAlign w:val="center"/>
          </w:tcPr>
          <w:p>
            <w:pPr>
              <w:spacing w:line="0" w:lineRule="atLeast"/>
              <w:jc w:val="left"/>
              <w:rPr>
                <w:sz w:val="18"/>
                <w:szCs w:val="18"/>
              </w:rPr>
            </w:pPr>
          </w:p>
        </w:tc>
        <w:tc>
          <w:tcPr>
            <w:tcW w:w="1415" w:type="pct"/>
            <w:gridSpan w:val="5"/>
            <w:vAlign w:val="center"/>
          </w:tcPr>
          <w:p>
            <w:pPr>
              <w:spacing w:line="0" w:lineRule="atLeast"/>
              <w:jc w:val="center"/>
              <w:rPr>
                <w:sz w:val="18"/>
                <w:szCs w:val="18"/>
              </w:rPr>
            </w:pPr>
            <w:r>
              <w:rPr>
                <w:rFonts w:hint="eastAsia"/>
                <w:sz w:val="18"/>
                <w:szCs w:val="18"/>
              </w:rPr>
              <w:t>环境质量</w:t>
            </w:r>
          </w:p>
        </w:tc>
        <w:tc>
          <w:tcPr>
            <w:tcW w:w="1516" w:type="pct"/>
            <w:gridSpan w:val="4"/>
            <w:vAlign w:val="center"/>
          </w:tcPr>
          <w:p>
            <w:pPr>
              <w:spacing w:line="0" w:lineRule="atLeast"/>
              <w:jc w:val="center"/>
              <w:rPr>
                <w:sz w:val="18"/>
                <w:szCs w:val="18"/>
              </w:rPr>
            </w:pPr>
            <w:r>
              <w:rPr>
                <w:rFonts w:hint="eastAsia"/>
                <w:sz w:val="18"/>
                <w:szCs w:val="18"/>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866" w:type="pct"/>
            <w:vAlign w:val="center"/>
          </w:tcPr>
          <w:p>
            <w:pPr>
              <w:spacing w:line="0" w:lineRule="atLeast"/>
              <w:jc w:val="center"/>
              <w:rPr>
                <w:sz w:val="18"/>
                <w:szCs w:val="18"/>
              </w:rPr>
            </w:pPr>
            <w:r>
              <w:rPr>
                <w:rFonts w:hint="eastAsia"/>
                <w:sz w:val="18"/>
                <w:szCs w:val="18"/>
              </w:rPr>
              <w:t>监测方式</w:t>
            </w:r>
          </w:p>
        </w:tc>
        <w:tc>
          <w:tcPr>
            <w:tcW w:w="1563" w:type="pct"/>
            <w:gridSpan w:val="6"/>
            <w:vAlign w:val="center"/>
          </w:tcPr>
          <w:p>
            <w:pPr>
              <w:spacing w:line="0" w:lineRule="atLeast"/>
              <w:jc w:val="center"/>
              <w:rPr>
                <w:sz w:val="18"/>
                <w:szCs w:val="18"/>
              </w:rPr>
            </w:pPr>
            <w:r>
              <w:rPr>
                <w:rFonts w:hint="eastAsia"/>
                <w:sz w:val="18"/>
                <w:szCs w:val="18"/>
              </w:rPr>
              <w:t>手动 □；自动 □；无监测 □</w:t>
            </w:r>
          </w:p>
        </w:tc>
        <w:tc>
          <w:tcPr>
            <w:tcW w:w="1368" w:type="pct"/>
            <w:gridSpan w:val="3"/>
            <w:vAlign w:val="center"/>
          </w:tcPr>
          <w:p>
            <w:pPr>
              <w:spacing w:line="0" w:lineRule="atLeast"/>
              <w:jc w:val="center"/>
              <w:rPr>
                <w:sz w:val="18"/>
                <w:szCs w:val="18"/>
              </w:rPr>
            </w:pPr>
            <w:r>
              <w:rPr>
                <w:rFonts w:hint="eastAsia"/>
                <w:sz w:val="18"/>
                <w:szCs w:val="18"/>
              </w:rPr>
              <w:t>手动 □；自动 □；无监测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866" w:type="pct"/>
            <w:vAlign w:val="center"/>
          </w:tcPr>
          <w:p>
            <w:pPr>
              <w:spacing w:line="0" w:lineRule="atLeast"/>
              <w:jc w:val="center"/>
              <w:rPr>
                <w:sz w:val="18"/>
                <w:szCs w:val="18"/>
              </w:rPr>
            </w:pPr>
            <w:r>
              <w:rPr>
                <w:rFonts w:hint="eastAsia"/>
                <w:sz w:val="18"/>
                <w:szCs w:val="18"/>
              </w:rPr>
              <w:t>监测点位</w:t>
            </w:r>
          </w:p>
        </w:tc>
        <w:tc>
          <w:tcPr>
            <w:tcW w:w="1563" w:type="pct"/>
            <w:gridSpan w:val="6"/>
            <w:vAlign w:val="center"/>
          </w:tcPr>
          <w:p>
            <w:pPr>
              <w:spacing w:line="0" w:lineRule="atLeast"/>
              <w:jc w:val="center"/>
              <w:rPr>
                <w:sz w:val="18"/>
                <w:szCs w:val="18"/>
              </w:rPr>
            </w:pPr>
            <w:r>
              <w:rPr>
                <w:rFonts w:hint="eastAsia"/>
                <w:sz w:val="18"/>
                <w:szCs w:val="18"/>
              </w:rPr>
              <w:t>（</w:t>
            </w:r>
            <w:r>
              <w:rPr>
                <w:sz w:val="18"/>
                <w:szCs w:val="18"/>
              </w:rPr>
              <w:t xml:space="preserve"> </w:t>
            </w:r>
            <w:r>
              <w:rPr>
                <w:rFonts w:hint="eastAsia"/>
                <w:sz w:val="18"/>
                <w:szCs w:val="18"/>
              </w:rPr>
              <w:t>）</w:t>
            </w:r>
          </w:p>
        </w:tc>
        <w:tc>
          <w:tcPr>
            <w:tcW w:w="1368" w:type="pct"/>
            <w:gridSpan w:val="3"/>
            <w:vAlign w:val="center"/>
          </w:tcPr>
          <w:p>
            <w:pPr>
              <w:spacing w:line="0" w:lineRule="atLeast"/>
              <w:jc w:val="center"/>
              <w:rPr>
                <w:sz w:val="18"/>
                <w:szCs w:val="18"/>
              </w:rPr>
            </w:pPr>
            <w:r>
              <w:rPr>
                <w:rFonts w:hint="eastAsia"/>
                <w:sz w:val="18"/>
                <w:szCs w:val="18"/>
              </w:rPr>
              <w:t>（</w:t>
            </w:r>
            <w:r>
              <w:rPr>
                <w:sz w:val="18"/>
                <w:szCs w:val="18"/>
              </w:rPr>
              <w:t xml:space="preserve"> </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Merge w:val="continue"/>
            <w:vAlign w:val="center"/>
          </w:tcPr>
          <w:p>
            <w:pPr>
              <w:spacing w:line="0" w:lineRule="atLeast"/>
              <w:jc w:val="center"/>
              <w:rPr>
                <w:sz w:val="18"/>
                <w:szCs w:val="18"/>
              </w:rPr>
            </w:pPr>
          </w:p>
        </w:tc>
        <w:tc>
          <w:tcPr>
            <w:tcW w:w="866" w:type="pct"/>
            <w:vAlign w:val="center"/>
          </w:tcPr>
          <w:p>
            <w:pPr>
              <w:spacing w:line="0" w:lineRule="atLeast"/>
              <w:jc w:val="center"/>
              <w:rPr>
                <w:sz w:val="18"/>
                <w:szCs w:val="18"/>
              </w:rPr>
            </w:pPr>
            <w:r>
              <w:rPr>
                <w:rFonts w:hint="eastAsia"/>
                <w:sz w:val="18"/>
                <w:szCs w:val="18"/>
              </w:rPr>
              <w:t>监测因子</w:t>
            </w:r>
          </w:p>
        </w:tc>
        <w:tc>
          <w:tcPr>
            <w:tcW w:w="1563" w:type="pct"/>
            <w:gridSpan w:val="6"/>
            <w:vAlign w:val="center"/>
          </w:tcPr>
          <w:p>
            <w:pPr>
              <w:spacing w:line="0" w:lineRule="atLeast"/>
              <w:jc w:val="center"/>
              <w:rPr>
                <w:sz w:val="18"/>
                <w:szCs w:val="18"/>
              </w:rPr>
            </w:pPr>
            <w:r>
              <w:rPr>
                <w:rFonts w:hint="eastAsia"/>
                <w:sz w:val="18"/>
                <w:szCs w:val="18"/>
              </w:rPr>
              <w:t>（</w:t>
            </w:r>
            <w:r>
              <w:rPr>
                <w:sz w:val="18"/>
                <w:szCs w:val="18"/>
              </w:rPr>
              <w:t xml:space="preserve"> </w:t>
            </w:r>
            <w:r>
              <w:rPr>
                <w:rFonts w:hint="eastAsia"/>
                <w:sz w:val="18"/>
                <w:szCs w:val="18"/>
              </w:rPr>
              <w:t>）</w:t>
            </w:r>
          </w:p>
        </w:tc>
        <w:tc>
          <w:tcPr>
            <w:tcW w:w="1368" w:type="pct"/>
            <w:gridSpan w:val="3"/>
            <w:vAlign w:val="center"/>
          </w:tcPr>
          <w:p>
            <w:pPr>
              <w:spacing w:line="0" w:lineRule="atLeast"/>
              <w:jc w:val="center"/>
              <w:rPr>
                <w:sz w:val="18"/>
                <w:szCs w:val="18"/>
              </w:rPr>
            </w:pPr>
            <w:r>
              <w:rPr>
                <w:rFonts w:hint="eastAsia"/>
                <w:sz w:val="18"/>
                <w:szCs w:val="18"/>
              </w:rPr>
              <w:t>（</w:t>
            </w:r>
            <w:r>
              <w:rPr>
                <w:sz w:val="18"/>
                <w:szCs w:val="18"/>
              </w:rPr>
              <w:t xml:space="preserve"> </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Merge w:val="continue"/>
            <w:vAlign w:val="center"/>
          </w:tcPr>
          <w:p>
            <w:pPr>
              <w:spacing w:line="0" w:lineRule="atLeast"/>
              <w:jc w:val="center"/>
              <w:rPr>
                <w:sz w:val="18"/>
                <w:szCs w:val="18"/>
              </w:rPr>
            </w:pPr>
          </w:p>
        </w:tc>
        <w:tc>
          <w:tcPr>
            <w:tcW w:w="839" w:type="pct"/>
            <w:vAlign w:val="center"/>
          </w:tcPr>
          <w:p>
            <w:pPr>
              <w:spacing w:line="0" w:lineRule="atLeast"/>
              <w:jc w:val="center"/>
              <w:rPr>
                <w:sz w:val="18"/>
                <w:szCs w:val="18"/>
              </w:rPr>
            </w:pPr>
            <w:r>
              <w:rPr>
                <w:rFonts w:hint="eastAsia"/>
                <w:sz w:val="18"/>
                <w:szCs w:val="18"/>
              </w:rPr>
              <w:t>污染物排放清单</w:t>
            </w:r>
          </w:p>
        </w:tc>
        <w:tc>
          <w:tcPr>
            <w:tcW w:w="3797" w:type="pct"/>
            <w:gridSpan w:val="10"/>
            <w:vAlign w:val="center"/>
          </w:tcPr>
          <w:p>
            <w:pPr>
              <w:spacing w:line="0" w:lineRule="atLeast"/>
              <w:jc w:val="left"/>
              <w:rPr>
                <w:sz w:val="18"/>
                <w:szCs w:val="18"/>
              </w:rPr>
            </w:pPr>
            <w:r>
              <w:rPr>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gridSpan w:val="2"/>
            <w:vAlign w:val="center"/>
          </w:tcPr>
          <w:p>
            <w:pPr>
              <w:spacing w:line="0" w:lineRule="atLeast"/>
              <w:jc w:val="center"/>
              <w:rPr>
                <w:sz w:val="18"/>
                <w:szCs w:val="18"/>
              </w:rPr>
            </w:pPr>
            <w:r>
              <w:rPr>
                <w:rFonts w:hint="eastAsia"/>
                <w:sz w:val="18"/>
                <w:szCs w:val="18"/>
              </w:rPr>
              <w:t>评价结论</w:t>
            </w:r>
          </w:p>
        </w:tc>
        <w:tc>
          <w:tcPr>
            <w:tcW w:w="3797" w:type="pct"/>
            <w:gridSpan w:val="10"/>
            <w:vAlign w:val="center"/>
          </w:tcPr>
          <w:p>
            <w:pPr>
              <w:spacing w:line="0" w:lineRule="atLeast"/>
              <w:jc w:val="center"/>
              <w:rPr>
                <w:sz w:val="18"/>
                <w:szCs w:val="18"/>
              </w:rPr>
            </w:pPr>
            <w:r>
              <w:rPr>
                <w:rFonts w:hint="eastAsia"/>
                <w:sz w:val="18"/>
                <w:szCs w:val="18"/>
              </w:rPr>
              <w:t xml:space="preserve">可以接受 </w:t>
            </w:r>
            <w:r>
              <w:rPr>
                <w:rFonts w:hint="eastAsia"/>
                <w:b/>
                <w:sz w:val="18"/>
                <w:szCs w:val="18"/>
              </w:rPr>
              <w:t>√</w:t>
            </w:r>
            <w:r>
              <w:rPr>
                <w:rFonts w:hint="eastAsia"/>
                <w:sz w:val="18"/>
                <w:szCs w:val="18"/>
              </w:rPr>
              <w:t>；不可以接受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vAlign w:val="center"/>
          </w:tcPr>
          <w:p>
            <w:pPr>
              <w:spacing w:line="0" w:lineRule="atLeast"/>
              <w:rPr>
                <w:sz w:val="18"/>
                <w:szCs w:val="18"/>
              </w:rPr>
            </w:pPr>
            <w:r>
              <w:rPr>
                <w:rFonts w:hint="eastAsia"/>
                <w:sz w:val="18"/>
                <w:szCs w:val="18"/>
              </w:rPr>
              <w:t xml:space="preserve">注：“□”为勾选项，可√；“（ ）”为内容填写项；“备注”为其他补充内容。 </w:t>
            </w:r>
          </w:p>
        </w:tc>
      </w:tr>
      <w:bookmarkEnd w:id="98"/>
    </w:tbl>
    <w:p>
      <w:pPr>
        <w:pStyle w:val="3"/>
        <w:spacing w:before="0" w:after="0" w:line="480" w:lineRule="exact"/>
        <w:rPr>
          <w:sz w:val="24"/>
          <w:szCs w:val="24"/>
        </w:rPr>
      </w:pPr>
      <w:r>
        <w:rPr>
          <w:rFonts w:hint="eastAsia"/>
          <w:sz w:val="24"/>
          <w:szCs w:val="24"/>
        </w:rPr>
        <w:t>5.2.3地下水环境影响预测与评价</w:t>
      </w:r>
    </w:p>
    <w:p>
      <w:pPr>
        <w:pStyle w:val="57"/>
        <w:keepNext/>
        <w:keepLines/>
        <w:spacing w:before="0" w:after="0" w:line="480" w:lineRule="exact"/>
        <w:ind w:firstLine="0" w:firstLineChars="0"/>
        <w:outlineLvl w:val="3"/>
        <w:rPr>
          <w:b/>
        </w:rPr>
      </w:pPr>
      <w:bookmarkStart w:id="99" w:name="_Hlk9001666"/>
      <w:bookmarkStart w:id="100" w:name="_Hlk9001673"/>
      <w:r>
        <w:rPr>
          <w:rFonts w:hint="eastAsia"/>
          <w:b/>
        </w:rPr>
        <w:t>5.2.3.1</w:t>
      </w:r>
      <w:r>
        <w:rPr>
          <w:rFonts w:hint="eastAsia" w:ascii="宋体" w:hAnsi="宋体"/>
          <w:b/>
        </w:rPr>
        <w:t>评价区水文地质条件调查情况</w:t>
      </w:r>
      <w:bookmarkEnd w:id="99"/>
    </w:p>
    <w:bookmarkEnd w:id="100"/>
    <w:p>
      <w:pPr>
        <w:spacing w:line="480" w:lineRule="exact"/>
        <w:jc w:val="left"/>
        <w:rPr>
          <w:b/>
          <w:color w:val="000000"/>
          <w:sz w:val="24"/>
        </w:rPr>
      </w:pPr>
      <w:r>
        <w:rPr>
          <w:rFonts w:hint="eastAsia"/>
          <w:b/>
          <w:color w:val="000000"/>
          <w:sz w:val="24"/>
        </w:rPr>
        <w:t>1、区域地层及地质构造</w:t>
      </w:r>
    </w:p>
    <w:p>
      <w:pPr>
        <w:pStyle w:val="85"/>
        <w:spacing w:line="480" w:lineRule="exact"/>
        <w:ind w:firstLine="480"/>
        <w:rPr>
          <w:rFonts w:ascii="Times New Roman" w:hAnsi="Times New Roman" w:cs="Times New Roman"/>
          <w:bCs/>
          <w:sz w:val="24"/>
        </w:rPr>
      </w:pPr>
      <w:r>
        <w:rPr>
          <w:rFonts w:ascii="Times New Roman" w:cs="Times New Roman"/>
          <w:bCs/>
          <w:sz w:val="24"/>
        </w:rPr>
        <w:t>（</w:t>
      </w:r>
      <w:r>
        <w:rPr>
          <w:rFonts w:ascii="Times New Roman" w:hAnsi="Times New Roman" w:cs="Times New Roman"/>
          <w:bCs/>
          <w:sz w:val="24"/>
        </w:rPr>
        <w:t>1</w:t>
      </w:r>
      <w:r>
        <w:rPr>
          <w:rFonts w:ascii="Times New Roman" w:cs="Times New Roman"/>
          <w:bCs/>
          <w:sz w:val="24"/>
        </w:rPr>
        <w:t>）地层</w:t>
      </w:r>
    </w:p>
    <w:p>
      <w:pPr>
        <w:pStyle w:val="95"/>
        <w:spacing w:line="480" w:lineRule="exact"/>
        <w:ind w:firstLine="480"/>
        <w:rPr>
          <w:rFonts w:ascii="Times New Roman" w:hAnsi="Times New Roman" w:eastAsia="宋体" w:cs="Times New Roman"/>
          <w:szCs w:val="24"/>
        </w:rPr>
      </w:pPr>
      <w:r>
        <w:rPr>
          <w:rFonts w:ascii="Times New Roman" w:hAnsi="Times New Roman" w:eastAsia="宋体" w:cs="Times New Roman"/>
          <w:szCs w:val="24"/>
        </w:rPr>
        <w:t>1</w:t>
      </w:r>
      <w:r>
        <w:rPr>
          <w:rFonts w:ascii="Times New Roman" w:hAnsi="宋体" w:eastAsia="宋体" w:cs="Times New Roman"/>
          <w:szCs w:val="24"/>
        </w:rPr>
        <w:t>）全新统</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①冲洪积物：分布在向阳河、峪道河、禹门河冲洪积扇区，沉积物厚度</w:t>
      </w:r>
      <w:r>
        <w:rPr>
          <w:rFonts w:ascii="Times New Roman" w:hAnsi="Times New Roman" w:eastAsia="宋体" w:cs="Times New Roman"/>
          <w:szCs w:val="24"/>
        </w:rPr>
        <w:t>20-30cm</w:t>
      </w:r>
      <w:r>
        <w:rPr>
          <w:rFonts w:ascii="Times New Roman" w:hAnsi="宋体" w:eastAsia="宋体" w:cs="Times New Roman"/>
          <w:szCs w:val="24"/>
        </w:rPr>
        <w:t>，岩性以砂砾、砂卵石为主，夹亚砂土和次生黄土类土。砂砾卵石成分为灰岩和石英岩等，砾石直径</w:t>
      </w:r>
      <w:r>
        <w:rPr>
          <w:rFonts w:ascii="Times New Roman" w:hAnsi="Times New Roman" w:eastAsia="宋体" w:cs="Times New Roman"/>
          <w:szCs w:val="24"/>
        </w:rPr>
        <w:t>2-3mm</w:t>
      </w:r>
      <w:r>
        <w:rPr>
          <w:rFonts w:ascii="Times New Roman" w:hAnsi="宋体" w:eastAsia="宋体" w:cs="Times New Roman"/>
          <w:szCs w:val="24"/>
        </w:rPr>
        <w:t>，卵石直径</w:t>
      </w:r>
      <w:r>
        <w:rPr>
          <w:rFonts w:ascii="Times New Roman" w:hAnsi="Times New Roman" w:eastAsia="宋体" w:cs="Times New Roman"/>
          <w:szCs w:val="24"/>
        </w:rPr>
        <w:t>10-20mm</w:t>
      </w:r>
      <w:r>
        <w:rPr>
          <w:rFonts w:ascii="Times New Roman" w:hAnsi="宋体" w:eastAsia="宋体" w:cs="Times New Roman"/>
          <w:szCs w:val="24"/>
        </w:rPr>
        <w:t>，磨圆度较好，分选性较差，分布比较稳定。</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②冲积物：分布在米家庄、罗城以东冲积平原区。沉积物厚度约</w:t>
      </w:r>
      <w:r>
        <w:rPr>
          <w:rFonts w:ascii="Times New Roman" w:hAnsi="Times New Roman" w:eastAsia="宋体" w:cs="Times New Roman"/>
          <w:szCs w:val="24"/>
        </w:rPr>
        <w:t>30m</w:t>
      </w:r>
      <w:r>
        <w:rPr>
          <w:rFonts w:ascii="Times New Roman" w:hAnsi="宋体" w:eastAsia="宋体" w:cs="Times New Roman"/>
          <w:szCs w:val="24"/>
        </w:rPr>
        <w:t>，岩性以亚砂土、亚粘土类中细</w:t>
      </w:r>
      <w:r>
        <w:rPr>
          <w:rFonts w:ascii="Times New Roman" w:hAnsi="Times New Roman" w:eastAsia="宋体" w:cs="Times New Roman"/>
          <w:szCs w:val="24"/>
        </w:rPr>
        <w:t>-</w:t>
      </w:r>
      <w:r>
        <w:rPr>
          <w:rFonts w:ascii="Times New Roman" w:hAnsi="宋体" w:eastAsia="宋体" w:cs="Times New Roman"/>
          <w:szCs w:val="24"/>
        </w:rPr>
        <w:t>粉砂为主，砂层</w:t>
      </w:r>
      <w:r>
        <w:rPr>
          <w:rFonts w:ascii="Times New Roman" w:hAnsi="Times New Roman" w:eastAsia="宋体" w:cs="Times New Roman"/>
          <w:szCs w:val="24"/>
        </w:rPr>
        <w:t>2-3</w:t>
      </w:r>
      <w:r>
        <w:rPr>
          <w:rFonts w:ascii="Times New Roman" w:hAnsi="宋体" w:eastAsia="宋体" w:cs="Times New Roman"/>
          <w:szCs w:val="24"/>
        </w:rPr>
        <w:t>层，单层厚</w:t>
      </w:r>
      <w:r>
        <w:rPr>
          <w:rFonts w:ascii="Times New Roman" w:hAnsi="Times New Roman" w:eastAsia="宋体" w:cs="Times New Roman"/>
          <w:szCs w:val="24"/>
        </w:rPr>
        <w:t>2-3m</w:t>
      </w:r>
      <w:r>
        <w:rPr>
          <w:rFonts w:ascii="Times New Roman" w:hAnsi="宋体" w:eastAsia="宋体" w:cs="Times New Roman"/>
          <w:szCs w:val="24"/>
        </w:rPr>
        <w:t>，在冲洪积倾斜平原区分布在现代河道内的砂砾卵石为主。</w:t>
      </w:r>
    </w:p>
    <w:p>
      <w:pPr>
        <w:pStyle w:val="95"/>
        <w:spacing w:line="480" w:lineRule="exact"/>
        <w:ind w:firstLine="480"/>
        <w:rPr>
          <w:rFonts w:ascii="Times New Roman" w:hAnsi="Times New Roman" w:eastAsia="宋体" w:cs="Times New Roman"/>
          <w:szCs w:val="24"/>
        </w:rPr>
      </w:pPr>
      <w:r>
        <w:rPr>
          <w:rFonts w:ascii="Times New Roman" w:hAnsi="Times New Roman" w:eastAsia="宋体" w:cs="Times New Roman"/>
          <w:szCs w:val="24"/>
        </w:rPr>
        <w:t>2</w:t>
      </w:r>
      <w:r>
        <w:rPr>
          <w:rFonts w:ascii="Times New Roman" w:hAnsi="宋体" w:eastAsia="宋体" w:cs="Times New Roman"/>
          <w:szCs w:val="24"/>
        </w:rPr>
        <w:t>）上更新统</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按其成因类型和沉积物特征可划分为：</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①风积物：分布在黄土台源区，岩性以风成黄土状亚砂土为主，厚度约</w:t>
      </w:r>
      <w:r>
        <w:rPr>
          <w:rFonts w:ascii="Times New Roman" w:hAnsi="Times New Roman" w:eastAsia="宋体" w:cs="Times New Roman"/>
          <w:szCs w:val="24"/>
        </w:rPr>
        <w:t>10-15m</w:t>
      </w:r>
      <w:r>
        <w:rPr>
          <w:rFonts w:ascii="Times New Roman" w:hAnsi="宋体" w:eastAsia="宋体" w:cs="Times New Roman"/>
          <w:szCs w:val="24"/>
        </w:rPr>
        <w:t>。岩土松散，大孔隙发育，垂直节理发育。岩石成分以碳酸盐物质为主，遇水分解，一般呈披盖式覆于老地层之上。</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②冲洪积物：分布在汾阳城西部和埋藏于洪积倾斜平原</w:t>
      </w:r>
      <w:r>
        <w:rPr>
          <w:rFonts w:ascii="Times New Roman" w:hAnsi="Times New Roman" w:eastAsia="宋体" w:cs="Times New Roman"/>
          <w:szCs w:val="24"/>
        </w:rPr>
        <w:t>30m</w:t>
      </w:r>
      <w:r>
        <w:rPr>
          <w:rFonts w:ascii="Times New Roman" w:hAnsi="宋体" w:eastAsia="宋体" w:cs="Times New Roman"/>
          <w:szCs w:val="24"/>
        </w:rPr>
        <w:t>以下，沉积物厚度</w:t>
      </w:r>
      <w:r>
        <w:rPr>
          <w:rFonts w:ascii="Times New Roman" w:hAnsi="Times New Roman" w:eastAsia="宋体" w:cs="Times New Roman"/>
          <w:szCs w:val="24"/>
        </w:rPr>
        <w:t>60-70m</w:t>
      </w:r>
      <w:r>
        <w:rPr>
          <w:rFonts w:ascii="Times New Roman" w:hAnsi="宋体" w:eastAsia="宋体" w:cs="Times New Roman"/>
          <w:szCs w:val="24"/>
        </w:rPr>
        <w:t>，岩性以砂砾石夹亚砂土和亚粘土类。砂砾石成分以灰岩、砂岩为主，粒径在</w:t>
      </w:r>
      <w:r>
        <w:rPr>
          <w:rFonts w:ascii="Times New Roman" w:hAnsi="Times New Roman" w:eastAsia="宋体" w:cs="Times New Roman"/>
          <w:szCs w:val="24"/>
        </w:rPr>
        <w:t>2-3mm</w:t>
      </w:r>
      <w:r>
        <w:rPr>
          <w:rFonts w:ascii="Times New Roman" w:hAnsi="宋体" w:eastAsia="宋体" w:cs="Times New Roman"/>
          <w:szCs w:val="24"/>
        </w:rPr>
        <w:t>，分选和磨圆度较好。</w:t>
      </w:r>
    </w:p>
    <w:p>
      <w:pPr>
        <w:pStyle w:val="95"/>
        <w:spacing w:line="480" w:lineRule="exact"/>
        <w:ind w:firstLine="480"/>
        <w:rPr>
          <w:rFonts w:ascii="Times New Roman" w:hAnsi="Times New Roman" w:eastAsia="宋体" w:cs="Times New Roman"/>
          <w:szCs w:val="24"/>
        </w:rPr>
      </w:pPr>
      <w:r>
        <w:rPr>
          <w:rFonts w:ascii="Times New Roman" w:hAnsi="Times New Roman" w:eastAsia="宋体" w:cs="Times New Roman"/>
          <w:szCs w:val="24"/>
        </w:rPr>
        <w:t>3</w:t>
      </w:r>
      <w:r>
        <w:rPr>
          <w:rFonts w:ascii="Times New Roman" w:hAnsi="宋体" w:eastAsia="宋体" w:cs="Times New Roman"/>
          <w:szCs w:val="24"/>
        </w:rPr>
        <w:t>）中更新统</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坡洪积物：分布于黄土台源区沟谷内和埋藏在洪积扇区</w:t>
      </w:r>
      <w:r>
        <w:rPr>
          <w:rFonts w:ascii="Times New Roman" w:hAnsi="Times New Roman" w:eastAsia="宋体" w:cs="Times New Roman"/>
          <w:szCs w:val="24"/>
        </w:rPr>
        <w:t>80-100m</w:t>
      </w:r>
      <w:r>
        <w:rPr>
          <w:rFonts w:ascii="Times New Roman" w:hAnsi="宋体" w:eastAsia="宋体" w:cs="Times New Roman"/>
          <w:szCs w:val="24"/>
        </w:rPr>
        <w:t>以下，黄土台源区沉积厚度</w:t>
      </w:r>
      <w:r>
        <w:rPr>
          <w:rFonts w:ascii="Times New Roman" w:hAnsi="Times New Roman" w:eastAsia="宋体" w:cs="Times New Roman"/>
          <w:szCs w:val="24"/>
        </w:rPr>
        <w:t>30-50m</w:t>
      </w:r>
      <w:r>
        <w:rPr>
          <w:rFonts w:ascii="Times New Roman" w:hAnsi="宋体" w:eastAsia="宋体" w:cs="Times New Roman"/>
          <w:szCs w:val="24"/>
        </w:rPr>
        <w:t>，岩性以浅红色、棕褐色亚粘土、老黄土夹细砂薄层，富含零星的钙质结核。洪积扇及倾斜平原区厚度约</w:t>
      </w:r>
      <w:r>
        <w:rPr>
          <w:rFonts w:ascii="Times New Roman" w:hAnsi="Times New Roman" w:eastAsia="宋体" w:cs="Times New Roman"/>
          <w:szCs w:val="24"/>
        </w:rPr>
        <w:t>50-60m</w:t>
      </w:r>
      <w:r>
        <w:rPr>
          <w:rFonts w:ascii="Times New Roman" w:hAnsi="宋体" w:eastAsia="宋体" w:cs="Times New Roman"/>
          <w:szCs w:val="24"/>
        </w:rPr>
        <w:t>，以浅红、浅褐色亚粘土、亚砂土夹薄粉细砂为主。</w:t>
      </w:r>
    </w:p>
    <w:p>
      <w:pPr>
        <w:pStyle w:val="95"/>
        <w:spacing w:line="480" w:lineRule="exact"/>
        <w:ind w:firstLine="480"/>
        <w:rPr>
          <w:rFonts w:ascii="Times New Roman" w:hAnsi="Times New Roman" w:eastAsia="宋体" w:cs="Times New Roman"/>
          <w:szCs w:val="24"/>
        </w:rPr>
      </w:pPr>
      <w:r>
        <w:rPr>
          <w:rFonts w:ascii="Times New Roman" w:hAnsi="Times New Roman" w:eastAsia="宋体" w:cs="Times New Roman"/>
          <w:szCs w:val="24"/>
        </w:rPr>
        <w:t>4</w:t>
      </w:r>
      <w:r>
        <w:rPr>
          <w:rFonts w:ascii="Times New Roman" w:hAnsi="宋体" w:eastAsia="宋体" w:cs="Times New Roman"/>
          <w:szCs w:val="24"/>
        </w:rPr>
        <w:t>）下更新统</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主要分布于丘陵区底部及平原区地下</w:t>
      </w:r>
      <w:r>
        <w:rPr>
          <w:rFonts w:ascii="Times New Roman" w:hAnsi="Times New Roman" w:eastAsia="宋体" w:cs="Times New Roman"/>
          <w:szCs w:val="24"/>
        </w:rPr>
        <w:t>80-150m</w:t>
      </w:r>
      <w:r>
        <w:rPr>
          <w:rFonts w:ascii="Times New Roman" w:hAnsi="宋体" w:eastAsia="宋体" w:cs="Times New Roman"/>
          <w:szCs w:val="24"/>
        </w:rPr>
        <w:t>以下，沉积物岩性以灰褐色、灰绿色、锈黄色亚砂土、亚粘土夹薄层粉细砂，水平层理发育。黄土台源区厚度较小</w:t>
      </w:r>
      <w:r>
        <w:rPr>
          <w:rFonts w:ascii="Times New Roman" w:hAnsi="Times New Roman" w:eastAsia="宋体" w:cs="Times New Roman"/>
          <w:szCs w:val="24"/>
        </w:rPr>
        <w:t>30-50m</w:t>
      </w:r>
      <w:r>
        <w:rPr>
          <w:rFonts w:ascii="Times New Roman" w:hAnsi="宋体" w:eastAsia="宋体" w:cs="Times New Roman"/>
          <w:szCs w:val="24"/>
        </w:rPr>
        <w:t>，以黄土为主夹中细砂薄层。</w:t>
      </w:r>
    </w:p>
    <w:p>
      <w:pPr>
        <w:pStyle w:val="95"/>
        <w:spacing w:line="480" w:lineRule="exact"/>
        <w:ind w:firstLine="480"/>
        <w:rPr>
          <w:rFonts w:ascii="Times New Roman" w:hAnsi="Times New Roman" w:eastAsia="宋体" w:cs="Times New Roman"/>
          <w:szCs w:val="24"/>
        </w:rPr>
      </w:pPr>
      <w:r>
        <w:rPr>
          <w:rFonts w:ascii="Times New Roman" w:hAnsi="Times New Roman" w:eastAsia="宋体" w:cs="Times New Roman"/>
          <w:szCs w:val="24"/>
        </w:rPr>
        <w:t>5</w:t>
      </w:r>
      <w:r>
        <w:rPr>
          <w:rFonts w:ascii="Times New Roman" w:hAnsi="宋体" w:eastAsia="宋体" w:cs="Times New Roman"/>
          <w:szCs w:val="24"/>
        </w:rPr>
        <w:t>）上第三系</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本区地表出露，黄土台源区埋藏深度</w:t>
      </w:r>
      <w:r>
        <w:rPr>
          <w:rFonts w:ascii="Times New Roman" w:hAnsi="Times New Roman" w:eastAsia="宋体" w:cs="Times New Roman"/>
          <w:szCs w:val="24"/>
        </w:rPr>
        <w:t>150m</w:t>
      </w:r>
      <w:r>
        <w:rPr>
          <w:rFonts w:ascii="Times New Roman" w:hAnsi="宋体" w:eastAsia="宋体" w:cs="Times New Roman"/>
          <w:szCs w:val="24"/>
        </w:rPr>
        <w:t>以下，协和堡钻孔和北垣底钻孔揭露地层为棕红色粘土夹砂砾石层和砾岩层。砾石为灰岩，钙质结核，粒径一般为</w:t>
      </w:r>
      <w:r>
        <w:rPr>
          <w:rFonts w:ascii="Times New Roman" w:hAnsi="Times New Roman" w:eastAsia="宋体" w:cs="Times New Roman"/>
          <w:szCs w:val="24"/>
        </w:rPr>
        <w:t>10-15mm</w:t>
      </w:r>
      <w:r>
        <w:rPr>
          <w:rFonts w:ascii="Times New Roman" w:hAnsi="宋体" w:eastAsia="宋体" w:cs="Times New Roman"/>
          <w:szCs w:val="24"/>
        </w:rPr>
        <w:t>，总厚度约</w:t>
      </w:r>
      <w:r>
        <w:rPr>
          <w:rFonts w:ascii="Times New Roman" w:hAnsi="Times New Roman" w:eastAsia="宋体" w:cs="Times New Roman"/>
          <w:szCs w:val="24"/>
        </w:rPr>
        <w:t>50-80m</w:t>
      </w:r>
      <w:r>
        <w:rPr>
          <w:rFonts w:ascii="Times New Roman" w:hAnsi="宋体" w:eastAsia="宋体" w:cs="Times New Roman"/>
          <w:szCs w:val="24"/>
        </w:rPr>
        <w:t>。盆地内尚无钻孔揭穿其厚度。推测沉积厚度在</w:t>
      </w:r>
      <w:r>
        <w:rPr>
          <w:rFonts w:ascii="Times New Roman" w:hAnsi="Times New Roman" w:eastAsia="宋体" w:cs="Times New Roman"/>
          <w:szCs w:val="24"/>
        </w:rPr>
        <w:t>300m</w:t>
      </w:r>
      <w:r>
        <w:rPr>
          <w:rFonts w:ascii="Times New Roman" w:hAnsi="宋体" w:eastAsia="宋体" w:cs="Times New Roman"/>
          <w:szCs w:val="24"/>
        </w:rPr>
        <w:t>以上，岩性以棕红色、褐灰色粘性土、粘质砂土夹钙质结核层和薄层淡水灰岩。</w:t>
      </w:r>
    </w:p>
    <w:p>
      <w:pPr>
        <w:pStyle w:val="95"/>
        <w:spacing w:line="480" w:lineRule="exact"/>
        <w:ind w:firstLine="480"/>
        <w:rPr>
          <w:rFonts w:ascii="Times New Roman" w:hAnsi="Times New Roman" w:eastAsia="宋体" w:cs="Times New Roman"/>
          <w:szCs w:val="24"/>
        </w:rPr>
      </w:pPr>
      <w:r>
        <w:rPr>
          <w:rFonts w:ascii="Times New Roman" w:hAnsi="Times New Roman" w:eastAsia="宋体" w:cs="Times New Roman"/>
          <w:szCs w:val="24"/>
        </w:rPr>
        <w:t>6</w:t>
      </w:r>
      <w:r>
        <w:rPr>
          <w:rFonts w:ascii="Times New Roman" w:hAnsi="宋体" w:eastAsia="宋体" w:cs="Times New Roman"/>
          <w:szCs w:val="24"/>
        </w:rPr>
        <w:t>）古生界奥陶系</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为海相化学沉积地层，华北地区均缺失上奥陶统，本市可见中下奥陶系大面积分布于山区和丘陵区，总面积为</w:t>
      </w:r>
      <w:r>
        <w:rPr>
          <w:rFonts w:ascii="Times New Roman" w:hAnsi="Times New Roman" w:eastAsia="宋体" w:cs="Times New Roman"/>
          <w:szCs w:val="24"/>
        </w:rPr>
        <w:t>300km</w:t>
      </w:r>
      <w:r>
        <w:rPr>
          <w:rFonts w:ascii="Times New Roman" w:hAnsi="Times New Roman" w:eastAsia="宋体" w:cs="Times New Roman"/>
          <w:szCs w:val="24"/>
          <w:vertAlign w:val="superscript"/>
        </w:rPr>
        <w:t>2</w:t>
      </w:r>
      <w:r>
        <w:rPr>
          <w:rFonts w:ascii="Times New Roman" w:hAnsi="宋体" w:eastAsia="宋体" w:cs="Times New Roman"/>
          <w:szCs w:val="24"/>
        </w:rPr>
        <w:t>。本区根据凿孔柱状图从上至下岩性描述如下：</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中统：是区域岩溶地下水主要富水层，由上至下分为三个组：峰峰组、上马家沟组和下马家沟组，总厚</w:t>
      </w:r>
      <w:r>
        <w:rPr>
          <w:rFonts w:ascii="Times New Roman" w:hAnsi="Times New Roman" w:eastAsia="宋体" w:cs="Times New Roman"/>
          <w:szCs w:val="24"/>
        </w:rPr>
        <w:t>360-450m</w:t>
      </w:r>
      <w:r>
        <w:rPr>
          <w:rFonts w:ascii="Times New Roman" w:hAnsi="宋体" w:eastAsia="宋体" w:cs="Times New Roman"/>
          <w:szCs w:val="24"/>
        </w:rPr>
        <w:t>。</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①峰峰组：底部以角砾状泥灰岩为主，富含石膏，夹薄层砂岩，上部为中厚层状灰岩，白云质灰岩夹豹皮状灰岩，厚</w:t>
      </w:r>
      <w:r>
        <w:rPr>
          <w:rFonts w:ascii="Times New Roman" w:hAnsi="Times New Roman" w:eastAsia="宋体" w:cs="Times New Roman"/>
          <w:szCs w:val="24"/>
        </w:rPr>
        <w:t>120</w:t>
      </w:r>
      <w:r>
        <w:rPr>
          <w:rFonts w:ascii="Times New Roman" w:hAnsi="宋体" w:eastAsia="宋体" w:cs="Times New Roman"/>
          <w:szCs w:val="24"/>
        </w:rPr>
        <w:t>余米。与下伏寒武系成整合接触。</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②上马家沟组：底部有一层角砾状泥灰岩，该组以厚层灰岩及豹皮状灰岩为主，白云质灰岩次之，灰岩较纯，厚</w:t>
      </w:r>
      <w:r>
        <w:rPr>
          <w:rFonts w:ascii="Times New Roman" w:hAnsi="Times New Roman" w:eastAsia="宋体" w:cs="Times New Roman"/>
          <w:szCs w:val="24"/>
        </w:rPr>
        <w:t>220-300m</w:t>
      </w:r>
      <w:r>
        <w:rPr>
          <w:rFonts w:ascii="Times New Roman" w:hAnsi="宋体" w:eastAsia="宋体" w:cs="Times New Roman"/>
          <w:szCs w:val="24"/>
        </w:rPr>
        <w:t>。</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③下马家沟组：底部有一层石英砂岩和钙质页岩，往上为角砾状泥灰岩、白云质泥灰岩，厚层豹皮状灰岩，厚</w:t>
      </w:r>
      <w:r>
        <w:rPr>
          <w:rFonts w:ascii="Times New Roman" w:hAnsi="Times New Roman" w:eastAsia="宋体" w:cs="Times New Roman"/>
          <w:szCs w:val="24"/>
        </w:rPr>
        <w:t>80-180m</w:t>
      </w:r>
      <w:r>
        <w:rPr>
          <w:rFonts w:ascii="Times New Roman" w:hAnsi="宋体" w:eastAsia="宋体" w:cs="Times New Roman"/>
          <w:szCs w:val="24"/>
        </w:rPr>
        <w:t>。</w:t>
      </w:r>
    </w:p>
    <w:p>
      <w:pPr>
        <w:pStyle w:val="85"/>
        <w:spacing w:line="480" w:lineRule="exact"/>
        <w:ind w:firstLine="480"/>
        <w:rPr>
          <w:rFonts w:ascii="Times New Roman" w:hAnsi="Times New Roman" w:cs="Times New Roman"/>
          <w:bCs/>
          <w:sz w:val="24"/>
          <w:szCs w:val="24"/>
        </w:rPr>
      </w:pPr>
      <w:r>
        <w:rPr>
          <w:rFonts w:ascii="Times New Roman" w:cs="Times New Roman"/>
          <w:sz w:val="24"/>
          <w:szCs w:val="24"/>
        </w:rPr>
        <w:t>下统：岩性为含燧石结核白云岩，中厚层状，底部为黄绿色页岩与竹叶状白云岩互层，厚</w:t>
      </w:r>
      <w:r>
        <w:rPr>
          <w:rFonts w:ascii="Times New Roman" w:hAnsi="Times New Roman" w:cs="Times New Roman"/>
          <w:sz w:val="24"/>
          <w:szCs w:val="24"/>
        </w:rPr>
        <w:t>120</w:t>
      </w:r>
      <w:r>
        <w:rPr>
          <w:rFonts w:ascii="Times New Roman" w:cs="Times New Roman"/>
          <w:sz w:val="24"/>
          <w:szCs w:val="24"/>
        </w:rPr>
        <w:t>余米。</w:t>
      </w:r>
    </w:p>
    <w:p>
      <w:pPr>
        <w:pStyle w:val="85"/>
        <w:spacing w:line="480" w:lineRule="exact"/>
        <w:ind w:firstLine="480"/>
        <w:rPr>
          <w:rFonts w:ascii="Times New Roman" w:hAnsi="Times New Roman" w:cs="Times New Roman"/>
          <w:bCs/>
          <w:sz w:val="24"/>
        </w:rPr>
      </w:pPr>
      <w:r>
        <w:rPr>
          <w:rFonts w:ascii="Times New Roman" w:cs="Times New Roman"/>
          <w:bCs/>
          <w:sz w:val="24"/>
        </w:rPr>
        <w:t>（</w:t>
      </w:r>
      <w:r>
        <w:rPr>
          <w:rFonts w:ascii="Times New Roman" w:hAnsi="Times New Roman" w:cs="Times New Roman"/>
          <w:bCs/>
          <w:sz w:val="24"/>
        </w:rPr>
        <w:t>2</w:t>
      </w:r>
      <w:r>
        <w:rPr>
          <w:rFonts w:ascii="Times New Roman" w:cs="Times New Roman"/>
          <w:bCs/>
          <w:sz w:val="24"/>
        </w:rPr>
        <w:t>）地质构造</w:t>
      </w:r>
    </w:p>
    <w:p>
      <w:pPr>
        <w:pStyle w:val="95"/>
        <w:spacing w:line="480" w:lineRule="exact"/>
        <w:ind w:firstLine="480"/>
        <w:rPr>
          <w:rFonts w:ascii="Times New Roman" w:hAnsi="Times New Roman" w:eastAsia="宋体" w:cs="Times New Roman"/>
        </w:rPr>
      </w:pPr>
      <w:r>
        <w:rPr>
          <w:rFonts w:ascii="Times New Roman" w:hAnsi="宋体" w:eastAsia="宋体" w:cs="Times New Roman"/>
        </w:rPr>
        <w:t>区域地质构造单元分为隆起的山地丘陵区和断陷盆地区。</w:t>
      </w:r>
    </w:p>
    <w:p>
      <w:pPr>
        <w:pStyle w:val="95"/>
        <w:spacing w:line="480" w:lineRule="exact"/>
        <w:ind w:firstLine="480"/>
        <w:rPr>
          <w:rFonts w:ascii="Times New Roman" w:hAnsi="Times New Roman" w:eastAsia="宋体" w:cs="Times New Roman"/>
        </w:rPr>
      </w:pPr>
      <w:r>
        <w:rPr>
          <w:rFonts w:ascii="Times New Roman" w:hAnsi="Times New Roman" w:eastAsia="宋体" w:cs="Times New Roman"/>
        </w:rPr>
        <w:t>1</w:t>
      </w:r>
      <w:r>
        <w:rPr>
          <w:rFonts w:ascii="Times New Roman" w:hAnsi="宋体" w:eastAsia="宋体" w:cs="Times New Roman"/>
        </w:rPr>
        <w:t>）褶皱构造</w:t>
      </w:r>
    </w:p>
    <w:p>
      <w:pPr>
        <w:pStyle w:val="95"/>
        <w:ind w:firstLine="480"/>
        <w:rPr>
          <w:rFonts w:ascii="Times New Roman" w:hAnsi="Times New Roman" w:eastAsia="宋体" w:cs="Times New Roman"/>
        </w:rPr>
      </w:pPr>
      <w:r>
        <w:rPr>
          <w:rFonts w:ascii="Times New Roman" w:hAnsi="宋体" w:eastAsia="宋体" w:cs="Times New Roman"/>
        </w:rPr>
        <w:t>褶皱构造属于吕梁隆起总体上岩层较平缓，倾角</w:t>
      </w:r>
      <w:r>
        <w:rPr>
          <w:rFonts w:ascii="Times New Roman" w:hAnsi="Times New Roman" w:eastAsia="宋体" w:cs="Times New Roman"/>
        </w:rPr>
        <w:t>8~10°</w:t>
      </w:r>
      <w:r>
        <w:rPr>
          <w:rFonts w:ascii="Times New Roman" w:hAnsi="宋体" w:eastAsia="宋体" w:cs="Times New Roman"/>
        </w:rPr>
        <w:t>，倾向南东。褶皱构造一般起伏较大，有王虎庄小背斜，头道北川、南川小向斜。阳泉河至南垣村，小相寨向斜、背斜规模略大。</w:t>
      </w:r>
    </w:p>
    <w:p>
      <w:pPr>
        <w:pStyle w:val="95"/>
        <w:ind w:firstLine="480"/>
        <w:rPr>
          <w:rFonts w:ascii="Times New Roman" w:hAnsi="Times New Roman" w:eastAsia="宋体" w:cs="Times New Roman"/>
        </w:rPr>
      </w:pPr>
      <w:r>
        <w:rPr>
          <w:rFonts w:ascii="Times New Roman" w:hAnsi="Times New Roman" w:eastAsia="宋体" w:cs="Times New Roman"/>
        </w:rPr>
        <w:t>2</w:t>
      </w:r>
      <w:r>
        <w:rPr>
          <w:rFonts w:ascii="Times New Roman" w:hAnsi="宋体" w:eastAsia="宋体" w:cs="Times New Roman"/>
        </w:rPr>
        <w:t>）断层</w:t>
      </w:r>
    </w:p>
    <w:p>
      <w:pPr>
        <w:pStyle w:val="95"/>
        <w:ind w:firstLine="480"/>
        <w:rPr>
          <w:rFonts w:ascii="Times New Roman" w:hAnsi="Times New Roman" w:eastAsia="宋体" w:cs="Times New Roman"/>
        </w:rPr>
      </w:pPr>
      <w:r>
        <w:rPr>
          <w:rFonts w:ascii="Times New Roman" w:hAnsi="宋体" w:eastAsia="宋体" w:cs="Times New Roman"/>
        </w:rPr>
        <w:t>区内大的断层与山脉走向一致呈北东东方向，成为山区、丘陵、平原盆地的分界线。此外还有北面向断层以及盆地内的隐伏断层，分别如下：</w:t>
      </w:r>
    </w:p>
    <w:p>
      <w:pPr>
        <w:pStyle w:val="95"/>
        <w:ind w:firstLine="480"/>
        <w:rPr>
          <w:rFonts w:ascii="Times New Roman" w:hAnsi="Times New Roman" w:eastAsia="宋体" w:cs="Times New Roman"/>
        </w:rPr>
      </w:pPr>
      <w:r>
        <w:rPr>
          <w:rFonts w:ascii="Times New Roman" w:hAnsi="Times New Roman" w:eastAsia="宋体" w:cs="Times New Roman"/>
        </w:rPr>
        <w:t>F</w:t>
      </w:r>
      <w:r>
        <w:rPr>
          <w:rFonts w:ascii="Times New Roman" w:hAnsi="Times New Roman" w:eastAsia="宋体" w:cs="Times New Roman"/>
          <w:vertAlign w:val="subscript"/>
        </w:rPr>
        <w:t>1</w:t>
      </w:r>
      <w:r>
        <w:rPr>
          <w:rFonts w:ascii="Times New Roman" w:hAnsi="宋体" w:eastAsia="宋体" w:cs="Times New Roman"/>
        </w:rPr>
        <w:t>贾家墕</w:t>
      </w:r>
      <w:r>
        <w:rPr>
          <w:rFonts w:ascii="Times New Roman" w:hAnsi="Times New Roman" w:eastAsia="宋体" w:cs="Times New Roman"/>
        </w:rPr>
        <w:t>——</w:t>
      </w:r>
      <w:r>
        <w:rPr>
          <w:rFonts w:ascii="Times New Roman" w:hAnsi="宋体" w:eastAsia="宋体" w:cs="Times New Roman"/>
        </w:rPr>
        <w:t>黄彩坡逆断层，走向北东</w:t>
      </w:r>
      <w:r>
        <w:rPr>
          <w:rFonts w:ascii="Times New Roman" w:hAnsi="Times New Roman" w:eastAsia="宋体" w:cs="Times New Roman"/>
        </w:rPr>
        <w:t>65°~75°</w:t>
      </w:r>
      <w:r>
        <w:rPr>
          <w:rFonts w:ascii="Times New Roman" w:hAnsi="宋体" w:eastAsia="宋体" w:cs="Times New Roman"/>
        </w:rPr>
        <w:t>，长度</w:t>
      </w:r>
      <w:r>
        <w:rPr>
          <w:rFonts w:ascii="Times New Roman" w:hAnsi="Times New Roman" w:eastAsia="宋体" w:cs="Times New Roman"/>
        </w:rPr>
        <w:t>25km</w:t>
      </w:r>
      <w:r>
        <w:rPr>
          <w:rFonts w:ascii="Times New Roman" w:hAnsi="宋体" w:eastAsia="宋体" w:cs="Times New Roman"/>
        </w:rPr>
        <w:t>。断层面倾向</w:t>
      </w:r>
      <w:r>
        <w:rPr>
          <w:rFonts w:ascii="Times New Roman" w:hAnsi="Times New Roman" w:eastAsia="宋体" w:cs="Times New Roman"/>
        </w:rPr>
        <w:t>50°~70°</w:t>
      </w:r>
      <w:r>
        <w:rPr>
          <w:rFonts w:ascii="Times New Roman" w:hAnsi="宋体" w:eastAsia="宋体" w:cs="Times New Roman"/>
        </w:rPr>
        <w:t>，断距</w:t>
      </w:r>
      <w:r>
        <w:rPr>
          <w:rFonts w:ascii="Times New Roman" w:hAnsi="Times New Roman" w:eastAsia="宋体" w:cs="Times New Roman"/>
        </w:rPr>
        <w:t>200~250m</w:t>
      </w:r>
      <w:r>
        <w:rPr>
          <w:rFonts w:ascii="Times New Roman" w:hAnsi="宋体" w:eastAsia="宋体" w:cs="Times New Roman"/>
        </w:rPr>
        <w:t>，断层上盘上升逆冲于下盘之上，断层附近石灰岩受挤压而发生倒转。</w:t>
      </w:r>
    </w:p>
    <w:p>
      <w:pPr>
        <w:pStyle w:val="95"/>
        <w:ind w:firstLine="480"/>
        <w:rPr>
          <w:rFonts w:ascii="Times New Roman" w:hAnsi="Times New Roman" w:eastAsia="宋体" w:cs="Times New Roman"/>
        </w:rPr>
      </w:pPr>
      <w:r>
        <w:rPr>
          <w:rFonts w:ascii="Times New Roman" w:hAnsi="Times New Roman" w:eastAsia="宋体" w:cs="Times New Roman"/>
        </w:rPr>
        <w:t>F</w:t>
      </w:r>
      <w:r>
        <w:rPr>
          <w:rFonts w:ascii="Times New Roman" w:hAnsi="Times New Roman" w:eastAsia="宋体" w:cs="Times New Roman"/>
          <w:vertAlign w:val="subscript"/>
        </w:rPr>
        <w:t>2</w:t>
      </w:r>
      <w:r>
        <w:rPr>
          <w:rFonts w:ascii="Times New Roman" w:hAnsi="宋体" w:eastAsia="宋体" w:cs="Times New Roman"/>
        </w:rPr>
        <w:t>桑枣坡</w:t>
      </w:r>
      <w:r>
        <w:rPr>
          <w:rFonts w:ascii="Times New Roman" w:hAnsi="Times New Roman" w:eastAsia="宋体" w:cs="Times New Roman"/>
        </w:rPr>
        <w:t>——</w:t>
      </w:r>
      <w:r>
        <w:rPr>
          <w:rFonts w:ascii="Times New Roman" w:hAnsi="宋体" w:eastAsia="宋体" w:cs="Times New Roman"/>
        </w:rPr>
        <w:t>安上断层，走向北东</w:t>
      </w:r>
      <w:r>
        <w:rPr>
          <w:rFonts w:ascii="Times New Roman" w:hAnsi="Times New Roman" w:eastAsia="宋体" w:cs="Times New Roman"/>
        </w:rPr>
        <w:t>60~65°</w:t>
      </w:r>
      <w:r>
        <w:rPr>
          <w:rFonts w:ascii="Times New Roman" w:hAnsi="宋体" w:eastAsia="宋体" w:cs="Times New Roman"/>
        </w:rPr>
        <w:t>，长度</w:t>
      </w:r>
      <w:r>
        <w:rPr>
          <w:rFonts w:ascii="Times New Roman" w:hAnsi="Times New Roman" w:eastAsia="宋体" w:cs="Times New Roman"/>
        </w:rPr>
        <w:t>28km</w:t>
      </w:r>
      <w:r>
        <w:rPr>
          <w:rFonts w:ascii="Times New Roman" w:hAnsi="宋体" w:eastAsia="宋体" w:cs="Times New Roman"/>
        </w:rPr>
        <w:t>，在庄子、南垣底、安上等井孔揭露到，倾向南东，倾角</w:t>
      </w:r>
      <w:r>
        <w:rPr>
          <w:rFonts w:ascii="Times New Roman" w:hAnsi="Times New Roman" w:eastAsia="宋体" w:cs="Times New Roman"/>
        </w:rPr>
        <w:t>80°</w:t>
      </w:r>
      <w:r>
        <w:rPr>
          <w:rFonts w:ascii="Times New Roman" w:hAnsi="宋体" w:eastAsia="宋体" w:cs="Times New Roman"/>
        </w:rPr>
        <w:t>左右，断距大于</w:t>
      </w:r>
      <w:r>
        <w:rPr>
          <w:rFonts w:ascii="Times New Roman" w:hAnsi="Times New Roman" w:eastAsia="宋体" w:cs="Times New Roman"/>
        </w:rPr>
        <w:t>400m</w:t>
      </w:r>
      <w:r>
        <w:rPr>
          <w:rFonts w:ascii="Times New Roman" w:hAnsi="宋体" w:eastAsia="宋体" w:cs="Times New Roman"/>
        </w:rPr>
        <w:t>。</w:t>
      </w:r>
      <w:r>
        <w:rPr>
          <w:rFonts w:ascii="Times New Roman" w:hAnsi="Times New Roman" w:eastAsia="宋体" w:cs="Times New Roman"/>
        </w:rPr>
        <w:t>F2</w:t>
      </w:r>
      <w:r>
        <w:rPr>
          <w:rFonts w:ascii="Times New Roman" w:hAnsi="宋体" w:eastAsia="宋体" w:cs="Times New Roman"/>
        </w:rPr>
        <w:t>断层构成丘陵与盆地边界。</w:t>
      </w:r>
    </w:p>
    <w:p>
      <w:pPr>
        <w:pStyle w:val="95"/>
        <w:ind w:firstLine="480"/>
        <w:rPr>
          <w:rFonts w:ascii="Times New Roman" w:hAnsi="Times New Roman" w:eastAsia="宋体" w:cs="Times New Roman"/>
        </w:rPr>
      </w:pPr>
      <w:r>
        <w:rPr>
          <w:rFonts w:ascii="Times New Roman" w:hAnsi="Times New Roman" w:eastAsia="宋体" w:cs="Times New Roman"/>
        </w:rPr>
        <w:t>F</w:t>
      </w:r>
      <w:r>
        <w:rPr>
          <w:rFonts w:ascii="Times New Roman" w:hAnsi="Times New Roman" w:eastAsia="宋体" w:cs="Times New Roman"/>
          <w:vertAlign w:val="subscript"/>
        </w:rPr>
        <w:t>3</w:t>
      </w:r>
      <w:r>
        <w:rPr>
          <w:rFonts w:ascii="Times New Roman" w:hAnsi="宋体" w:eastAsia="宋体" w:cs="Times New Roman"/>
        </w:rPr>
        <w:t>石门沟北至杏湾推断断层，根据石门沟及安上北部奥陶系隆起和张家堡一带太古界隆起判断，在</w:t>
      </w:r>
      <w:r>
        <w:rPr>
          <w:rFonts w:ascii="Times New Roman" w:hAnsi="Times New Roman" w:eastAsia="宋体" w:cs="Times New Roman"/>
        </w:rPr>
        <w:t>F</w:t>
      </w:r>
      <w:r>
        <w:rPr>
          <w:rFonts w:ascii="Times New Roman" w:hAnsi="Times New Roman" w:eastAsia="宋体" w:cs="Times New Roman"/>
          <w:vertAlign w:val="subscript"/>
        </w:rPr>
        <w:t>1</w:t>
      </w:r>
      <w:r>
        <w:rPr>
          <w:rFonts w:ascii="Times New Roman" w:hAnsi="宋体" w:eastAsia="宋体" w:cs="Times New Roman"/>
        </w:rPr>
        <w:t>和</w:t>
      </w:r>
      <w:r>
        <w:rPr>
          <w:rFonts w:ascii="Times New Roman" w:hAnsi="Times New Roman" w:eastAsia="宋体" w:cs="Times New Roman"/>
        </w:rPr>
        <w:t>F</w:t>
      </w:r>
      <w:r>
        <w:rPr>
          <w:rFonts w:ascii="Times New Roman" w:hAnsi="Times New Roman" w:eastAsia="宋体" w:cs="Times New Roman"/>
          <w:vertAlign w:val="subscript"/>
        </w:rPr>
        <w:t>2</w:t>
      </w:r>
      <w:r>
        <w:rPr>
          <w:rFonts w:ascii="Times New Roman" w:hAnsi="宋体" w:eastAsia="宋体" w:cs="Times New Roman"/>
        </w:rPr>
        <w:t>之间存在一组走向北东断层，长度</w:t>
      </w:r>
      <w:r>
        <w:rPr>
          <w:rFonts w:ascii="Times New Roman" w:hAnsi="Times New Roman" w:eastAsia="宋体" w:cs="Times New Roman"/>
        </w:rPr>
        <w:t>22km</w:t>
      </w:r>
      <w:r>
        <w:rPr>
          <w:rFonts w:ascii="Times New Roman" w:hAnsi="宋体" w:eastAsia="宋体" w:cs="Times New Roman"/>
        </w:rPr>
        <w:t>，倾向南东，断层北盘上升，奥陶系石灰岩出露最高点海拔</w:t>
      </w:r>
      <w:r>
        <w:rPr>
          <w:rFonts w:ascii="Times New Roman" w:hAnsi="Times New Roman" w:eastAsia="宋体" w:cs="Times New Roman"/>
        </w:rPr>
        <w:t>1252~1271m</w:t>
      </w:r>
      <w:r>
        <w:rPr>
          <w:rFonts w:ascii="Times New Roman" w:hAnsi="宋体" w:eastAsia="宋体" w:cs="Times New Roman"/>
        </w:rPr>
        <w:t>。高于石门沟、大相机井揭露奥陶系顶板约</w:t>
      </w:r>
      <w:r>
        <w:rPr>
          <w:rFonts w:ascii="Times New Roman" w:hAnsi="Times New Roman" w:eastAsia="宋体" w:cs="Times New Roman"/>
        </w:rPr>
        <w:t>600m</w:t>
      </w:r>
      <w:r>
        <w:rPr>
          <w:rFonts w:ascii="Times New Roman" w:hAnsi="宋体" w:eastAsia="宋体" w:cs="Times New Roman"/>
        </w:rPr>
        <w:t>。</w:t>
      </w:r>
    </w:p>
    <w:p>
      <w:pPr>
        <w:pStyle w:val="95"/>
        <w:ind w:firstLine="480"/>
        <w:rPr>
          <w:rFonts w:ascii="Times New Roman" w:hAnsi="Times New Roman" w:eastAsia="宋体" w:cs="Times New Roman"/>
        </w:rPr>
      </w:pPr>
      <w:r>
        <w:rPr>
          <w:rFonts w:ascii="Times New Roman" w:hAnsi="Times New Roman" w:eastAsia="宋体" w:cs="Times New Roman"/>
        </w:rPr>
        <w:t>F</w:t>
      </w:r>
      <w:r>
        <w:rPr>
          <w:rFonts w:ascii="Times New Roman" w:hAnsi="Times New Roman" w:eastAsia="宋体" w:cs="Times New Roman"/>
          <w:vertAlign w:val="subscript"/>
        </w:rPr>
        <w:t>4</w:t>
      </w:r>
      <w:r>
        <w:rPr>
          <w:rFonts w:ascii="Times New Roman" w:hAnsi="宋体" w:eastAsia="宋体" w:cs="Times New Roman"/>
        </w:rPr>
        <w:t>三泉地垒断层在任家堡钻探</w:t>
      </w:r>
      <w:r>
        <w:rPr>
          <w:rFonts w:ascii="Times New Roman" w:hAnsi="Times New Roman" w:eastAsia="宋体" w:cs="Times New Roman"/>
        </w:rPr>
        <w:t>181.16m</w:t>
      </w:r>
      <w:r>
        <w:rPr>
          <w:rFonts w:ascii="Times New Roman" w:hAnsi="宋体" w:eastAsia="宋体" w:cs="Times New Roman"/>
        </w:rPr>
        <w:t>见奥陶系泥灰岩，推断是由两组走向北东方向隐伏断层形成地垒构造。</w:t>
      </w:r>
    </w:p>
    <w:p>
      <w:pPr>
        <w:pStyle w:val="95"/>
        <w:ind w:firstLine="480"/>
        <w:rPr>
          <w:rFonts w:ascii="Times New Roman" w:hAnsi="Times New Roman" w:eastAsia="宋体" w:cs="Times New Roman"/>
        </w:rPr>
      </w:pPr>
      <w:r>
        <w:rPr>
          <w:rFonts w:ascii="Times New Roman" w:hAnsi="Times New Roman" w:eastAsia="宋体" w:cs="Times New Roman"/>
        </w:rPr>
        <w:t>F</w:t>
      </w:r>
      <w:r>
        <w:rPr>
          <w:rFonts w:ascii="Times New Roman" w:hAnsi="Times New Roman" w:eastAsia="宋体" w:cs="Times New Roman"/>
          <w:vertAlign w:val="subscript"/>
        </w:rPr>
        <w:t>5</w:t>
      </w:r>
      <w:r>
        <w:rPr>
          <w:rFonts w:ascii="Times New Roman" w:hAnsi="宋体" w:eastAsia="宋体" w:cs="Times New Roman"/>
        </w:rPr>
        <w:t>汾阳</w:t>
      </w:r>
      <w:r>
        <w:rPr>
          <w:rFonts w:ascii="Times New Roman" w:hAnsi="Times New Roman" w:eastAsia="宋体" w:cs="Times New Roman"/>
        </w:rPr>
        <w:t>—</w:t>
      </w:r>
      <w:r>
        <w:rPr>
          <w:rFonts w:ascii="Times New Roman" w:hAnsi="宋体" w:eastAsia="宋体" w:cs="Times New Roman"/>
        </w:rPr>
        <w:t>孝义隐伏断层。走向北东</w:t>
      </w:r>
      <w:r>
        <w:rPr>
          <w:rFonts w:ascii="Times New Roman" w:hAnsi="Times New Roman" w:eastAsia="宋体" w:cs="Times New Roman"/>
        </w:rPr>
        <w:t>40°</w:t>
      </w:r>
      <w:r>
        <w:rPr>
          <w:rFonts w:ascii="Times New Roman" w:hAnsi="宋体" w:eastAsia="宋体" w:cs="Times New Roman"/>
        </w:rPr>
        <w:t>，境内自郭家沟至杏花镇，长度</w:t>
      </w:r>
      <w:r>
        <w:rPr>
          <w:rFonts w:ascii="Times New Roman" w:hAnsi="Times New Roman" w:eastAsia="宋体" w:cs="Times New Roman"/>
        </w:rPr>
        <w:t>22km</w:t>
      </w:r>
      <w:r>
        <w:rPr>
          <w:rFonts w:ascii="Times New Roman" w:hAnsi="宋体" w:eastAsia="宋体" w:cs="Times New Roman"/>
        </w:rPr>
        <w:t>，西北侧为上升盘，五麟、东辉焦化厂机井内奥陶系顶板埋深</w:t>
      </w:r>
      <w:r>
        <w:rPr>
          <w:rFonts w:ascii="Times New Roman" w:hAnsi="Times New Roman" w:eastAsia="宋体" w:cs="Times New Roman"/>
        </w:rPr>
        <w:t>150m</w:t>
      </w:r>
      <w:r>
        <w:rPr>
          <w:rFonts w:ascii="Times New Roman" w:hAnsi="宋体" w:eastAsia="宋体" w:cs="Times New Roman"/>
        </w:rPr>
        <w:t>左右，在断层东南下降盘煤田勘探，奥陶系顶板埋深</w:t>
      </w:r>
      <w:r>
        <w:rPr>
          <w:rFonts w:ascii="Times New Roman" w:hAnsi="Times New Roman" w:eastAsia="宋体" w:cs="Times New Roman"/>
        </w:rPr>
        <w:t>600~800m</w:t>
      </w:r>
      <w:r>
        <w:rPr>
          <w:rFonts w:ascii="Times New Roman" w:hAnsi="宋体" w:eastAsia="宋体" w:cs="Times New Roman"/>
        </w:rPr>
        <w:t>以下，杏花镇东堡附近钻探</w:t>
      </w:r>
      <w:r>
        <w:rPr>
          <w:rFonts w:ascii="Times New Roman" w:hAnsi="Times New Roman" w:eastAsia="宋体" w:cs="Times New Roman"/>
        </w:rPr>
        <w:t>313.78m</w:t>
      </w:r>
      <w:r>
        <w:rPr>
          <w:rFonts w:ascii="Times New Roman" w:hAnsi="宋体" w:eastAsia="宋体" w:cs="Times New Roman"/>
        </w:rPr>
        <w:t>见三叠系砂岩，在断层东南下降盘一侧，据石油钻探基岩顶板在</w:t>
      </w:r>
      <w:r>
        <w:rPr>
          <w:rFonts w:ascii="Times New Roman" w:hAnsi="Times New Roman" w:eastAsia="宋体" w:cs="Times New Roman"/>
        </w:rPr>
        <w:t>2000m</w:t>
      </w:r>
      <w:r>
        <w:rPr>
          <w:rFonts w:ascii="Times New Roman" w:hAnsi="宋体" w:eastAsia="宋体" w:cs="Times New Roman"/>
        </w:rPr>
        <w:t>以下，可以确认这是一组山丘隆起区与盆地平原分界的基底构造。</w:t>
      </w:r>
    </w:p>
    <w:p>
      <w:pPr>
        <w:pStyle w:val="95"/>
        <w:ind w:firstLine="480"/>
        <w:rPr>
          <w:rFonts w:ascii="Times New Roman" w:hAnsi="Times New Roman" w:eastAsia="宋体" w:cs="Times New Roman"/>
        </w:rPr>
      </w:pPr>
      <w:r>
        <w:rPr>
          <w:rFonts w:ascii="Times New Roman" w:hAnsi="Times New Roman" w:eastAsia="宋体" w:cs="Times New Roman"/>
        </w:rPr>
        <w:t>F</w:t>
      </w:r>
      <w:r>
        <w:rPr>
          <w:rFonts w:ascii="Times New Roman" w:hAnsi="Times New Roman" w:eastAsia="宋体" w:cs="Times New Roman"/>
          <w:vertAlign w:val="subscript"/>
        </w:rPr>
        <w:t>6</w:t>
      </w:r>
      <w:r>
        <w:rPr>
          <w:rFonts w:ascii="Times New Roman" w:hAnsi="宋体" w:eastAsia="宋体" w:cs="Times New Roman"/>
        </w:rPr>
        <w:t>老爷山</w:t>
      </w:r>
      <w:r>
        <w:rPr>
          <w:rFonts w:ascii="Times New Roman" w:hAnsi="Times New Roman" w:eastAsia="宋体" w:cs="Times New Roman"/>
        </w:rPr>
        <w:t>—</w:t>
      </w:r>
      <w:r>
        <w:rPr>
          <w:rFonts w:ascii="Times New Roman" w:hAnsi="宋体" w:eastAsia="宋体" w:cs="Times New Roman"/>
        </w:rPr>
        <w:t>侯家墕断层走向北西</w:t>
      </w:r>
      <w:r>
        <w:rPr>
          <w:rFonts w:ascii="Times New Roman" w:hAnsi="Times New Roman" w:eastAsia="宋体" w:cs="Times New Roman"/>
        </w:rPr>
        <w:t>310°</w:t>
      </w:r>
      <w:r>
        <w:rPr>
          <w:rFonts w:ascii="Times New Roman" w:hAnsi="宋体" w:eastAsia="宋体" w:cs="Times New Roman"/>
        </w:rPr>
        <w:t>，长度</w:t>
      </w:r>
      <w:r>
        <w:rPr>
          <w:rFonts w:ascii="Times New Roman" w:hAnsi="Times New Roman" w:eastAsia="宋体" w:cs="Times New Roman"/>
        </w:rPr>
        <w:t>12km</w:t>
      </w:r>
      <w:r>
        <w:rPr>
          <w:rFonts w:ascii="Times New Roman" w:hAnsi="宋体" w:eastAsia="宋体" w:cs="Times New Roman"/>
        </w:rPr>
        <w:t>，倾向南西，上盘上升属于逆断层，断层北端岩层产状近直立。</w:t>
      </w:r>
      <w:r>
        <w:rPr>
          <w:rFonts w:ascii="Times New Roman" w:hAnsi="Times New Roman" w:eastAsia="宋体" w:cs="Times New Roman"/>
        </w:rPr>
        <w:t>F</w:t>
      </w:r>
      <w:r>
        <w:rPr>
          <w:rFonts w:ascii="Times New Roman" w:hAnsi="Times New Roman" w:eastAsia="宋体" w:cs="Times New Roman"/>
          <w:vertAlign w:val="subscript"/>
        </w:rPr>
        <w:t>6</w:t>
      </w:r>
      <w:r>
        <w:rPr>
          <w:rFonts w:ascii="Times New Roman" w:hAnsi="宋体" w:eastAsia="宋体" w:cs="Times New Roman"/>
        </w:rPr>
        <w:t>断层具阻水作用，断层东西两侧岩溶水位相差约</w:t>
      </w:r>
      <w:r>
        <w:rPr>
          <w:rFonts w:ascii="Times New Roman" w:hAnsi="Times New Roman" w:eastAsia="宋体" w:cs="Times New Roman"/>
        </w:rPr>
        <w:t>100m</w:t>
      </w:r>
      <w:r>
        <w:rPr>
          <w:rFonts w:ascii="Times New Roman" w:hAnsi="宋体" w:eastAsia="宋体" w:cs="Times New Roman"/>
        </w:rPr>
        <w:t>。</w:t>
      </w:r>
    </w:p>
    <w:p>
      <w:pPr>
        <w:pStyle w:val="85"/>
        <w:spacing w:line="460" w:lineRule="exact"/>
        <w:ind w:firstLine="480"/>
        <w:rPr>
          <w:rStyle w:val="94"/>
          <w:rFonts w:ascii="Times New Roman" w:hAnsi="Times New Roman" w:cs="Times New Roman"/>
        </w:rPr>
      </w:pPr>
      <w:r>
        <w:rPr>
          <w:rStyle w:val="94"/>
          <w:rFonts w:ascii="Times New Roman" w:hAnsi="Times New Roman" w:cs="Times New Roman"/>
        </w:rPr>
        <w:t>F</w:t>
      </w:r>
      <w:r>
        <w:rPr>
          <w:rStyle w:val="94"/>
          <w:rFonts w:ascii="Times New Roman" w:hAnsi="Times New Roman" w:cs="Times New Roman"/>
          <w:vertAlign w:val="subscript"/>
        </w:rPr>
        <w:t>7</w:t>
      </w:r>
      <w:r>
        <w:rPr>
          <w:rStyle w:val="94"/>
          <w:rFonts w:ascii="Times New Roman" w:cs="Times New Roman"/>
        </w:rPr>
        <w:t>任家堡</w:t>
      </w:r>
      <w:r>
        <w:rPr>
          <w:rStyle w:val="94"/>
          <w:rFonts w:ascii="Times New Roman" w:hAnsi="Times New Roman" w:cs="Times New Roman"/>
        </w:rPr>
        <w:t>—</w:t>
      </w:r>
      <w:r>
        <w:rPr>
          <w:rStyle w:val="94"/>
          <w:rFonts w:ascii="Times New Roman" w:cs="Times New Roman"/>
        </w:rPr>
        <w:t>贾壁断层沿虢义河河谷发育，走向近东西方向，向南倾斜，断距</w:t>
      </w:r>
      <w:r>
        <w:rPr>
          <w:rStyle w:val="94"/>
          <w:rFonts w:ascii="Times New Roman" w:hAnsi="Times New Roman" w:cs="Times New Roman"/>
        </w:rPr>
        <w:t>350</w:t>
      </w:r>
      <w:r>
        <w:rPr>
          <w:rStyle w:val="94"/>
          <w:rFonts w:ascii="Times New Roman" w:cs="Times New Roman"/>
        </w:rPr>
        <w:t>余米，属正断层。断层以南孝义市临水、东曹等地煤田勘探孔，揭露石炭二叠系厚度</w:t>
      </w:r>
      <w:r>
        <w:rPr>
          <w:rStyle w:val="94"/>
          <w:rFonts w:ascii="Times New Roman" w:hAnsi="Times New Roman" w:cs="Times New Roman"/>
        </w:rPr>
        <w:t>320m</w:t>
      </w:r>
      <w:r>
        <w:rPr>
          <w:rStyle w:val="94"/>
          <w:rFonts w:ascii="Times New Roman" w:cs="Times New Roman"/>
        </w:rPr>
        <w:t>左右，奥陶系顶板埋深</w:t>
      </w:r>
      <w:r>
        <w:rPr>
          <w:rStyle w:val="94"/>
          <w:rFonts w:ascii="Times New Roman" w:hAnsi="Times New Roman" w:cs="Times New Roman"/>
        </w:rPr>
        <w:t>510m</w:t>
      </w:r>
      <w:r>
        <w:rPr>
          <w:rStyle w:val="94"/>
          <w:rFonts w:ascii="Times New Roman" w:cs="Times New Roman"/>
        </w:rPr>
        <w:t>。而五麟、东辉焦化厂机井奥陶系顶板埋深</w:t>
      </w:r>
      <w:r>
        <w:rPr>
          <w:rStyle w:val="94"/>
          <w:rFonts w:ascii="Times New Roman" w:hAnsi="Times New Roman" w:cs="Times New Roman"/>
        </w:rPr>
        <w:t>150~160m</w:t>
      </w:r>
      <w:r>
        <w:rPr>
          <w:rStyle w:val="94"/>
          <w:rFonts w:ascii="Times New Roman" w:cs="Times New Roman"/>
        </w:rPr>
        <w:t>。由于上升盘隆起，石炭二叠系大部分被剥蚀，孔内奥陶系石灰岩之上仅余</w:t>
      </w:r>
      <w:r>
        <w:rPr>
          <w:rStyle w:val="94"/>
          <w:rFonts w:ascii="Times New Roman" w:hAnsi="Times New Roman" w:cs="Times New Roman"/>
        </w:rPr>
        <w:t>20</w:t>
      </w:r>
      <w:r>
        <w:rPr>
          <w:rStyle w:val="94"/>
          <w:rFonts w:ascii="Times New Roman" w:cs="Times New Roman"/>
        </w:rPr>
        <w:t>余米石炭系岩层。</w:t>
      </w:r>
      <w:r>
        <w:rPr>
          <w:rStyle w:val="94"/>
          <w:rFonts w:ascii="Times New Roman" w:hAnsi="Times New Roman" w:cs="Times New Roman"/>
        </w:rPr>
        <w:t>区域地质构造图见图5.2-1。</w:t>
      </w:r>
    </w:p>
    <w:p>
      <w:pPr>
        <w:pStyle w:val="85"/>
        <w:spacing w:line="480" w:lineRule="exact"/>
        <w:ind w:firstLine="0" w:firstLineChars="0"/>
        <w:rPr>
          <w:rFonts w:ascii="Times New Roman" w:hAnsi="Times New Roman" w:cs="Times New Roman"/>
          <w:b/>
          <w:sz w:val="24"/>
        </w:rPr>
      </w:pPr>
      <w:r>
        <w:rPr>
          <w:rFonts w:ascii="Times New Roman" w:hAnsi="Times New Roman" w:cs="Times New Roman"/>
          <w:b/>
          <w:sz w:val="24"/>
        </w:rPr>
        <w:t>2、区域水文地质条件</w:t>
      </w:r>
    </w:p>
    <w:p>
      <w:pPr>
        <w:pStyle w:val="85"/>
        <w:spacing w:line="480" w:lineRule="exact"/>
        <w:ind w:firstLine="480"/>
        <w:rPr>
          <w:rFonts w:ascii="Times New Roman" w:hAnsi="Times New Roman" w:cs="Times New Roman"/>
          <w:bCs/>
          <w:sz w:val="24"/>
        </w:rPr>
      </w:pPr>
      <w:r>
        <w:rPr>
          <w:rFonts w:ascii="Times New Roman" w:hAnsi="Times New Roman" w:cs="Times New Roman"/>
          <w:bCs/>
          <w:sz w:val="24"/>
        </w:rPr>
        <w:t>（1）水文地质类型区概述</w:t>
      </w:r>
    </w:p>
    <w:p>
      <w:pPr>
        <w:pStyle w:val="85"/>
        <w:spacing w:line="480" w:lineRule="exact"/>
        <w:ind w:firstLine="480"/>
        <w:rPr>
          <w:rFonts w:ascii="Times New Roman" w:hAnsi="Times New Roman" w:cs="Times New Roman"/>
          <w:sz w:val="24"/>
        </w:rPr>
      </w:pPr>
      <w:r>
        <w:rPr>
          <w:rFonts w:ascii="Times New Roman" w:hAnsi="Times New Roman" w:cs="Times New Roman"/>
          <w:sz w:val="24"/>
        </w:rPr>
        <w:t>汾阳市水文地质类型有石灰岩岩溶水，变质岩及砂页岩裂隙水和松散堆积孔隙水。</w:t>
      </w:r>
    </w:p>
    <w:p>
      <w:pPr>
        <w:pStyle w:val="85"/>
        <w:spacing w:line="480" w:lineRule="exact"/>
        <w:ind w:firstLine="480"/>
        <w:rPr>
          <w:rFonts w:ascii="Times New Roman" w:hAnsi="Times New Roman" w:cs="Times New Roman"/>
          <w:sz w:val="24"/>
        </w:rPr>
      </w:pPr>
      <w:r>
        <w:rPr>
          <w:rFonts w:ascii="Times New Roman" w:hAnsi="Times New Roman" w:cs="Times New Roman"/>
          <w:sz w:val="24"/>
        </w:rPr>
        <w:t>1）裸露型岩溶山地地下水区</w:t>
      </w:r>
    </w:p>
    <w:p>
      <w:pPr>
        <w:pStyle w:val="85"/>
        <w:spacing w:line="480" w:lineRule="exact"/>
        <w:ind w:firstLine="480"/>
        <w:rPr>
          <w:rFonts w:ascii="Times New Roman" w:hAnsi="Times New Roman" w:cs="Times New Roman"/>
          <w:sz w:val="24"/>
        </w:rPr>
      </w:pPr>
      <w:r>
        <w:rPr>
          <w:rFonts w:ascii="Times New Roman" w:hAnsi="Times New Roman" w:cs="Times New Roman"/>
          <w:sz w:val="24"/>
        </w:rPr>
        <w:t>分布在黄彩坡—神泉头—贾家墕断层（F</w:t>
      </w:r>
      <w:r>
        <w:rPr>
          <w:rFonts w:ascii="Times New Roman" w:hAnsi="Times New Roman" w:cs="Times New Roman"/>
          <w:sz w:val="24"/>
          <w:vertAlign w:val="subscript"/>
        </w:rPr>
        <w:t>1</w:t>
      </w:r>
      <w:r>
        <w:rPr>
          <w:rFonts w:ascii="Times New Roman" w:hAnsi="Times New Roman" w:cs="Times New Roman"/>
          <w:sz w:val="24"/>
        </w:rPr>
        <w:t>）及色头至北偏城、南偏城、南垣活、胡家坡一线以北老爷山；鳌坡至上池家庄以东一带，区域内居民较少，远离工农业开发区。据有关资料，岩溶水位标高1200~1400m，比丘陵区水位高出500~600m。逆冲断层阻水而形成特有的岩溶水自流盆地。水质属HCO</w:t>
      </w:r>
      <w:r>
        <w:rPr>
          <w:rFonts w:ascii="Times New Roman" w:hAnsi="Times New Roman" w:cs="Times New Roman"/>
          <w:sz w:val="24"/>
          <w:vertAlign w:val="subscript"/>
        </w:rPr>
        <w:t>3</w:t>
      </w:r>
      <w:r>
        <w:rPr>
          <w:rFonts w:ascii="Times New Roman" w:hAnsi="Times New Roman" w:cs="Times New Roman"/>
          <w:sz w:val="24"/>
        </w:rPr>
        <w:t>-CaMg型，矿化度0.23g/L。</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2）一般山区覆盖型岩溶水区</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分布于下家庄至龙泉、相子垣、开垣庄一线至F2断层及安上至武家垣一带。奥陶系顶板埋深100~150m。相子垣、北垣底等地比较厚，达245.5~330.0m，覆盖层为第四系上、中、下更新统亚粘土、亚砂土夹砂砾石和第三系红土夹砾石。山地覆盖型岩溶水富水性与所处构造条件有关。如北垣底、南垣底、靳丰等深井均在断裂带附近，单井日出水量1450~2000t。相子垣机井距断层较远，日出水量仅500t左右。水位埋深210~258m，水位标高632~640m。山地覆盖型岩溶水区域内水质为HCO</w:t>
      </w:r>
      <w:r>
        <w:rPr>
          <w:rFonts w:ascii="Times New Roman" w:hAnsi="Times New Roman" w:cs="Times New Roman"/>
          <w:sz w:val="24"/>
          <w:szCs w:val="24"/>
          <w:vertAlign w:val="subscript"/>
        </w:rPr>
        <w:t>3</w:t>
      </w:r>
      <w:r>
        <w:rPr>
          <w:rFonts w:ascii="Times New Roman" w:hAnsi="Times New Roman" w:cs="Times New Roman"/>
          <w:sz w:val="24"/>
          <w:szCs w:val="24"/>
        </w:rPr>
        <w:t>-CaMg、Na-Cl型，矿化度0.3~0.8g/L。</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3）一般山丘区埋藏型岩溶水区</w:t>
      </w:r>
    </w:p>
    <w:p>
      <w:pPr>
        <w:pStyle w:val="85"/>
        <w:spacing w:line="460" w:lineRule="exact"/>
        <w:ind w:firstLine="480"/>
        <w:rPr>
          <w:rStyle w:val="94"/>
          <w:rFonts w:ascii="Times New Roman" w:cs="Times New Roman"/>
          <w:szCs w:val="24"/>
        </w:rPr>
      </w:pPr>
      <w:r>
        <w:rPr>
          <w:rFonts w:ascii="Times New Roman" w:hAnsi="Times New Roman" w:cs="Times New Roman"/>
          <w:sz w:val="24"/>
          <w:szCs w:val="24"/>
        </w:rPr>
        <w:t>分布于杨家庄镇庄子至后贺庄以及安上至新丰一带。奥陶系之上有数十米石炭、二叠系砂页岩和煤层，某些地段如庄子村、石门沟石灰系之上还有百余米第四系黄土、砂砾石及第三系红土覆盖。岩溶水富水性受构造条件控制，在断裂构造附近如大相村北、石门沟等地单井涌水量1000~2000t/d，大部分地区因砂页岩阻隔，不利于降水入渗，水量不富，如石庄镇阳泉村机井日出水量20余吨，水质属HCO</w:t>
      </w:r>
      <w:r>
        <w:rPr>
          <w:rFonts w:ascii="Times New Roman" w:hAnsi="Times New Roman" w:cs="Times New Roman"/>
          <w:sz w:val="24"/>
          <w:szCs w:val="24"/>
          <w:vertAlign w:val="subscript"/>
        </w:rPr>
        <w:t>3</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-Ca·Mg型，矿化度0.42~0.56g/L，本区自下庄至南广城、中西庄、西北约170km</w:t>
      </w:r>
      <w:r>
        <w:rPr>
          <w:rFonts w:ascii="Times New Roman" w:hAnsi="Times New Roman" w:cs="Times New Roman"/>
          <w:sz w:val="24"/>
          <w:szCs w:val="24"/>
          <w:vertAlign w:val="superscript"/>
        </w:rPr>
        <w:t>2</w:t>
      </w:r>
      <w:r>
        <w:rPr>
          <w:rFonts w:ascii="Times New Roman" w:hAnsi="Times New Roman" w:cs="Times New Roman"/>
          <w:sz w:val="24"/>
          <w:szCs w:val="24"/>
        </w:rPr>
        <w:t>，区域内奥陶系石灰岩顶板及水位埋深达500多米。</w:t>
      </w:r>
    </w:p>
    <w:p>
      <w:pPr>
        <w:pStyle w:val="85"/>
        <w:spacing w:line="460" w:lineRule="exact"/>
        <w:ind w:firstLine="480"/>
        <w:rPr>
          <w:rStyle w:val="94"/>
          <w:rFonts w:ascii="Times New Roman" w:cs="Times New Roman"/>
        </w:rPr>
        <w:sectPr>
          <w:pgSz w:w="11906" w:h="16838"/>
          <w:pgMar w:top="1418" w:right="1531" w:bottom="1418" w:left="1531" w:header="851" w:footer="992" w:gutter="0"/>
          <w:cols w:space="425" w:num="1"/>
          <w:docGrid w:type="linesAndChars" w:linePitch="312" w:charSpace="0"/>
        </w:sectPr>
      </w:pPr>
    </w:p>
    <w:p>
      <w:pPr>
        <w:pStyle w:val="85"/>
        <w:spacing w:line="240" w:lineRule="auto"/>
        <w:ind w:firstLine="0" w:firstLineChars="0"/>
        <w:jc w:val="center"/>
        <w:rPr>
          <w:rStyle w:val="94"/>
          <w:rFonts w:ascii="Times New Roman" w:cs="Times New Roman"/>
        </w:rPr>
      </w:pPr>
      <w:r>
        <w:drawing>
          <wp:inline distT="0" distB="0" distL="0" distR="0">
            <wp:extent cx="8170545" cy="4930775"/>
            <wp:effectExtent l="57150" t="57150" r="40005" b="41275"/>
            <wp:docPr id="144" name="图片 8"/>
            <wp:cNvGraphicFramePr/>
            <a:graphic xmlns:a="http://schemas.openxmlformats.org/drawingml/2006/main">
              <a:graphicData uri="http://schemas.openxmlformats.org/drawingml/2006/picture">
                <pic:pic xmlns:pic="http://schemas.openxmlformats.org/drawingml/2006/picture">
                  <pic:nvPicPr>
                    <pic:cNvPr id="144" name="图片 8"/>
                    <pic:cNvPicPr/>
                  </pic:nvPicPr>
                  <pic:blipFill>
                    <a:blip r:embed="rId34">
                      <a:extLst>
                        <a:ext uri="{28A0092B-C50C-407E-A947-70E740481C1C}">
                          <a14:useLocalDpi xmlns:a14="http://schemas.microsoft.com/office/drawing/2010/main" val="0"/>
                        </a:ext>
                      </a:extLst>
                    </a:blip>
                    <a:srcRect l="891" t="1956" r="891" b="1042"/>
                    <a:stretch>
                      <a:fillRect/>
                    </a:stretch>
                  </pic:blipFill>
                  <pic:spPr>
                    <a:xfrm>
                      <a:off x="0" y="0"/>
                      <a:ext cx="8170545" cy="4930775"/>
                    </a:xfrm>
                    <a:prstGeom prst="rect">
                      <a:avLst/>
                    </a:prstGeom>
                    <a:noFill/>
                    <a:ln w="57150" cap="flat" cmpd="thinThick">
                      <a:solidFill>
                        <a:srgbClr val="000000"/>
                      </a:solidFill>
                      <a:prstDash val="solid"/>
                      <a:miter/>
                      <a:headEnd type="none" w="med" len="med"/>
                      <a:tailEnd type="none" w="med" len="med"/>
                    </a:ln>
                  </pic:spPr>
                </pic:pic>
              </a:graphicData>
            </a:graphic>
          </wp:inline>
        </w:drawing>
      </w:r>
    </w:p>
    <w:p>
      <w:pPr>
        <w:pStyle w:val="85"/>
        <w:spacing w:line="460" w:lineRule="exact"/>
        <w:ind w:firstLine="480"/>
        <w:jc w:val="center"/>
        <w:rPr>
          <w:rStyle w:val="94"/>
          <w:rFonts w:ascii="Times New Roman" w:cs="Times New Roman"/>
        </w:rPr>
      </w:pPr>
      <w:r>
        <w:rPr>
          <w:rStyle w:val="94"/>
          <w:rFonts w:hint="eastAsia" w:ascii="黑体" w:hAnsi="黑体" w:eastAsia="黑体" w:cs="Times New Roman"/>
        </w:rPr>
        <w:t>图</w:t>
      </w:r>
      <w:r>
        <w:rPr>
          <w:rStyle w:val="94"/>
          <w:rFonts w:ascii="黑体" w:hAnsi="黑体" w:eastAsia="黑体" w:cs="Times New Roman"/>
        </w:rPr>
        <w:t>5.2-</w:t>
      </w:r>
      <w:r>
        <w:rPr>
          <w:rStyle w:val="94"/>
          <w:rFonts w:hint="eastAsia" w:ascii="黑体" w:hAnsi="黑体" w:eastAsia="黑体" w:cs="Times New Roman"/>
        </w:rPr>
        <w:t>1</w:t>
      </w:r>
      <w:r>
        <w:rPr>
          <w:rStyle w:val="94"/>
          <w:rFonts w:ascii="黑体" w:hAnsi="黑体" w:eastAsia="黑体" w:cs="Times New Roman"/>
        </w:rPr>
        <w:t xml:space="preserve">  </w:t>
      </w:r>
      <w:r>
        <w:rPr>
          <w:rStyle w:val="94"/>
          <w:rFonts w:hint="eastAsia" w:ascii="黑体" w:hAnsi="黑体" w:eastAsia="黑体" w:cs="Times New Roman"/>
        </w:rPr>
        <w:t>区域地质构造图</w:t>
      </w:r>
    </w:p>
    <w:p>
      <w:pPr>
        <w:pStyle w:val="85"/>
        <w:spacing w:line="460" w:lineRule="exact"/>
        <w:ind w:firstLine="480"/>
        <w:rPr>
          <w:rStyle w:val="94"/>
          <w:rFonts w:ascii="Times New Roman" w:cs="Times New Roman"/>
        </w:rPr>
        <w:sectPr>
          <w:pgSz w:w="16838" w:h="11906" w:orient="landscape"/>
          <w:pgMar w:top="1588" w:right="1531" w:bottom="1588" w:left="1531" w:header="851" w:footer="992" w:gutter="0"/>
          <w:cols w:space="425" w:num="1"/>
          <w:docGrid w:type="linesAndChars" w:linePitch="312" w:charSpace="0"/>
        </w:sectPr>
      </w:pP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4</w:t>
      </w:r>
      <w:r>
        <w:rPr>
          <w:rFonts w:ascii="Times New Roman" w:cs="Times New Roman"/>
          <w:sz w:val="24"/>
          <w:szCs w:val="24"/>
        </w:rPr>
        <w:t>）盆地平原覆盖型岩溶水区</w:t>
      </w:r>
    </w:p>
    <w:p>
      <w:pPr>
        <w:pStyle w:val="95"/>
        <w:spacing w:line="480" w:lineRule="exact"/>
        <w:ind w:firstLine="480"/>
        <w:rPr>
          <w:rFonts w:ascii="Times New Roman" w:hAnsi="Times New Roman" w:eastAsia="宋体" w:cs="Times New Roman"/>
          <w:szCs w:val="24"/>
        </w:rPr>
      </w:pPr>
      <w:r>
        <w:rPr>
          <w:rFonts w:ascii="Times New Roman" w:hAnsi="Times New Roman" w:cs="Times New Roman"/>
          <w:szCs w:val="24"/>
        </w:rPr>
        <w:t>分布范围东至卢家庄至三泉镇、板峪、南至北榆苑-贾壁断层，西至F2断层，奥陶系顶板埋深120~200m，覆盖物为第四系上、中、下更新统亚粘土、亚砂土或夹砂类。奥陶系顶板有第三系相对隔水层条件下，可形成上层滞水或潜水。靠近西部及南部断层地段水量丰富，单井出水量每日可达2000t。向东和中部富水性差。贾壁一带，据区内机井揭露，奥陶系上覆薄层本溪组，并取出较长的断层角砾岩岩芯。本区南部孝义断裂构造发育，据煤田勘探6km宽度发育有7组断层，东曹村、临水村等地奥陶系之上覆盖有500~600m的石灰、二叠系和第四系、第三系。至贾壁石炭系突然变薄，石灰岩顶板标高也高于临水一带300多米，推论在两市交界以北虢义河河谷附近有一组近东西方向断层，北侧上升。南盘下降属正断层，断裂构造形成富水通道。</w:t>
      </w:r>
    </w:p>
    <w:p>
      <w:pPr>
        <w:pStyle w:val="95"/>
        <w:spacing w:line="480" w:lineRule="exact"/>
        <w:ind w:firstLine="480"/>
        <w:rPr>
          <w:rFonts w:ascii="Times New Roman" w:hAnsi="Times New Roman" w:eastAsia="宋体" w:cs="Times New Roman"/>
          <w:szCs w:val="24"/>
        </w:rPr>
      </w:pPr>
      <w:r>
        <w:rPr>
          <w:rFonts w:ascii="Times New Roman" w:hAnsi="Times New Roman" w:eastAsia="宋体" w:cs="Times New Roman"/>
          <w:szCs w:val="24"/>
        </w:rPr>
        <w:t>5</w:t>
      </w:r>
      <w:r>
        <w:rPr>
          <w:rFonts w:ascii="Times New Roman" w:hAnsi="宋体" w:eastAsia="宋体" w:cs="Times New Roman"/>
          <w:szCs w:val="24"/>
        </w:rPr>
        <w:t>）一般山丘裂隙水地下水区</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分布在杨家庄镇庄子至后贺庄以西到市界</w:t>
      </w:r>
      <w:r>
        <w:rPr>
          <w:rFonts w:ascii="Times New Roman" w:hAnsi="Times New Roman" w:eastAsia="宋体" w:cs="Times New Roman"/>
          <w:szCs w:val="24"/>
        </w:rPr>
        <w:t>F1</w:t>
      </w:r>
      <w:r>
        <w:rPr>
          <w:rFonts w:ascii="Times New Roman" w:hAnsi="宋体" w:eastAsia="宋体" w:cs="Times New Roman"/>
          <w:szCs w:val="24"/>
        </w:rPr>
        <w:t>、</w:t>
      </w:r>
      <w:r>
        <w:rPr>
          <w:rFonts w:ascii="Times New Roman" w:hAnsi="Times New Roman" w:eastAsia="宋体" w:cs="Times New Roman"/>
          <w:szCs w:val="24"/>
        </w:rPr>
        <w:t>F2</w:t>
      </w:r>
      <w:r>
        <w:rPr>
          <w:rFonts w:ascii="Times New Roman" w:hAnsi="宋体" w:eastAsia="宋体" w:cs="Times New Roman"/>
          <w:szCs w:val="24"/>
        </w:rPr>
        <w:t>断层之间。安上至新丰；王虎庄至黄神仙峁以东至市界；任家庄底至前庄、龙泉、北西庄等地。包括太古界变质岩裂隙水和石炭、二叠系裂隙水。</w:t>
      </w:r>
    </w:p>
    <w:p>
      <w:pPr>
        <w:pStyle w:val="95"/>
        <w:spacing w:line="480" w:lineRule="exact"/>
        <w:ind w:firstLine="480"/>
        <w:rPr>
          <w:rFonts w:ascii="Times New Roman" w:hAnsi="Times New Roman" w:eastAsia="宋体" w:cs="Times New Roman"/>
          <w:szCs w:val="24"/>
        </w:rPr>
      </w:pPr>
      <w:r>
        <w:rPr>
          <w:rFonts w:hint="eastAsia" w:ascii="宋体" w:hAnsi="宋体" w:eastAsia="宋体" w:cs="宋体"/>
          <w:szCs w:val="24"/>
        </w:rPr>
        <w:t>①</w:t>
      </w:r>
      <w:r>
        <w:rPr>
          <w:rFonts w:ascii="Times New Roman" w:hAnsi="宋体" w:eastAsia="宋体" w:cs="Times New Roman"/>
          <w:szCs w:val="24"/>
        </w:rPr>
        <w:t>太古界变质岩裂隙水</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分布在王虎庄以东、鳌坡、石老以北及向阳以南黄嶂上林舍等村，王虎庄以东变质岩降雨后排向神堂沟水库；向阳以南十余平方千米变质岩除小泉供当地生活用水，雨季形成地面径流补给第四系或有小部分深入补给岩溶水。</w:t>
      </w:r>
    </w:p>
    <w:p>
      <w:pPr>
        <w:pStyle w:val="95"/>
        <w:spacing w:line="480" w:lineRule="exact"/>
        <w:ind w:firstLine="480"/>
        <w:rPr>
          <w:rFonts w:ascii="Times New Roman" w:hAnsi="Times New Roman" w:eastAsia="宋体" w:cs="Times New Roman"/>
          <w:szCs w:val="24"/>
        </w:rPr>
      </w:pPr>
      <w:r>
        <w:rPr>
          <w:rFonts w:hint="eastAsia" w:ascii="宋体" w:hAnsi="宋体" w:eastAsia="宋体" w:cs="宋体"/>
          <w:szCs w:val="24"/>
        </w:rPr>
        <w:t>②</w:t>
      </w:r>
      <w:r>
        <w:rPr>
          <w:rFonts w:ascii="Times New Roman" w:hAnsi="宋体" w:eastAsia="宋体" w:cs="Times New Roman"/>
          <w:szCs w:val="24"/>
        </w:rPr>
        <w:t>石炭、二叠系裂隙水</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分布在杨家庄镇、石庄镇一带及新丰以东至安上丘陵区，与埋藏型岩溶水分布一致，其中裂隙水由于煤矿开采、排水，东区地下水普遍受到影响和破坏。五、六十年代高家庄、羊寨等煤田勘探。当时井孔水量</w:t>
      </w:r>
      <w:r>
        <w:rPr>
          <w:rFonts w:ascii="Times New Roman" w:hAnsi="Times New Roman" w:eastAsia="宋体" w:cs="Times New Roman"/>
          <w:szCs w:val="24"/>
        </w:rPr>
        <w:t>0.36~0.54m</w:t>
      </w:r>
      <w:r>
        <w:rPr>
          <w:rFonts w:ascii="Times New Roman" w:hAnsi="Times New Roman" w:eastAsia="宋体" w:cs="Times New Roman"/>
          <w:szCs w:val="24"/>
          <w:vertAlign w:val="superscript"/>
        </w:rPr>
        <w:t>3</w:t>
      </w:r>
      <w:r>
        <w:rPr>
          <w:rFonts w:ascii="Times New Roman" w:hAnsi="Times New Roman" w:eastAsia="宋体" w:cs="Times New Roman"/>
          <w:szCs w:val="24"/>
        </w:rPr>
        <w:t>/s</w:t>
      </w:r>
      <w:r>
        <w:rPr>
          <w:rFonts w:ascii="Times New Roman" w:hAnsi="宋体" w:eastAsia="宋体" w:cs="Times New Roman"/>
          <w:szCs w:val="24"/>
        </w:rPr>
        <w:t>，羊寨等地钻孔裂隙地下水自流，高出地表</w:t>
      </w:r>
      <w:r>
        <w:rPr>
          <w:rFonts w:ascii="Times New Roman" w:hAnsi="Times New Roman" w:eastAsia="宋体" w:cs="Times New Roman"/>
          <w:szCs w:val="24"/>
        </w:rPr>
        <w:t>14~25m</w:t>
      </w:r>
      <w:r>
        <w:rPr>
          <w:rFonts w:ascii="Times New Roman" w:hAnsi="宋体" w:eastAsia="宋体" w:cs="Times New Roman"/>
          <w:szCs w:val="24"/>
        </w:rPr>
        <w:t>，现已断流，只在南广城、下庄、西武堡等地有少量水源补充当地生活用水，本区水质属于</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rPr>
        <w:t>-CaMg</w:t>
      </w:r>
      <w:r>
        <w:rPr>
          <w:rFonts w:ascii="Times New Roman" w:hAnsi="宋体" w:eastAsia="宋体" w:cs="Times New Roman"/>
          <w:szCs w:val="24"/>
        </w:rPr>
        <w:t>和</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rPr>
        <w:t>SO</w:t>
      </w:r>
      <w:r>
        <w:rPr>
          <w:rFonts w:ascii="Times New Roman" w:hAnsi="Times New Roman" w:eastAsia="宋体" w:cs="Times New Roman"/>
          <w:szCs w:val="24"/>
          <w:vertAlign w:val="subscript"/>
        </w:rPr>
        <w:t>4</w:t>
      </w:r>
      <w:r>
        <w:rPr>
          <w:rFonts w:ascii="Times New Roman" w:hAnsi="Times New Roman" w:eastAsia="宋体" w:cs="Times New Roman"/>
          <w:szCs w:val="24"/>
        </w:rPr>
        <w:t>-CaMg</w:t>
      </w:r>
      <w:r>
        <w:rPr>
          <w:rFonts w:ascii="Times New Roman" w:hAnsi="宋体" w:eastAsia="宋体" w:cs="Times New Roman"/>
          <w:szCs w:val="24"/>
        </w:rPr>
        <w:t>型，矿化度</w:t>
      </w:r>
      <w:r>
        <w:rPr>
          <w:rFonts w:ascii="Times New Roman" w:hAnsi="Times New Roman" w:eastAsia="宋体" w:cs="Times New Roman"/>
          <w:szCs w:val="24"/>
        </w:rPr>
        <w:t>0.2~0.9g/L</w:t>
      </w:r>
      <w:r>
        <w:rPr>
          <w:rFonts w:ascii="Times New Roman" w:hAnsi="宋体" w:eastAsia="宋体" w:cs="Times New Roman"/>
          <w:szCs w:val="24"/>
        </w:rPr>
        <w:t>。</w:t>
      </w:r>
    </w:p>
    <w:p>
      <w:pPr>
        <w:pStyle w:val="95"/>
        <w:spacing w:line="480" w:lineRule="exact"/>
        <w:ind w:firstLine="480"/>
        <w:rPr>
          <w:rFonts w:ascii="Times New Roman" w:hAnsi="Times New Roman" w:eastAsia="宋体" w:cs="Times New Roman"/>
          <w:szCs w:val="24"/>
        </w:rPr>
      </w:pPr>
      <w:r>
        <w:rPr>
          <w:rFonts w:ascii="Times New Roman" w:hAnsi="Times New Roman" w:eastAsia="宋体" w:cs="Times New Roman"/>
          <w:szCs w:val="24"/>
        </w:rPr>
        <w:t>6</w:t>
      </w:r>
      <w:r>
        <w:rPr>
          <w:rFonts w:ascii="Times New Roman" w:hAnsi="宋体" w:eastAsia="宋体" w:cs="Times New Roman"/>
          <w:szCs w:val="24"/>
        </w:rPr>
        <w:t>）盆地平原孔隙水区</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盆地平原孔隙水类型区，包括山前洪积裙、洪积倾斜平原和冲湖积平原区。</w:t>
      </w:r>
    </w:p>
    <w:p>
      <w:pPr>
        <w:pStyle w:val="95"/>
        <w:spacing w:line="480" w:lineRule="exact"/>
        <w:ind w:firstLine="480"/>
        <w:rPr>
          <w:rFonts w:ascii="Times New Roman" w:hAnsi="Times New Roman" w:eastAsia="宋体" w:cs="Times New Roman"/>
          <w:szCs w:val="24"/>
        </w:rPr>
      </w:pPr>
      <w:r>
        <w:rPr>
          <w:rFonts w:hint="eastAsia" w:ascii="宋体" w:hAnsi="宋体" w:eastAsia="宋体" w:cs="宋体"/>
          <w:szCs w:val="24"/>
        </w:rPr>
        <w:t>①</w:t>
      </w:r>
      <w:r>
        <w:rPr>
          <w:rFonts w:ascii="Times New Roman" w:hAnsi="宋体" w:eastAsia="宋体" w:cs="Times New Roman"/>
          <w:szCs w:val="24"/>
        </w:rPr>
        <w:t>山前洪积裙孔隙水区</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本区属富水区，由禹门河、向阳河、峪道河、新丰、小相寨、及神堂河等河谷洪积扇构成。其汇水范围广阔，山前堆积物以砂砾石为主，有利用接受大气降水和河道入渗补给，水量较丰富，井深</w:t>
      </w:r>
      <w:r>
        <w:rPr>
          <w:rFonts w:ascii="Times New Roman" w:hAnsi="Times New Roman" w:eastAsia="宋体" w:cs="Times New Roman"/>
          <w:szCs w:val="24"/>
        </w:rPr>
        <w:t>30~140m</w:t>
      </w:r>
      <w:r>
        <w:rPr>
          <w:rFonts w:ascii="Times New Roman" w:hAnsi="宋体" w:eastAsia="宋体" w:cs="Times New Roman"/>
          <w:szCs w:val="24"/>
        </w:rPr>
        <w:t>，水位埋深</w:t>
      </w:r>
      <w:r>
        <w:rPr>
          <w:rFonts w:ascii="Times New Roman" w:hAnsi="Times New Roman" w:eastAsia="宋体" w:cs="Times New Roman"/>
          <w:szCs w:val="24"/>
        </w:rPr>
        <w:t>10~80m</w:t>
      </w:r>
      <w:r>
        <w:rPr>
          <w:rFonts w:ascii="Times New Roman" w:hAnsi="宋体" w:eastAsia="宋体" w:cs="Times New Roman"/>
          <w:szCs w:val="24"/>
        </w:rPr>
        <w:t>，单井涌水量在</w:t>
      </w:r>
      <w:r>
        <w:rPr>
          <w:rFonts w:ascii="Times New Roman" w:hAnsi="Times New Roman" w:eastAsia="宋体" w:cs="Times New Roman"/>
          <w:szCs w:val="24"/>
        </w:rPr>
        <w:t>20t/h</w:t>
      </w:r>
      <w:r>
        <w:rPr>
          <w:rFonts w:ascii="Times New Roman" w:hAnsi="宋体" w:eastAsia="宋体" w:cs="Times New Roman"/>
          <w:szCs w:val="24"/>
        </w:rPr>
        <w:t>以上。冀村、杏花镇以北，峪道河等地水量可达</w:t>
      </w:r>
      <w:r>
        <w:rPr>
          <w:rFonts w:ascii="Times New Roman" w:hAnsi="Times New Roman" w:eastAsia="宋体" w:cs="Times New Roman"/>
          <w:szCs w:val="24"/>
        </w:rPr>
        <w:t>50t/h</w:t>
      </w:r>
      <w:r>
        <w:rPr>
          <w:rFonts w:ascii="Times New Roman" w:hAnsi="宋体" w:eastAsia="宋体" w:cs="Times New Roman"/>
          <w:szCs w:val="24"/>
        </w:rPr>
        <w:t>。水质良好，属</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rPr>
        <w:t>-CaMg</w:t>
      </w:r>
      <w:r>
        <w:rPr>
          <w:rFonts w:ascii="Times New Roman" w:hAnsi="宋体" w:eastAsia="宋体" w:cs="Times New Roman"/>
          <w:szCs w:val="24"/>
        </w:rPr>
        <w:t>和</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rPr>
        <w:t>SO</w:t>
      </w:r>
      <w:r>
        <w:rPr>
          <w:rFonts w:ascii="Times New Roman" w:hAnsi="Times New Roman" w:eastAsia="宋体" w:cs="Times New Roman"/>
          <w:szCs w:val="24"/>
          <w:vertAlign w:val="subscript"/>
        </w:rPr>
        <w:t>4</w:t>
      </w:r>
      <w:r>
        <w:rPr>
          <w:rFonts w:ascii="Times New Roman" w:hAnsi="Times New Roman" w:eastAsia="宋体" w:cs="Times New Roman"/>
          <w:szCs w:val="24"/>
        </w:rPr>
        <w:t>-CaMg</w:t>
      </w:r>
      <w:r>
        <w:rPr>
          <w:rFonts w:ascii="Times New Roman" w:hAnsi="宋体" w:eastAsia="宋体" w:cs="Times New Roman"/>
          <w:szCs w:val="24"/>
        </w:rPr>
        <w:t>型，矿化度小于</w:t>
      </w:r>
      <w:r>
        <w:rPr>
          <w:rFonts w:ascii="Times New Roman" w:hAnsi="Times New Roman" w:eastAsia="宋体" w:cs="Times New Roman"/>
          <w:szCs w:val="24"/>
        </w:rPr>
        <w:t>1g/L</w:t>
      </w:r>
      <w:r>
        <w:rPr>
          <w:rFonts w:ascii="Times New Roman" w:hAnsi="宋体" w:eastAsia="宋体" w:cs="Times New Roman"/>
          <w:szCs w:val="24"/>
        </w:rPr>
        <w:t>。由于大量开采地下水，水位已普遍下降。</w:t>
      </w:r>
    </w:p>
    <w:p>
      <w:pPr>
        <w:pStyle w:val="95"/>
        <w:spacing w:line="480" w:lineRule="exact"/>
        <w:ind w:firstLine="480"/>
        <w:rPr>
          <w:rFonts w:ascii="Times New Roman" w:hAnsi="Times New Roman" w:eastAsia="宋体" w:cs="Times New Roman"/>
          <w:szCs w:val="24"/>
        </w:rPr>
      </w:pPr>
      <w:r>
        <w:rPr>
          <w:rFonts w:hint="eastAsia" w:ascii="宋体" w:hAnsi="宋体" w:eastAsia="宋体" w:cs="宋体"/>
          <w:szCs w:val="24"/>
        </w:rPr>
        <w:t>②</w:t>
      </w:r>
      <w:r>
        <w:rPr>
          <w:rFonts w:ascii="Times New Roman" w:hAnsi="宋体" w:eastAsia="宋体" w:cs="Times New Roman"/>
          <w:szCs w:val="24"/>
        </w:rPr>
        <w:t>倾斜平原孔隙水区</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本区属中等富水区，分布范围西起桑枣坡、北马庄、北榆苑，南、东至三泉镇边界，北至北花枝、牧庄约</w:t>
      </w:r>
      <w:r>
        <w:rPr>
          <w:rFonts w:ascii="Times New Roman" w:hAnsi="Times New Roman" w:eastAsia="宋体" w:cs="Times New Roman"/>
          <w:szCs w:val="24"/>
        </w:rPr>
        <w:t>100km</w:t>
      </w:r>
      <w:r>
        <w:rPr>
          <w:rFonts w:ascii="Times New Roman" w:hAnsi="Times New Roman" w:eastAsia="宋体" w:cs="Times New Roman"/>
          <w:szCs w:val="24"/>
          <w:vertAlign w:val="superscript"/>
        </w:rPr>
        <w:t>2</w:t>
      </w:r>
      <w:r>
        <w:rPr>
          <w:rFonts w:ascii="Times New Roman" w:hAnsi="宋体" w:eastAsia="宋体" w:cs="Times New Roman"/>
          <w:szCs w:val="24"/>
        </w:rPr>
        <w:t>。由北川河、阳城河、虢义河冲洪积层构成的平原，山前较陡向盆地较缓，坡度</w:t>
      </w:r>
      <w:r>
        <w:rPr>
          <w:rFonts w:ascii="Times New Roman" w:hAnsi="Times New Roman" w:eastAsia="宋体" w:cs="Times New Roman"/>
          <w:szCs w:val="24"/>
        </w:rPr>
        <w:t>15~20°</w:t>
      </w:r>
      <w:r>
        <w:rPr>
          <w:rFonts w:ascii="Times New Roman" w:hAnsi="宋体" w:eastAsia="宋体" w:cs="Times New Roman"/>
          <w:szCs w:val="24"/>
        </w:rPr>
        <w:t>。地表岩性为黄土下伏亚砂土、亚粘土夹砂砾石含水层，砂砾石后</w:t>
      </w:r>
      <w:r>
        <w:rPr>
          <w:rFonts w:ascii="Times New Roman" w:hAnsi="Times New Roman" w:eastAsia="宋体" w:cs="Times New Roman"/>
          <w:szCs w:val="24"/>
        </w:rPr>
        <w:t>18-40m</w:t>
      </w:r>
      <w:r>
        <w:rPr>
          <w:rFonts w:ascii="Times New Roman" w:hAnsi="宋体" w:eastAsia="宋体" w:cs="Times New Roman"/>
          <w:szCs w:val="24"/>
        </w:rPr>
        <w:t>，井深</w:t>
      </w:r>
      <w:r>
        <w:rPr>
          <w:rFonts w:ascii="Times New Roman" w:hAnsi="Times New Roman" w:eastAsia="宋体" w:cs="Times New Roman"/>
          <w:szCs w:val="24"/>
        </w:rPr>
        <w:t>80~120m</w:t>
      </w:r>
      <w:r>
        <w:rPr>
          <w:rFonts w:ascii="Times New Roman" w:hAnsi="宋体" w:eastAsia="宋体" w:cs="Times New Roman"/>
          <w:szCs w:val="24"/>
        </w:rPr>
        <w:t>，水位</w:t>
      </w:r>
      <w:r>
        <w:rPr>
          <w:rFonts w:ascii="Times New Roman" w:hAnsi="Times New Roman" w:eastAsia="宋体" w:cs="Times New Roman"/>
          <w:szCs w:val="24"/>
        </w:rPr>
        <w:t>24~50m</w:t>
      </w:r>
      <w:r>
        <w:rPr>
          <w:rFonts w:ascii="Times New Roman" w:hAnsi="宋体" w:eastAsia="宋体" w:cs="Times New Roman"/>
          <w:szCs w:val="24"/>
        </w:rPr>
        <w:t>，单井涌水量</w:t>
      </w:r>
      <w:r>
        <w:rPr>
          <w:rFonts w:ascii="Times New Roman" w:hAnsi="Times New Roman" w:eastAsia="宋体" w:cs="Times New Roman"/>
          <w:szCs w:val="24"/>
        </w:rPr>
        <w:t>20~32t/h</w:t>
      </w:r>
      <w:r>
        <w:rPr>
          <w:rFonts w:ascii="Times New Roman" w:hAnsi="宋体" w:eastAsia="宋体" w:cs="Times New Roman"/>
          <w:szCs w:val="24"/>
        </w:rPr>
        <w:t>，水质属</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rPr>
        <w:t>-CaMg</w:t>
      </w:r>
      <w:r>
        <w:rPr>
          <w:rFonts w:ascii="Times New Roman" w:hAnsi="宋体" w:eastAsia="宋体" w:cs="Times New Roman"/>
          <w:szCs w:val="24"/>
        </w:rPr>
        <w:t>和</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rPr>
        <w:t>SO</w:t>
      </w:r>
      <w:r>
        <w:rPr>
          <w:rFonts w:ascii="Times New Roman" w:hAnsi="Times New Roman" w:eastAsia="宋体" w:cs="Times New Roman"/>
          <w:szCs w:val="24"/>
          <w:vertAlign w:val="subscript"/>
        </w:rPr>
        <w:t>4</w:t>
      </w:r>
      <w:r>
        <w:rPr>
          <w:rFonts w:ascii="Times New Roman" w:hAnsi="Times New Roman" w:eastAsia="宋体" w:cs="Times New Roman"/>
          <w:szCs w:val="24"/>
        </w:rPr>
        <w:t>-NaMg</w:t>
      </w:r>
      <w:r>
        <w:rPr>
          <w:rFonts w:ascii="Times New Roman" w:hAnsi="宋体" w:eastAsia="宋体" w:cs="Times New Roman"/>
          <w:szCs w:val="24"/>
        </w:rPr>
        <w:t>型，矿化度小于</w:t>
      </w:r>
      <w:r>
        <w:rPr>
          <w:rFonts w:ascii="Times New Roman" w:hAnsi="Times New Roman" w:eastAsia="宋体" w:cs="Times New Roman"/>
          <w:szCs w:val="24"/>
        </w:rPr>
        <w:t>1g/L</w:t>
      </w:r>
      <w:r>
        <w:rPr>
          <w:rFonts w:ascii="Times New Roman" w:hAnsi="宋体" w:eastAsia="宋体" w:cs="Times New Roman"/>
          <w:szCs w:val="24"/>
        </w:rPr>
        <w:t>，由于上游开采、排水及干旱等原因，水位逐渐下降。</w:t>
      </w:r>
    </w:p>
    <w:p>
      <w:pPr>
        <w:pStyle w:val="95"/>
        <w:spacing w:line="480" w:lineRule="exact"/>
        <w:ind w:firstLine="480"/>
        <w:rPr>
          <w:rFonts w:ascii="Times New Roman" w:hAnsi="Times New Roman" w:eastAsia="宋体" w:cs="Times New Roman"/>
          <w:szCs w:val="24"/>
        </w:rPr>
      </w:pPr>
      <w:r>
        <w:rPr>
          <w:rFonts w:hint="eastAsia" w:ascii="宋体" w:hAnsi="宋体" w:eastAsia="宋体" w:cs="宋体"/>
          <w:szCs w:val="24"/>
        </w:rPr>
        <w:t>③</w:t>
      </w:r>
      <w:r>
        <w:rPr>
          <w:rFonts w:ascii="Times New Roman" w:hAnsi="宋体" w:eastAsia="宋体" w:cs="Times New Roman"/>
          <w:szCs w:val="24"/>
        </w:rPr>
        <w:t>冲湖积平原孔隙水区</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按含水层及单井出水量划分为中等富水区及弱富水区。</w:t>
      </w:r>
    </w:p>
    <w:p>
      <w:pPr>
        <w:pStyle w:val="95"/>
        <w:spacing w:line="480" w:lineRule="exact"/>
        <w:ind w:firstLine="480"/>
        <w:rPr>
          <w:rFonts w:ascii="Times New Roman" w:hAnsi="Times New Roman" w:eastAsia="宋体" w:cs="Times New Roman"/>
          <w:szCs w:val="24"/>
        </w:rPr>
      </w:pPr>
      <w:r>
        <w:rPr>
          <w:rFonts w:hint="eastAsia" w:ascii="Times New Roman" w:hAnsi="宋体" w:eastAsia="宋体" w:cs="Times New Roman"/>
          <w:szCs w:val="24"/>
        </w:rPr>
        <w:t>A.</w:t>
      </w:r>
      <w:r>
        <w:rPr>
          <w:rFonts w:ascii="Times New Roman" w:hAnsi="宋体" w:eastAsia="宋体" w:cs="Times New Roman"/>
          <w:szCs w:val="24"/>
        </w:rPr>
        <w:t>中等富水区分布在文峪河、磁窑河之间，包括冀村镇、演武镇所属各村，肖家庄的青堆、何家庄及阳城乡的申家堡、见喜、董家庄以东范围，约</w:t>
      </w:r>
      <w:r>
        <w:rPr>
          <w:rFonts w:ascii="Times New Roman" w:hAnsi="Times New Roman" w:eastAsia="宋体" w:cs="Times New Roman"/>
          <w:szCs w:val="24"/>
        </w:rPr>
        <w:t>190km</w:t>
      </w:r>
      <w:r>
        <w:rPr>
          <w:rFonts w:ascii="Times New Roman" w:hAnsi="Times New Roman" w:eastAsia="宋体" w:cs="Times New Roman"/>
          <w:szCs w:val="24"/>
          <w:vertAlign w:val="superscript"/>
        </w:rPr>
        <w:t>2</w:t>
      </w:r>
      <w:r>
        <w:rPr>
          <w:rFonts w:ascii="Times New Roman" w:hAnsi="宋体" w:eastAsia="宋体" w:cs="Times New Roman"/>
          <w:szCs w:val="24"/>
        </w:rPr>
        <w:t>，井深</w:t>
      </w:r>
      <w:r>
        <w:rPr>
          <w:rFonts w:ascii="Times New Roman" w:hAnsi="Times New Roman" w:eastAsia="宋体" w:cs="Times New Roman"/>
          <w:szCs w:val="24"/>
        </w:rPr>
        <w:t>120~255m</w:t>
      </w:r>
      <w:r>
        <w:rPr>
          <w:rFonts w:ascii="Times New Roman" w:hAnsi="宋体" w:eastAsia="宋体" w:cs="Times New Roman"/>
          <w:szCs w:val="24"/>
        </w:rPr>
        <w:t>；地层为第四系全新统、上更新统亚粘土、亚砂土夹砂砾石透镜体，中更新统亚砂土、亚粘土、粘土夹砂砾石，厚度共</w:t>
      </w:r>
      <w:r>
        <w:rPr>
          <w:rFonts w:ascii="Times New Roman" w:hAnsi="Times New Roman" w:eastAsia="宋体" w:cs="Times New Roman"/>
          <w:szCs w:val="24"/>
        </w:rPr>
        <w:t>100</w:t>
      </w:r>
      <w:r>
        <w:rPr>
          <w:rFonts w:ascii="Times New Roman" w:hAnsi="宋体" w:eastAsia="宋体" w:cs="Times New Roman"/>
          <w:szCs w:val="24"/>
        </w:rPr>
        <w:t>余米。下更新统深灰、浅棕色湖相粘土亚粘土夹砂卵石粘土等，厚度大于</w:t>
      </w:r>
      <w:r>
        <w:rPr>
          <w:rFonts w:ascii="Times New Roman" w:hAnsi="Times New Roman" w:eastAsia="宋体" w:cs="Times New Roman"/>
          <w:szCs w:val="24"/>
        </w:rPr>
        <w:t>300m</w:t>
      </w:r>
      <w:r>
        <w:rPr>
          <w:rFonts w:ascii="Times New Roman" w:hAnsi="宋体" w:eastAsia="宋体" w:cs="Times New Roman"/>
          <w:szCs w:val="24"/>
        </w:rPr>
        <w:t>。深井水质</w:t>
      </w:r>
      <w:r>
        <w:rPr>
          <w:rFonts w:ascii="Times New Roman" w:hAnsi="Times New Roman" w:eastAsia="宋体" w:cs="Times New Roman"/>
          <w:szCs w:val="24"/>
        </w:rPr>
        <w:t>HCO</w:t>
      </w:r>
      <w:r>
        <w:rPr>
          <w:rFonts w:ascii="Times New Roman" w:hAnsi="Times New Roman" w:eastAsia="宋体" w:cs="Times New Roman"/>
          <w:szCs w:val="24"/>
          <w:vertAlign w:val="subscript"/>
        </w:rPr>
        <w:t>3</w:t>
      </w:r>
      <w:r>
        <w:rPr>
          <w:rFonts w:ascii="Times New Roman" w:hAnsi="Times New Roman" w:eastAsia="宋体" w:cs="Times New Roman"/>
          <w:szCs w:val="24"/>
        </w:rPr>
        <w:t>-Na</w:t>
      </w:r>
      <w:r>
        <w:rPr>
          <w:rFonts w:ascii="Times New Roman" w:hAnsi="宋体" w:eastAsia="宋体" w:cs="Times New Roman"/>
          <w:szCs w:val="24"/>
        </w:rPr>
        <w:t>型，矿化度</w:t>
      </w:r>
      <w:r>
        <w:rPr>
          <w:rFonts w:ascii="Times New Roman" w:hAnsi="Times New Roman" w:eastAsia="宋体" w:cs="Times New Roman"/>
          <w:szCs w:val="24"/>
        </w:rPr>
        <w:t>0.8~1.5g/L</w:t>
      </w:r>
      <w:r>
        <w:rPr>
          <w:rFonts w:ascii="Times New Roman" w:hAnsi="宋体" w:eastAsia="宋体" w:cs="Times New Roman"/>
          <w:szCs w:val="24"/>
        </w:rPr>
        <w:t>，浅层水为</w:t>
      </w:r>
      <w:r>
        <w:rPr>
          <w:rFonts w:ascii="Times New Roman" w:hAnsi="Times New Roman" w:eastAsia="宋体" w:cs="Times New Roman"/>
          <w:szCs w:val="24"/>
        </w:rPr>
        <w:t>SO</w:t>
      </w:r>
      <w:r>
        <w:rPr>
          <w:rFonts w:ascii="Times New Roman" w:hAnsi="Times New Roman" w:eastAsia="宋体" w:cs="Times New Roman"/>
          <w:szCs w:val="24"/>
          <w:vertAlign w:val="subscript"/>
        </w:rPr>
        <w:t>4</w:t>
      </w:r>
      <w:r>
        <w:rPr>
          <w:rFonts w:ascii="Times New Roman" w:hAnsi="Times New Roman" w:eastAsia="宋体" w:cs="Times New Roman"/>
          <w:szCs w:val="24"/>
        </w:rPr>
        <w:t>-NaMg</w:t>
      </w:r>
      <w:r>
        <w:rPr>
          <w:rFonts w:ascii="Times New Roman" w:hAnsi="宋体" w:eastAsia="宋体" w:cs="Times New Roman"/>
          <w:szCs w:val="24"/>
        </w:rPr>
        <w:t>型高矿化水。</w:t>
      </w:r>
    </w:p>
    <w:p>
      <w:pPr>
        <w:pStyle w:val="85"/>
        <w:spacing w:line="480" w:lineRule="exact"/>
        <w:ind w:firstLine="480"/>
        <w:rPr>
          <w:rFonts w:ascii="Times New Roman" w:hAnsi="Times New Roman" w:cs="Times New Roman"/>
          <w:bCs/>
          <w:spacing w:val="6"/>
          <w:sz w:val="24"/>
          <w:szCs w:val="24"/>
        </w:rPr>
      </w:pPr>
      <w:r>
        <w:rPr>
          <w:rFonts w:hint="eastAsia" w:ascii="Times New Roman" w:cs="Times New Roman"/>
          <w:sz w:val="24"/>
          <w:szCs w:val="24"/>
        </w:rPr>
        <w:t>B.</w:t>
      </w:r>
      <w:r>
        <w:rPr>
          <w:rFonts w:ascii="Times New Roman" w:cs="Times New Roman"/>
          <w:sz w:val="24"/>
          <w:szCs w:val="24"/>
        </w:rPr>
        <w:t>弱富水区分布在杏花镇以南至肖家庄乡的西马寨、宣紫堡、潴城至建昌、阳臣、靳屯、小虢城一带，范围约</w:t>
      </w:r>
      <w:r>
        <w:rPr>
          <w:rFonts w:ascii="Times New Roman" w:hAnsi="Times New Roman" w:cs="Times New Roman"/>
          <w:sz w:val="24"/>
          <w:szCs w:val="24"/>
        </w:rPr>
        <w:t>120km</w:t>
      </w:r>
      <w:r>
        <w:rPr>
          <w:rFonts w:ascii="Times New Roman" w:hAnsi="Times New Roman" w:cs="Times New Roman"/>
          <w:sz w:val="24"/>
          <w:szCs w:val="24"/>
          <w:vertAlign w:val="superscript"/>
        </w:rPr>
        <w:t>2</w:t>
      </w:r>
      <w:r>
        <w:rPr>
          <w:rFonts w:ascii="Times New Roman" w:cs="Times New Roman"/>
          <w:sz w:val="24"/>
          <w:szCs w:val="24"/>
        </w:rPr>
        <w:t>。地层岩性在</w:t>
      </w:r>
      <w:r>
        <w:rPr>
          <w:rFonts w:ascii="Times New Roman" w:hAnsi="Times New Roman" w:cs="Times New Roman"/>
          <w:sz w:val="24"/>
          <w:szCs w:val="24"/>
        </w:rPr>
        <w:t>0~80m</w:t>
      </w:r>
      <w:r>
        <w:rPr>
          <w:rFonts w:ascii="Times New Roman" w:cs="Times New Roman"/>
          <w:sz w:val="24"/>
          <w:szCs w:val="24"/>
        </w:rPr>
        <w:t>第四系全新统及中上更新统亚粘土、亚砂土夹砂、砂砾石透镜体，下伏</w:t>
      </w:r>
      <w:r>
        <w:rPr>
          <w:rFonts w:ascii="Times New Roman" w:hAnsi="Times New Roman" w:cs="Times New Roman"/>
          <w:sz w:val="24"/>
          <w:szCs w:val="24"/>
        </w:rPr>
        <w:t>180</w:t>
      </w:r>
      <w:r>
        <w:rPr>
          <w:rFonts w:ascii="Times New Roman" w:cs="Times New Roman"/>
          <w:sz w:val="24"/>
          <w:szCs w:val="24"/>
        </w:rPr>
        <w:t>余米厚的下更新统湖相粘土。孔隙水分布在除洪积、冲洪积平原外还见于山区沟谷和黄土塬。</w:t>
      </w:r>
    </w:p>
    <w:p>
      <w:pPr>
        <w:pStyle w:val="85"/>
        <w:spacing w:line="480" w:lineRule="exact"/>
        <w:ind w:firstLine="480"/>
        <w:rPr>
          <w:rFonts w:ascii="Times New Roman" w:hAnsi="Times New Roman" w:cs="Times New Roman"/>
          <w:bCs/>
          <w:sz w:val="24"/>
          <w:szCs w:val="24"/>
        </w:rPr>
      </w:pPr>
      <w:r>
        <w:rPr>
          <w:rFonts w:ascii="Times New Roman" w:cs="Times New Roman"/>
          <w:bCs/>
          <w:sz w:val="24"/>
          <w:szCs w:val="24"/>
        </w:rPr>
        <w:t>（</w:t>
      </w:r>
      <w:r>
        <w:rPr>
          <w:rFonts w:hint="eastAsia" w:ascii="Times New Roman" w:hAnsi="Times New Roman" w:cs="Times New Roman"/>
          <w:bCs/>
          <w:sz w:val="24"/>
          <w:szCs w:val="24"/>
        </w:rPr>
        <w:t>2</w:t>
      </w:r>
      <w:r>
        <w:rPr>
          <w:rFonts w:ascii="Times New Roman" w:cs="Times New Roman"/>
          <w:bCs/>
          <w:sz w:val="24"/>
          <w:szCs w:val="24"/>
        </w:rPr>
        <w:t>）</w:t>
      </w:r>
      <w:r>
        <w:rPr>
          <w:rFonts w:hint="eastAsia" w:ascii="Times New Roman" w:cs="Times New Roman"/>
          <w:bCs/>
          <w:sz w:val="24"/>
          <w:szCs w:val="24"/>
        </w:rPr>
        <w:t>地下水补给、径流、排泄</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汾阳市地下水补给共有两项来源，一是大气降水入渗，二是外域河流渗漏补给。地下水排泄途径有泉水、人工开采和侧向排出三项。各水文地质类型和补、径、排条件受地层岩性、构造、地貌条件控制。</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①岩溶山区</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裸露型岩溶地下水区面积</w:t>
      </w:r>
      <w:r>
        <w:rPr>
          <w:rFonts w:ascii="Times New Roman" w:hAnsi="Times New Roman" w:eastAsia="宋体" w:cs="Times New Roman"/>
          <w:szCs w:val="24"/>
        </w:rPr>
        <w:t>370.78km</w:t>
      </w:r>
      <w:r>
        <w:rPr>
          <w:rFonts w:ascii="Times New Roman" w:hAnsi="Times New Roman" w:eastAsia="宋体" w:cs="Times New Roman"/>
          <w:szCs w:val="24"/>
          <w:vertAlign w:val="superscript"/>
        </w:rPr>
        <w:t>2</w:t>
      </w:r>
      <w:r>
        <w:rPr>
          <w:rFonts w:ascii="Times New Roman" w:hAnsi="宋体" w:eastAsia="宋体" w:cs="Times New Roman"/>
          <w:szCs w:val="24"/>
        </w:rPr>
        <w:t>，其中约</w:t>
      </w:r>
      <w:r>
        <w:rPr>
          <w:rFonts w:ascii="Times New Roman" w:hAnsi="Times New Roman" w:eastAsia="宋体" w:cs="Times New Roman"/>
          <w:szCs w:val="24"/>
        </w:rPr>
        <w:t>200km</w:t>
      </w:r>
      <w:r>
        <w:rPr>
          <w:rFonts w:ascii="Times New Roman" w:hAnsi="Times New Roman" w:eastAsia="宋体" w:cs="Times New Roman"/>
          <w:szCs w:val="24"/>
          <w:vertAlign w:val="superscript"/>
        </w:rPr>
        <w:t>2</w:t>
      </w:r>
      <w:r>
        <w:rPr>
          <w:rFonts w:ascii="Times New Roman" w:hAnsi="宋体" w:eastAsia="宋体" w:cs="Times New Roman"/>
          <w:szCs w:val="24"/>
        </w:rPr>
        <w:t>为神头，峡口泉泉域；</w:t>
      </w:r>
      <w:r>
        <w:rPr>
          <w:rFonts w:ascii="Times New Roman" w:hAnsi="Times New Roman" w:eastAsia="宋体" w:cs="Times New Roman"/>
          <w:szCs w:val="24"/>
        </w:rPr>
        <w:t>185.78km</w:t>
      </w:r>
      <w:r>
        <w:rPr>
          <w:rFonts w:ascii="Times New Roman" w:hAnsi="Times New Roman" w:eastAsia="宋体" w:cs="Times New Roman"/>
          <w:szCs w:val="24"/>
          <w:vertAlign w:val="superscript"/>
        </w:rPr>
        <w:t>2</w:t>
      </w:r>
      <w:r>
        <w:rPr>
          <w:rFonts w:ascii="Times New Roman" w:hAnsi="宋体" w:eastAsia="宋体" w:cs="Times New Roman"/>
          <w:szCs w:val="24"/>
        </w:rPr>
        <w:t>属郭庄泉泉域，裸露型岩溶地下水区接受降水补给，排泄到以上三个泉域，顺岩层由高向低径流，本区属岩溶地下水涵养区，一般不宜开采。</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②一般山丘区</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覆盖型岩溶地下水区和埋藏型岩溶山地地下水区、盆地平原覆盖型岩溶水区总面积</w:t>
      </w:r>
      <w:r>
        <w:rPr>
          <w:rFonts w:ascii="Times New Roman" w:hAnsi="Times New Roman" w:eastAsia="宋体" w:cs="Times New Roman"/>
          <w:szCs w:val="24"/>
        </w:rPr>
        <w:t>322.22km</w:t>
      </w:r>
      <w:r>
        <w:rPr>
          <w:rFonts w:ascii="Times New Roman" w:hAnsi="Times New Roman" w:eastAsia="宋体" w:cs="Times New Roman"/>
          <w:szCs w:val="24"/>
          <w:vertAlign w:val="superscript"/>
        </w:rPr>
        <w:t>2</w:t>
      </w:r>
      <w:r>
        <w:rPr>
          <w:rFonts w:ascii="Times New Roman" w:hAnsi="宋体" w:eastAsia="宋体" w:cs="Times New Roman"/>
          <w:szCs w:val="24"/>
        </w:rPr>
        <w:t>，岩溶水补给来源为大气降水入渗，裸露型岩溶地下水区侧向径流和文峪河在西社断裂构造带渗漏补给。排泄方式主要为泉水和凿井取水。</w:t>
      </w:r>
    </w:p>
    <w:p>
      <w:pPr>
        <w:pStyle w:val="95"/>
        <w:spacing w:line="480" w:lineRule="exact"/>
        <w:ind w:firstLine="480"/>
        <w:rPr>
          <w:rFonts w:ascii="Times New Roman" w:hAnsi="Times New Roman" w:eastAsia="宋体" w:cs="Times New Roman"/>
          <w:szCs w:val="24"/>
        </w:rPr>
      </w:pPr>
      <w:r>
        <w:rPr>
          <w:rFonts w:ascii="Times New Roman" w:hAnsi="宋体" w:eastAsia="宋体" w:cs="Times New Roman"/>
          <w:szCs w:val="24"/>
        </w:rPr>
        <w:t>③盆地平原区</w:t>
      </w:r>
    </w:p>
    <w:p>
      <w:pPr>
        <w:pStyle w:val="85"/>
        <w:spacing w:line="480" w:lineRule="exact"/>
        <w:ind w:firstLine="480"/>
        <w:rPr>
          <w:rFonts w:ascii="Times New Roman" w:hAnsi="Times New Roman" w:cs="Times New Roman"/>
          <w:bCs/>
          <w:spacing w:val="6"/>
          <w:sz w:val="24"/>
          <w:szCs w:val="24"/>
        </w:rPr>
      </w:pPr>
      <w:bookmarkStart w:id="101" w:name="_Hlk520277545"/>
      <w:r>
        <w:rPr>
          <w:rFonts w:ascii="Times New Roman" w:cs="Times New Roman"/>
          <w:sz w:val="24"/>
          <w:szCs w:val="24"/>
        </w:rPr>
        <w:t>本区包括山前洪积扇裙孔隙水区、倾斜平原孔隙水区和冲湖积平原孔隙水区，总面积</w:t>
      </w:r>
      <w:r>
        <w:rPr>
          <w:rFonts w:ascii="Times New Roman" w:hAnsi="Times New Roman" w:cs="Times New Roman"/>
          <w:sz w:val="24"/>
          <w:szCs w:val="24"/>
        </w:rPr>
        <w:t>490km</w:t>
      </w:r>
      <w:r>
        <w:rPr>
          <w:rFonts w:ascii="Times New Roman" w:hAnsi="Times New Roman" w:cs="Times New Roman"/>
          <w:sz w:val="24"/>
          <w:szCs w:val="24"/>
          <w:vertAlign w:val="superscript"/>
        </w:rPr>
        <w:t>2</w:t>
      </w:r>
      <w:r>
        <w:rPr>
          <w:rFonts w:ascii="Times New Roman" w:cs="Times New Roman"/>
          <w:sz w:val="24"/>
          <w:szCs w:val="24"/>
        </w:rPr>
        <w:t>，补给项为大气降水入渗、山丘侧向径流、河水渗漏、田间灌溉入渗和井灌回归。排泄以开采为主，有少量侧向排泄和潜水蒸发。</w:t>
      </w:r>
      <w:bookmarkEnd w:id="101"/>
    </w:p>
    <w:p>
      <w:pPr>
        <w:pStyle w:val="85"/>
        <w:spacing w:line="480" w:lineRule="exact"/>
        <w:ind w:firstLine="480"/>
        <w:rPr>
          <w:rFonts w:ascii="Times New Roman" w:hAnsi="Times New Roman" w:cs="Times New Roman"/>
          <w:bCs/>
          <w:sz w:val="24"/>
          <w:szCs w:val="24"/>
        </w:rPr>
      </w:pPr>
      <w:r>
        <w:rPr>
          <w:rFonts w:ascii="Times New Roman" w:cs="Times New Roman"/>
          <w:bCs/>
          <w:sz w:val="24"/>
          <w:szCs w:val="24"/>
        </w:rPr>
        <w:t>（</w:t>
      </w:r>
      <w:r>
        <w:rPr>
          <w:rFonts w:hint="eastAsia" w:ascii="Times New Roman" w:hAnsi="Times New Roman" w:cs="Times New Roman"/>
          <w:bCs/>
          <w:sz w:val="24"/>
          <w:szCs w:val="24"/>
        </w:rPr>
        <w:t>3</w:t>
      </w:r>
      <w:r>
        <w:rPr>
          <w:rFonts w:ascii="Times New Roman" w:cs="Times New Roman"/>
          <w:bCs/>
          <w:sz w:val="24"/>
          <w:szCs w:val="24"/>
        </w:rPr>
        <w:t>）</w:t>
      </w:r>
      <w:r>
        <w:rPr>
          <w:rFonts w:hint="eastAsia" w:ascii="Times New Roman" w:cs="Times New Roman"/>
          <w:bCs/>
          <w:sz w:val="24"/>
          <w:szCs w:val="24"/>
        </w:rPr>
        <w:t>地下水动态特征</w:t>
      </w:r>
    </w:p>
    <w:p>
      <w:pPr>
        <w:pStyle w:val="85"/>
        <w:spacing w:line="480" w:lineRule="exact"/>
        <w:ind w:firstLine="480"/>
        <w:rPr>
          <w:rFonts w:ascii="Times New Roman" w:hAnsi="Times New Roman" w:cs="Times New Roman"/>
          <w:bCs/>
          <w:sz w:val="24"/>
        </w:rPr>
      </w:pPr>
      <w:r>
        <w:rPr>
          <w:rFonts w:ascii="Times New Roman" w:cs="Times New Roman"/>
          <w:bCs/>
          <w:sz w:val="24"/>
        </w:rPr>
        <w:t>汾阳市地下水可分为孔隙水、裂隙水、岩溶水三大类。孔隙水主要赋存于黄土及堆积物中，受大气降水影响较大，平川地区所采地下水多属孔隙水，该层水近年来整体呈下降趋势，年降幅</w:t>
      </w:r>
      <w:r>
        <w:rPr>
          <w:rFonts w:ascii="Times New Roman" w:hAnsi="Times New Roman" w:cs="Times New Roman"/>
          <w:bCs/>
          <w:sz w:val="24"/>
        </w:rPr>
        <w:t>1~4m</w:t>
      </w:r>
      <w:r>
        <w:rPr>
          <w:rFonts w:ascii="Times New Roman" w:cs="Times New Roman"/>
          <w:bCs/>
          <w:sz w:val="24"/>
        </w:rPr>
        <w:t>。阳城超采区包括阳城乡</w:t>
      </w:r>
      <w:r>
        <w:rPr>
          <w:rFonts w:ascii="Times New Roman" w:hAnsi="Times New Roman" w:cs="Times New Roman"/>
          <w:bCs/>
          <w:sz w:val="24"/>
        </w:rPr>
        <w:t>10</w:t>
      </w:r>
      <w:r>
        <w:rPr>
          <w:rFonts w:ascii="Times New Roman" w:cs="Times New Roman"/>
          <w:bCs/>
          <w:sz w:val="24"/>
        </w:rPr>
        <w:t>个村，总面积</w:t>
      </w:r>
      <w:r>
        <w:rPr>
          <w:rFonts w:ascii="Times New Roman" w:hAnsi="Times New Roman" w:cs="Times New Roman"/>
          <w:bCs/>
          <w:sz w:val="24"/>
        </w:rPr>
        <w:t>33.8km</w:t>
      </w:r>
      <w:r>
        <w:rPr>
          <w:rFonts w:ascii="Times New Roman" w:hAnsi="Times New Roman" w:cs="Times New Roman"/>
          <w:bCs/>
          <w:sz w:val="24"/>
          <w:vertAlign w:val="superscript"/>
        </w:rPr>
        <w:t>2</w:t>
      </w:r>
      <w:r>
        <w:rPr>
          <w:rFonts w:ascii="Times New Roman" w:cs="Times New Roman"/>
          <w:bCs/>
          <w:sz w:val="24"/>
        </w:rPr>
        <w:t>，地下水位平均下降速度为</w:t>
      </w:r>
      <w:r>
        <w:rPr>
          <w:rFonts w:ascii="Times New Roman" w:hAnsi="Times New Roman" w:cs="Times New Roman"/>
          <w:bCs/>
          <w:sz w:val="24"/>
        </w:rPr>
        <w:t>0.6m/a</w:t>
      </w:r>
      <w:r>
        <w:rPr>
          <w:rFonts w:ascii="Times New Roman" w:cs="Times New Roman"/>
          <w:bCs/>
          <w:sz w:val="24"/>
        </w:rPr>
        <w:t>，呈逐年连续下降趋势，形成地下水降落漏斗区。裂隙水主要是二叠系基岩裂隙水，受采煤影响较大，水位也呈下降趋势。岩溶水主要分布于汾阳市西北部山丘区，因岩溶水埋藏深，受季节变化影响较小，储量相对稳定，近年来，随着开采强度的增大，岩溶地下水位也逐年下降，年降幅</w:t>
      </w:r>
      <w:r>
        <w:rPr>
          <w:rFonts w:ascii="Times New Roman" w:hAnsi="Times New Roman" w:cs="Times New Roman"/>
          <w:bCs/>
          <w:sz w:val="24"/>
        </w:rPr>
        <w:t>1m</w:t>
      </w:r>
      <w:r>
        <w:rPr>
          <w:rFonts w:ascii="Times New Roman" w:cs="Times New Roman"/>
          <w:bCs/>
          <w:sz w:val="24"/>
        </w:rPr>
        <w:t>左右。杏花一带地下水水位降幅较大。</w:t>
      </w:r>
    </w:p>
    <w:p>
      <w:pPr>
        <w:pStyle w:val="85"/>
        <w:spacing w:line="480" w:lineRule="exact"/>
        <w:ind w:firstLine="480"/>
        <w:rPr>
          <w:rFonts w:ascii="Times New Roman" w:hAnsi="Times New Roman" w:cs="Times New Roman"/>
          <w:bCs/>
          <w:sz w:val="24"/>
          <w:szCs w:val="24"/>
        </w:rPr>
      </w:pPr>
      <w:r>
        <w:rPr>
          <w:rFonts w:ascii="Times New Roman" w:cs="Times New Roman"/>
          <w:bCs/>
          <w:sz w:val="24"/>
          <w:szCs w:val="24"/>
        </w:rPr>
        <w:t>（</w:t>
      </w:r>
      <w:r>
        <w:rPr>
          <w:rFonts w:hint="eastAsia" w:ascii="Times New Roman" w:hAnsi="Times New Roman" w:cs="Times New Roman"/>
          <w:bCs/>
          <w:sz w:val="24"/>
          <w:szCs w:val="24"/>
        </w:rPr>
        <w:t>4</w:t>
      </w:r>
      <w:r>
        <w:rPr>
          <w:rFonts w:ascii="Times New Roman" w:cs="Times New Roman"/>
          <w:bCs/>
          <w:sz w:val="24"/>
          <w:szCs w:val="24"/>
        </w:rPr>
        <w:t>）</w:t>
      </w:r>
      <w:r>
        <w:rPr>
          <w:rFonts w:hint="eastAsia" w:ascii="Times New Roman" w:cs="Times New Roman"/>
          <w:bCs/>
          <w:sz w:val="24"/>
          <w:szCs w:val="24"/>
        </w:rPr>
        <w:t>地下水开发利用程度分析</w:t>
      </w:r>
    </w:p>
    <w:p>
      <w:pPr>
        <w:pStyle w:val="85"/>
        <w:spacing w:line="480" w:lineRule="exact"/>
        <w:ind w:firstLine="480"/>
        <w:rPr>
          <w:rFonts w:ascii="Times New Roman" w:hAnsi="Times New Roman" w:cs="Times New Roman"/>
          <w:bCs/>
          <w:sz w:val="24"/>
        </w:rPr>
      </w:pPr>
      <w:r>
        <w:rPr>
          <w:rFonts w:ascii="Times New Roman" w:cs="Times New Roman"/>
          <w:bCs/>
          <w:sz w:val="24"/>
        </w:rPr>
        <w:t>根据水利部发布的《地下水超采区评价导则》要求，按地下水开采系数法（即地下水的多年平均开采量与当地地下水可开采量之比），将地下水资源开发利用程度划分为地下水严重超采区、一般超采区、地下水采补平衡区和地下水开发尚有潜力区四个区。利用开采系数的评判标准为：地下水严重超采区：</w:t>
      </w:r>
      <w:r>
        <w:rPr>
          <w:rFonts w:ascii="Times New Roman" w:hAnsi="Times New Roman" w:cs="Times New Roman"/>
          <w:bCs/>
          <w:sz w:val="24"/>
        </w:rPr>
        <w:t>K</w:t>
      </w:r>
      <w:r>
        <w:rPr>
          <w:rFonts w:ascii="Times New Roman" w:cs="Times New Roman"/>
          <w:bCs/>
          <w:sz w:val="24"/>
        </w:rPr>
        <w:t>＞</w:t>
      </w:r>
      <w:r>
        <w:rPr>
          <w:rFonts w:ascii="Times New Roman" w:hAnsi="Times New Roman" w:cs="Times New Roman"/>
          <w:bCs/>
          <w:sz w:val="24"/>
        </w:rPr>
        <w:t>1.2</w:t>
      </w:r>
      <w:r>
        <w:rPr>
          <w:rFonts w:ascii="Times New Roman" w:cs="Times New Roman"/>
          <w:bCs/>
          <w:sz w:val="24"/>
        </w:rPr>
        <w:t>；一般超采区：</w:t>
      </w:r>
      <w:r>
        <w:rPr>
          <w:rFonts w:ascii="Times New Roman" w:hAnsi="Times New Roman" w:cs="Times New Roman"/>
          <w:bCs/>
          <w:sz w:val="24"/>
        </w:rPr>
        <w:t>1.0</w:t>
      </w:r>
      <w:r>
        <w:rPr>
          <w:rFonts w:ascii="Times New Roman" w:cs="Times New Roman"/>
          <w:bCs/>
          <w:sz w:val="24"/>
        </w:rPr>
        <w:t>＜</w:t>
      </w:r>
      <w:r>
        <w:rPr>
          <w:rFonts w:ascii="Times New Roman" w:hAnsi="Times New Roman" w:cs="Times New Roman"/>
          <w:bCs/>
          <w:sz w:val="24"/>
        </w:rPr>
        <w:t>K≤1.2</w:t>
      </w:r>
      <w:r>
        <w:rPr>
          <w:rFonts w:ascii="Times New Roman" w:cs="Times New Roman"/>
          <w:bCs/>
          <w:sz w:val="24"/>
        </w:rPr>
        <w:t>；地下水采补平衡区：</w:t>
      </w:r>
      <w:r>
        <w:rPr>
          <w:rFonts w:ascii="Times New Roman" w:hAnsi="Times New Roman" w:cs="Times New Roman"/>
          <w:bCs/>
          <w:sz w:val="24"/>
        </w:rPr>
        <w:t>0.8</w:t>
      </w:r>
      <w:r>
        <w:rPr>
          <w:rFonts w:ascii="Times New Roman" w:cs="Times New Roman"/>
          <w:bCs/>
          <w:sz w:val="24"/>
        </w:rPr>
        <w:t>＜</w:t>
      </w:r>
      <w:r>
        <w:rPr>
          <w:rFonts w:ascii="Times New Roman" w:hAnsi="Times New Roman" w:cs="Times New Roman"/>
          <w:bCs/>
          <w:sz w:val="24"/>
        </w:rPr>
        <w:t>K≤1.0</w:t>
      </w:r>
      <w:r>
        <w:rPr>
          <w:rFonts w:ascii="Times New Roman" w:cs="Times New Roman"/>
          <w:bCs/>
          <w:sz w:val="24"/>
        </w:rPr>
        <w:t>；地下水开发尚有潜力区：</w:t>
      </w:r>
      <w:r>
        <w:rPr>
          <w:rFonts w:ascii="Times New Roman" w:hAnsi="Times New Roman" w:cs="Times New Roman"/>
          <w:bCs/>
          <w:sz w:val="24"/>
        </w:rPr>
        <w:t>K≤0.8</w:t>
      </w:r>
      <w:r>
        <w:rPr>
          <w:rFonts w:ascii="Times New Roman" w:cs="Times New Roman"/>
          <w:bCs/>
          <w:sz w:val="24"/>
        </w:rPr>
        <w:t>。</w:t>
      </w:r>
    </w:p>
    <w:p>
      <w:pPr>
        <w:pStyle w:val="85"/>
        <w:spacing w:line="480" w:lineRule="exact"/>
        <w:ind w:firstLine="480"/>
        <w:rPr>
          <w:rFonts w:ascii="Times New Roman" w:hAnsi="Times New Roman" w:cs="Times New Roman"/>
          <w:bCs/>
          <w:sz w:val="24"/>
        </w:rPr>
      </w:pPr>
      <w:r>
        <w:rPr>
          <w:rFonts w:ascii="Times New Roman" w:hAnsi="Times New Roman" w:cs="Times New Roman"/>
          <w:bCs/>
          <w:sz w:val="24"/>
        </w:rPr>
        <w:t>2008</w:t>
      </w:r>
      <w:r>
        <w:rPr>
          <w:rFonts w:ascii="Times New Roman" w:cs="Times New Roman"/>
          <w:bCs/>
          <w:sz w:val="24"/>
        </w:rPr>
        <w:t>年《山西省汾阳市控制地下水超采规划报告》确定了全市有超采区</w:t>
      </w:r>
      <w:r>
        <w:rPr>
          <w:rFonts w:ascii="Times New Roman" w:hAnsi="Times New Roman" w:cs="Times New Roman"/>
          <w:bCs/>
          <w:sz w:val="24"/>
        </w:rPr>
        <w:t>2</w:t>
      </w:r>
      <w:r>
        <w:rPr>
          <w:rFonts w:ascii="Times New Roman" w:cs="Times New Roman"/>
          <w:bCs/>
          <w:sz w:val="24"/>
        </w:rPr>
        <w:t>个、采补平衡区</w:t>
      </w:r>
      <w:r>
        <w:rPr>
          <w:rFonts w:ascii="Times New Roman" w:hAnsi="Times New Roman" w:cs="Times New Roman"/>
          <w:bCs/>
          <w:sz w:val="24"/>
        </w:rPr>
        <w:t>1</w:t>
      </w:r>
      <w:r>
        <w:rPr>
          <w:rFonts w:ascii="Times New Roman" w:cs="Times New Roman"/>
          <w:bCs/>
          <w:sz w:val="24"/>
        </w:rPr>
        <w:t>个、尚有潜力区</w:t>
      </w:r>
      <w:r>
        <w:rPr>
          <w:rFonts w:ascii="Times New Roman" w:hAnsi="Times New Roman" w:cs="Times New Roman"/>
          <w:bCs/>
          <w:sz w:val="24"/>
        </w:rPr>
        <w:t>2</w:t>
      </w:r>
      <w:r>
        <w:rPr>
          <w:rFonts w:ascii="Times New Roman" w:cs="Times New Roman"/>
          <w:bCs/>
          <w:sz w:val="24"/>
        </w:rPr>
        <w:t>个。</w:t>
      </w:r>
      <w:r>
        <w:rPr>
          <w:rFonts w:ascii="Times New Roman" w:hAnsi="Times New Roman" w:cs="Times New Roman"/>
          <w:bCs/>
          <w:sz w:val="24"/>
        </w:rPr>
        <w:t>2</w:t>
      </w:r>
      <w:r>
        <w:rPr>
          <w:rFonts w:ascii="Times New Roman" w:cs="Times New Roman"/>
          <w:bCs/>
          <w:sz w:val="24"/>
        </w:rPr>
        <w:t>个超采区分别是杏花洪积扇超采区，城关、阳城超采区，涉及</w:t>
      </w:r>
      <w:r>
        <w:rPr>
          <w:rFonts w:ascii="Times New Roman" w:hAnsi="Times New Roman" w:cs="Times New Roman"/>
          <w:bCs/>
          <w:sz w:val="24"/>
        </w:rPr>
        <w:t>8</w:t>
      </w:r>
      <w:r>
        <w:rPr>
          <w:rFonts w:ascii="Times New Roman" w:cs="Times New Roman"/>
          <w:bCs/>
          <w:sz w:val="24"/>
        </w:rPr>
        <w:t>个乡镇</w:t>
      </w:r>
      <w:r>
        <w:rPr>
          <w:rFonts w:ascii="Times New Roman" w:hAnsi="Times New Roman" w:cs="Times New Roman"/>
          <w:bCs/>
          <w:sz w:val="24"/>
        </w:rPr>
        <w:t>51</w:t>
      </w:r>
      <w:r>
        <w:rPr>
          <w:rFonts w:ascii="Times New Roman" w:cs="Times New Roman"/>
          <w:bCs/>
          <w:sz w:val="24"/>
        </w:rPr>
        <w:t>个行政村，在这两个超采区内，杏花洪积扇为严重超采区，面积为</w:t>
      </w:r>
      <w:r>
        <w:rPr>
          <w:rFonts w:ascii="Times New Roman" w:hAnsi="Times New Roman" w:cs="Times New Roman"/>
          <w:bCs/>
          <w:sz w:val="24"/>
        </w:rPr>
        <w:t>6km</w:t>
      </w:r>
      <w:r>
        <w:rPr>
          <w:rFonts w:ascii="Times New Roman" w:hAnsi="Times New Roman" w:cs="Times New Roman"/>
          <w:bCs/>
          <w:sz w:val="24"/>
          <w:vertAlign w:val="superscript"/>
        </w:rPr>
        <w:t>2</w:t>
      </w:r>
      <w:r>
        <w:rPr>
          <w:rFonts w:ascii="Times New Roman" w:cs="Times New Roman"/>
          <w:bCs/>
          <w:sz w:val="24"/>
        </w:rPr>
        <w:t>，开采系数为</w:t>
      </w:r>
      <w:r>
        <w:rPr>
          <w:rFonts w:ascii="Times New Roman" w:hAnsi="Times New Roman" w:cs="Times New Roman"/>
          <w:bCs/>
          <w:sz w:val="24"/>
        </w:rPr>
        <w:t>1.8</w:t>
      </w:r>
      <w:r>
        <w:rPr>
          <w:rFonts w:ascii="Times New Roman" w:cs="Times New Roman"/>
          <w:bCs/>
          <w:sz w:val="24"/>
        </w:rPr>
        <w:t>；城关、阳城超采区，面积</w:t>
      </w:r>
      <w:r>
        <w:rPr>
          <w:rFonts w:ascii="Times New Roman" w:hAnsi="Times New Roman" w:cs="Times New Roman"/>
          <w:bCs/>
          <w:sz w:val="24"/>
        </w:rPr>
        <w:t>38.7km</w:t>
      </w:r>
      <w:r>
        <w:rPr>
          <w:rFonts w:ascii="Times New Roman" w:hAnsi="Times New Roman" w:cs="Times New Roman"/>
          <w:bCs/>
          <w:sz w:val="24"/>
          <w:vertAlign w:val="superscript"/>
        </w:rPr>
        <w:t>2</w:t>
      </w:r>
      <w:r>
        <w:rPr>
          <w:rFonts w:ascii="Times New Roman" w:cs="Times New Roman"/>
          <w:bCs/>
          <w:sz w:val="24"/>
        </w:rPr>
        <w:t>，属一般超采区，开采系数</w:t>
      </w:r>
      <w:r>
        <w:rPr>
          <w:rFonts w:ascii="Times New Roman" w:hAnsi="Times New Roman" w:cs="Times New Roman"/>
          <w:bCs/>
          <w:sz w:val="24"/>
        </w:rPr>
        <w:t>1.1</w:t>
      </w:r>
      <w:r>
        <w:rPr>
          <w:rFonts w:ascii="Times New Roman" w:cs="Times New Roman"/>
          <w:bCs/>
          <w:sz w:val="24"/>
        </w:rPr>
        <w:t>。采补平衡区，总面积</w:t>
      </w:r>
      <w:r>
        <w:rPr>
          <w:rFonts w:ascii="Times New Roman" w:hAnsi="Times New Roman" w:cs="Times New Roman"/>
          <w:bCs/>
          <w:sz w:val="24"/>
        </w:rPr>
        <w:t>96km</w:t>
      </w:r>
      <w:r>
        <w:rPr>
          <w:rFonts w:ascii="Times New Roman" w:hAnsi="Times New Roman" w:cs="Times New Roman"/>
          <w:bCs/>
          <w:sz w:val="24"/>
          <w:vertAlign w:val="superscript"/>
        </w:rPr>
        <w:t>2</w:t>
      </w:r>
      <w:r>
        <w:rPr>
          <w:rFonts w:ascii="Times New Roman" w:cs="Times New Roman"/>
          <w:bCs/>
          <w:sz w:val="24"/>
        </w:rPr>
        <w:t>，开采系数</w:t>
      </w:r>
      <w:r>
        <w:rPr>
          <w:rFonts w:ascii="Times New Roman" w:hAnsi="Times New Roman" w:cs="Times New Roman"/>
          <w:bCs/>
          <w:sz w:val="24"/>
        </w:rPr>
        <w:t>0.9</w:t>
      </w:r>
      <w:r>
        <w:rPr>
          <w:rFonts w:ascii="Times New Roman" w:cs="Times New Roman"/>
          <w:bCs/>
          <w:sz w:val="24"/>
        </w:rPr>
        <w:t>，近年来地下水水位基本稳定。尚有开发潜力区分为平川尚有开发潜力区和山区尚有开发潜力区。平川尚有开发潜力区，又包括文峪河和虢义河尚有开发潜力区。其中，文峪河尚有开采潜力区，区域总面积</w:t>
      </w:r>
      <w:r>
        <w:rPr>
          <w:rFonts w:ascii="Times New Roman" w:hAnsi="Times New Roman" w:cs="Times New Roman"/>
          <w:bCs/>
          <w:sz w:val="24"/>
        </w:rPr>
        <w:t>160km</w:t>
      </w:r>
      <w:r>
        <w:rPr>
          <w:rFonts w:ascii="Times New Roman" w:hAnsi="Times New Roman" w:cs="Times New Roman"/>
          <w:bCs/>
          <w:sz w:val="24"/>
          <w:vertAlign w:val="superscript"/>
        </w:rPr>
        <w:t>2</w:t>
      </w:r>
      <w:r>
        <w:rPr>
          <w:rFonts w:ascii="Times New Roman" w:cs="Times New Roman"/>
          <w:bCs/>
          <w:sz w:val="24"/>
        </w:rPr>
        <w:t>，开采系数</w:t>
      </w:r>
      <w:r>
        <w:rPr>
          <w:rFonts w:ascii="Times New Roman" w:hAnsi="Times New Roman" w:cs="Times New Roman"/>
          <w:bCs/>
          <w:sz w:val="24"/>
        </w:rPr>
        <w:t>0.75</w:t>
      </w:r>
      <w:r>
        <w:rPr>
          <w:rFonts w:ascii="Times New Roman" w:cs="Times New Roman"/>
          <w:bCs/>
          <w:sz w:val="24"/>
        </w:rPr>
        <w:t>，地下水属中等富水区。虢义河尚有开发潜力区，总面积</w:t>
      </w:r>
      <w:r>
        <w:rPr>
          <w:rFonts w:ascii="Times New Roman" w:hAnsi="Times New Roman" w:cs="Times New Roman"/>
          <w:bCs/>
          <w:sz w:val="24"/>
        </w:rPr>
        <w:t>45km</w:t>
      </w:r>
      <w:r>
        <w:rPr>
          <w:rFonts w:ascii="Times New Roman" w:hAnsi="Times New Roman" w:cs="Times New Roman"/>
          <w:bCs/>
          <w:sz w:val="24"/>
          <w:vertAlign w:val="superscript"/>
        </w:rPr>
        <w:t>2</w:t>
      </w:r>
      <w:r>
        <w:rPr>
          <w:rFonts w:ascii="Times New Roman" w:cs="Times New Roman"/>
          <w:bCs/>
          <w:sz w:val="24"/>
        </w:rPr>
        <w:t>，开采系数</w:t>
      </w:r>
      <w:r>
        <w:rPr>
          <w:rFonts w:ascii="Times New Roman" w:hAnsi="Times New Roman" w:cs="Times New Roman"/>
          <w:bCs/>
          <w:sz w:val="24"/>
        </w:rPr>
        <w:t>0.74</w:t>
      </w:r>
      <w:r>
        <w:rPr>
          <w:rFonts w:ascii="Times New Roman" w:cs="Times New Roman"/>
          <w:bCs/>
          <w:sz w:val="24"/>
        </w:rPr>
        <w:t>，地下水属中等富水区。山区尚有开发潜力区，总面积</w:t>
      </w:r>
      <w:r>
        <w:rPr>
          <w:rFonts w:ascii="Times New Roman" w:hAnsi="Times New Roman" w:cs="Times New Roman"/>
          <w:bCs/>
          <w:sz w:val="24"/>
        </w:rPr>
        <w:t>707km</w:t>
      </w:r>
      <w:r>
        <w:rPr>
          <w:rFonts w:ascii="Times New Roman" w:hAnsi="Times New Roman" w:cs="Times New Roman"/>
          <w:bCs/>
          <w:sz w:val="24"/>
          <w:vertAlign w:val="superscript"/>
        </w:rPr>
        <w:t>2</w:t>
      </w:r>
      <w:r>
        <w:rPr>
          <w:rFonts w:ascii="Times New Roman" w:cs="Times New Roman"/>
          <w:bCs/>
          <w:sz w:val="24"/>
        </w:rPr>
        <w:t>（其中岩溶山区</w:t>
      </w:r>
      <w:r>
        <w:rPr>
          <w:rFonts w:ascii="Times New Roman" w:hAnsi="Times New Roman" w:cs="Times New Roman"/>
          <w:bCs/>
          <w:sz w:val="24"/>
        </w:rPr>
        <w:t>624km</w:t>
      </w:r>
      <w:r>
        <w:rPr>
          <w:rFonts w:ascii="Times New Roman" w:hAnsi="Times New Roman" w:cs="Times New Roman"/>
          <w:bCs/>
          <w:sz w:val="24"/>
          <w:vertAlign w:val="superscript"/>
        </w:rPr>
        <w:t>2</w:t>
      </w:r>
      <w:r>
        <w:rPr>
          <w:rFonts w:ascii="Times New Roman" w:cs="Times New Roman"/>
          <w:bCs/>
          <w:sz w:val="24"/>
        </w:rPr>
        <w:t>，一般山丘区</w:t>
      </w:r>
      <w:r>
        <w:rPr>
          <w:rFonts w:ascii="Times New Roman" w:hAnsi="Times New Roman" w:cs="Times New Roman"/>
          <w:bCs/>
          <w:sz w:val="24"/>
        </w:rPr>
        <w:t>83km</w:t>
      </w:r>
      <w:r>
        <w:rPr>
          <w:rFonts w:ascii="Times New Roman" w:hAnsi="Times New Roman" w:cs="Times New Roman"/>
          <w:bCs/>
          <w:sz w:val="24"/>
          <w:vertAlign w:val="superscript"/>
        </w:rPr>
        <w:t>2</w:t>
      </w:r>
      <w:r>
        <w:rPr>
          <w:rFonts w:ascii="Times New Roman" w:cs="Times New Roman"/>
          <w:bCs/>
          <w:sz w:val="24"/>
        </w:rPr>
        <w:t>），开采系数</w:t>
      </w:r>
      <w:r>
        <w:rPr>
          <w:rFonts w:ascii="Times New Roman" w:hAnsi="Times New Roman" w:cs="Times New Roman"/>
          <w:bCs/>
          <w:sz w:val="24"/>
        </w:rPr>
        <w:t>0.32</w:t>
      </w:r>
      <w:r>
        <w:rPr>
          <w:rFonts w:ascii="Times New Roman" w:cs="Times New Roman"/>
          <w:bCs/>
          <w:sz w:val="24"/>
        </w:rPr>
        <w:t>，尚有开发潜力。</w:t>
      </w:r>
    </w:p>
    <w:p>
      <w:pPr>
        <w:pStyle w:val="85"/>
        <w:spacing w:line="480" w:lineRule="exact"/>
        <w:ind w:firstLine="480"/>
        <w:rPr>
          <w:rFonts w:ascii="Times New Roman" w:hAnsi="Times New Roman" w:cs="Times New Roman"/>
          <w:bCs/>
          <w:sz w:val="24"/>
          <w:szCs w:val="24"/>
        </w:rPr>
      </w:pPr>
      <w:r>
        <w:rPr>
          <w:rFonts w:ascii="Times New Roman" w:cs="Times New Roman"/>
          <w:bCs/>
          <w:sz w:val="24"/>
          <w:szCs w:val="24"/>
        </w:rPr>
        <w:t>（</w:t>
      </w:r>
      <w:r>
        <w:rPr>
          <w:rFonts w:hint="eastAsia" w:ascii="Times New Roman" w:hAnsi="Times New Roman" w:cs="Times New Roman"/>
          <w:bCs/>
          <w:sz w:val="24"/>
          <w:szCs w:val="24"/>
        </w:rPr>
        <w:t>5</w:t>
      </w:r>
      <w:r>
        <w:rPr>
          <w:rFonts w:ascii="Times New Roman" w:cs="Times New Roman"/>
          <w:bCs/>
          <w:sz w:val="24"/>
          <w:szCs w:val="24"/>
        </w:rPr>
        <w:t>）</w:t>
      </w:r>
      <w:r>
        <w:rPr>
          <w:rFonts w:hint="eastAsia" w:ascii="Times New Roman" w:cs="Times New Roman"/>
          <w:bCs/>
          <w:sz w:val="24"/>
          <w:szCs w:val="24"/>
        </w:rPr>
        <w:t>地下水开发利用规划</w:t>
      </w:r>
    </w:p>
    <w:p>
      <w:pPr>
        <w:pStyle w:val="85"/>
        <w:spacing w:line="480" w:lineRule="exact"/>
        <w:ind w:firstLine="480"/>
        <w:rPr>
          <w:sz w:val="24"/>
          <w:szCs w:val="24"/>
        </w:rPr>
      </w:pPr>
      <w:r>
        <w:rPr>
          <w:rFonts w:hint="eastAsia"/>
          <w:sz w:val="24"/>
          <w:szCs w:val="24"/>
        </w:rPr>
        <w:t>长期以来，由于汾阳市供水以地下水为主，城区与工业发达地区集中开采地下水，使得区域地下水水位急剧下降，形成了大范围的地下水降落漏斗。随着经济社会的快速发展、工农业生产发展步伐的加快、人民生活水平的提高，对水资源的需求越来越大，必然导致对地下水资源的大规模开发利用。为了改善小环境生态，使该区地下水开发利用向良性循环，需依法加强超采区地下水资源管理；树立全民节水意识，建立节水型社会；加快污染治理步伐，实现污水资源化；实行地表水与地下水的联合调控；调整供水水源结构控制和压缩地下水开采量及建立完善地下水动态监测信息系统。</w:t>
      </w:r>
    </w:p>
    <w:p>
      <w:pPr>
        <w:pStyle w:val="57"/>
        <w:keepNext/>
        <w:keepLines/>
        <w:spacing w:before="0" w:after="0" w:line="480" w:lineRule="exact"/>
        <w:ind w:firstLine="0" w:firstLineChars="0"/>
        <w:outlineLvl w:val="3"/>
        <w:rPr>
          <w:b/>
        </w:rPr>
      </w:pPr>
      <w:r>
        <w:rPr>
          <w:rFonts w:hint="eastAsia"/>
          <w:b/>
        </w:rPr>
        <w:t>5.2.3.2项目</w:t>
      </w:r>
      <w:r>
        <w:rPr>
          <w:rFonts w:hint="eastAsia" w:ascii="宋体" w:hAnsi="宋体"/>
          <w:b/>
        </w:rPr>
        <w:t>区水文地质条件调查情况</w:t>
      </w:r>
    </w:p>
    <w:p>
      <w:pPr>
        <w:spacing w:line="480" w:lineRule="exact"/>
        <w:jc w:val="left"/>
        <w:rPr>
          <w:b/>
          <w:color w:val="000000"/>
          <w:sz w:val="24"/>
        </w:rPr>
      </w:pPr>
      <w:r>
        <w:rPr>
          <w:rFonts w:hint="eastAsia"/>
          <w:b/>
          <w:color w:val="000000"/>
          <w:sz w:val="24"/>
        </w:rPr>
        <w:t>1、地形地貌</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调查评价区所属主要地貌单元为冲洪积平原及洪积倾斜平原，地势开阔，总体为西高东低，自然地面标高800m～920m，场地被第四系黄土覆盖。</w:t>
      </w:r>
    </w:p>
    <w:p>
      <w:pPr>
        <w:spacing w:line="480" w:lineRule="exact"/>
        <w:jc w:val="left"/>
        <w:rPr>
          <w:b/>
          <w:color w:val="000000"/>
          <w:sz w:val="24"/>
        </w:rPr>
      </w:pPr>
      <w:r>
        <w:rPr>
          <w:b/>
          <w:color w:val="000000"/>
          <w:sz w:val="24"/>
        </w:rPr>
        <w:t>2</w:t>
      </w:r>
      <w:r>
        <w:rPr>
          <w:rFonts w:hint="eastAsia"/>
          <w:b/>
          <w:color w:val="000000"/>
          <w:sz w:val="24"/>
        </w:rPr>
        <w:t>、调查评价区地层岩性</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调查评价区主要地层由新到老有新生界第四系、古生界二叠系、石炭系、奥陶系。依次叙述如下：</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（1）第四系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广泛分布于丘陵及平川区。全新统分布于河谷河床及一级阶地，岩性为亚砂土、亚粘土、砂砾石。厚度约5~20m。上更新统广泛分布于丘陵及平川区，岩性为黄土，具有较大空隙，垂直节理发育。一般厚度约5~10m，此外还有冲洪积成因的砂、砂砾石、亚砂土，分布在虢义河河谷，构成二阶阶地。中更新统成条带状分布于丘陵区河谷，形成黄土丘陵，在平原埋藏于上更新统之下，岩性为亚砂土、砂砾石。下更系统主要分布于丘陵区沟谷两侧底部及平原区，岩性分别为20~30m厚的半胶结砾岩和冲湖积杂色黏土夹褐黄色亚砂土、粉细砂、中细砂。</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（2）二叠系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出露与三泉以西丘陵区沟底，部分地方为新生界松散层覆盖。缺失顶部石千峰组。自新到老分别有：上石盒子组、下石盒子组及山西组。上石盒子组岩性为紫红、黄绿色页岩及黄绿、灰绿色中粗砂砾岩，底部以厚层砂岩与下石盒子组为界；下石盒子上部为灰绿、黄绿色页岩，下部为灰色页岩夹灰白色砂岩夹煤线，底部以一层长石砂岩或砂砾岩与山西组分界；山西组岩性为灰、灰白色砂页岩，深灰或黑灰色页岩中夹三层可采煤层，底部以一厚层状灰白色长石石英砂岩与石炭系整合接触。</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（3）石炭系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为一海陆相沉积，集中分布于三泉镇以西。太原组岩性为黑灰、黑色砂页岩夹两层可采煤层，底部以厚层状粗粒石英岩与下伏本溪组整合接触。本溪组岩性为薄层灰岩、铝土页岩，底部喊鸡窝状铁矿。</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（4）奥陶系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缺失奥陶系上统，中、下统石灰岩大面积分布于丘陵山区。</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中统峰峰组岩性上部为浅灰、青灰、深灰色中厚层灰岩、豹皮状灰岩、白云质灰岩；中部为土黄、灰黄白云质泥灰岩、呈角砾状结构；下部为青灰、黄褐色厚层状灰岩，豹皮状灰岩、蜂窝状泥灰岩、角砾状泥灰岩，厚度75~127m。</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中统上马家沟组上部为灰、灰白、灰黑色白云质灰岩，厚层豹皮状灰岩；中部为灰黑豹皮灰岩，下部为灰黄、灰白、灰褐色泥灰岩、角砾状泥灰岩，总厚度196~268m。</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中统下马家沟组上部为青灰、深灰色纯灰岩，含泥质灰质白云岩，豹皮状灰岩；中部以灰、深灰色白云岩及豹皮灰岩，含白云质灰岩，角砾状泥质灰岩为主；下部为黄色、褐黄色、黄绿色白云质灰岩，角砾状泥质灰岩为主；下部为黄色、褐黄色、黄绿色白云质灰岩、页岩，页岩中或页岩之下常有数厘米乃至数米厚石英砂岩，但不稳定。本组总厚度61~133m，与下伏的奥陶系下统呈平行不整合接触。</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奥陶系下统总厚度90~153m，分为亮甲山组、冶里组。</w:t>
      </w:r>
    </w:p>
    <w:p>
      <w:pPr>
        <w:spacing w:line="480" w:lineRule="exact"/>
        <w:jc w:val="left"/>
        <w:rPr>
          <w:b/>
          <w:color w:val="000000"/>
          <w:sz w:val="24"/>
        </w:rPr>
      </w:pPr>
      <w:r>
        <w:rPr>
          <w:b/>
          <w:color w:val="000000"/>
          <w:sz w:val="24"/>
        </w:rPr>
        <w:t>3</w:t>
      </w:r>
      <w:r>
        <w:rPr>
          <w:rFonts w:hint="eastAsia"/>
          <w:b/>
          <w:color w:val="000000"/>
          <w:sz w:val="24"/>
        </w:rPr>
        <w:t>、调查评价区水文地质条件</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根据调查评价区地下水含水介质岩性及其赋存条件、水动力特征，可分为：奥陶系碳酸盐岩溶水含水岩系，松散岩类孔隙水含水岩系。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（1）含水岩系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①奥陶系碳酸盐岩溶水含水岩系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该含水岩系以灰岩、豹皮灰岩、泥质灰岩、竹叶状灰岩、鲕状灰岩为主，白云岩次之，寒武系底部的砂页岩为区域隔水底板，白云岩可溶性相当可观，分析各地层的富水性，认为以奥陶系中统上马家沟组和峰峰组最为富水。该层上覆地层多为石炭系、二叠系地层。</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②松散岩系孔隙水含水岩系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含水介质为第四系中更新统冲洪积成因的中粗砂、砂、砾石类黏土层，顶板埋深40-50m，底板埋深110-150m，含水层成分为长石、石英，分选性好，磨圆度好，质纯，含水层厚度20-35m，单层厚度1~10m。地下水富集规律水平方向上由山前洪积扇—冲洪积倾斜平原—洪积平原—冲洪积交接洼地，含水层厚度由厚变薄且层数增多，富水性由强变弱（单井涌水量30~50m3/h）。</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（2）地下水补给、径流、排泄特征</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调查评价区潜水的补给主要来自区内大气降水，边山断裂带侧向基岩裂隙水补给，冲洪积扇群集中侧向补给，其次为地表水体（河流）的渗漏补给；地下水运动具有一定的规律，总趋势是从上游向下游；排泄条件，松散岩类孔隙水一般处于盆地及盆地边缘区，大部分乡镇集中饮用水源开采第四系中深层水，浅层水已枯竭，已形成区域降落漏斗，所以排泄主要以人工开采为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岩溶水的补给、径流、排泄条件受郭庄泉域所控制，岩溶水的补给主要为大气降水入渗补给，河段灰岩裸露渗漏补给，岩溶水的径流方向受郭庄泉所控制，由北向南、由西向东、折向南东向郭庄泉域排泄，其次为人工开采为主。</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（3）地下水流场</w:t>
      </w:r>
    </w:p>
    <w:p>
      <w:pPr>
        <w:pStyle w:val="85"/>
        <w:spacing w:line="48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项目所在地地下水水流方向为自西北向东南。</w:t>
      </w:r>
    </w:p>
    <w:p>
      <w:pPr>
        <w:pStyle w:val="85"/>
        <w:keepNext/>
        <w:keepLines/>
        <w:spacing w:line="480" w:lineRule="exact"/>
        <w:ind w:firstLine="0" w:firstLineChars="0"/>
        <w:outlineLvl w:val="3"/>
        <w:rPr>
          <w:rFonts w:ascii="Times New Roman" w:hAnsi="Times New Roman" w:cs="Times New Roman"/>
          <w:b/>
          <w:sz w:val="24"/>
        </w:rPr>
      </w:pPr>
      <w:r>
        <w:rPr>
          <w:rFonts w:ascii="Times New Roman" w:hAnsi="Times New Roman" w:cs="Times New Roman"/>
          <w:b/>
          <w:sz w:val="24"/>
        </w:rPr>
        <w:t>5.2.3.3</w:t>
      </w:r>
      <w:r>
        <w:rPr>
          <w:rFonts w:ascii="Times New Roman" w:cs="Times New Roman"/>
          <w:b/>
          <w:sz w:val="24"/>
        </w:rPr>
        <w:t>项目对地下水的影响分析</w:t>
      </w:r>
    </w:p>
    <w:p>
      <w:pPr>
        <w:pStyle w:val="122"/>
        <w:spacing w:line="480" w:lineRule="exact"/>
        <w:ind w:firstLine="480"/>
        <w:rPr>
          <w:sz w:val="24"/>
        </w:rPr>
      </w:pPr>
      <w:r>
        <w:rPr>
          <w:rFonts w:hint="eastAsia"/>
          <w:sz w:val="24"/>
        </w:rPr>
        <w:t>本项目污水处理站各构筑物</w:t>
      </w:r>
      <w:r>
        <w:rPr>
          <w:rFonts w:hint="eastAsia"/>
          <w:snapToGrid w:val="0"/>
          <w:sz w:val="24"/>
        </w:rPr>
        <w:t>、污水收集池、安全填埋井</w:t>
      </w:r>
      <w:r>
        <w:rPr>
          <w:rFonts w:hint="eastAsia"/>
          <w:sz w:val="24"/>
        </w:rPr>
        <w:t>泄漏均对地下水产生影响，正常运营状态下不会有污水泄漏，当因防渗膜破裂等突发情况和非正常状况下可能造成污水泄漏，本项目针对非正常状况下进行地下水环境影响预测。</w:t>
      </w:r>
    </w:p>
    <w:p>
      <w:pPr>
        <w:pStyle w:val="122"/>
        <w:spacing w:line="480" w:lineRule="exact"/>
        <w:ind w:firstLine="480"/>
        <w:rPr>
          <w:sz w:val="24"/>
        </w:rPr>
      </w:pPr>
      <w:r>
        <w:rPr>
          <w:rFonts w:hint="eastAsia"/>
          <w:sz w:val="24"/>
        </w:rPr>
        <w:t>结合项目的特点，本项目贮水池储存污水量最大，如泄漏对地下水影响最大，从最大风险原则考虑，非正常状况下为</w:t>
      </w:r>
      <w:r>
        <w:rPr>
          <w:rFonts w:hint="eastAsia"/>
          <w:snapToGrid w:val="0"/>
          <w:sz w:val="24"/>
        </w:rPr>
        <w:t>污水收集池</w:t>
      </w:r>
      <w:r>
        <w:rPr>
          <w:rFonts w:hint="eastAsia"/>
          <w:sz w:val="24"/>
        </w:rPr>
        <w:t>体破裂和防渗层同时破裂时污水泄漏对地下水水质造成影响。根据《给排水构筑物工程施工及验收规范》，水池允许最大渗水量按池壁和池底浸湿面积计算，钢筋混凝土结构水池渗漏量不得超过</w:t>
      </w:r>
      <w:r>
        <w:rPr>
          <w:sz w:val="24"/>
        </w:rPr>
        <w:t>2L/</w:t>
      </w:r>
      <w:r>
        <w:rPr>
          <w:rFonts w:hint="eastAsia"/>
          <w:sz w:val="24"/>
        </w:rPr>
        <w:t>（</w:t>
      </w:r>
      <w:r>
        <w:rPr>
          <w:sz w:val="24"/>
        </w:rPr>
        <w:t>m</w:t>
      </w:r>
      <w:r>
        <w:rPr>
          <w:sz w:val="24"/>
          <w:vertAlign w:val="superscript"/>
        </w:rPr>
        <w:t>2</w:t>
      </w:r>
      <w:r>
        <w:rPr>
          <w:sz w:val="24"/>
        </w:rPr>
        <w:t>·d</w:t>
      </w:r>
      <w:r>
        <w:rPr>
          <w:rFonts w:hint="eastAsia"/>
          <w:sz w:val="24"/>
        </w:rPr>
        <w:t>）。在正常状况下，贮水池渗漏面积为：池底面积</w:t>
      </w:r>
      <w:r>
        <w:rPr>
          <w:sz w:val="24"/>
        </w:rPr>
        <w:t>+</w:t>
      </w:r>
      <w:r>
        <w:rPr>
          <w:rFonts w:hint="eastAsia"/>
          <w:sz w:val="24"/>
        </w:rPr>
        <w:t>池壁面积</w:t>
      </w:r>
      <w:r>
        <w:rPr>
          <w:sz w:val="24"/>
        </w:rPr>
        <w:t>=5×</w:t>
      </w:r>
      <w:r>
        <w:rPr>
          <w:rFonts w:hint="eastAsia"/>
          <w:sz w:val="24"/>
        </w:rPr>
        <w:t>6</w:t>
      </w:r>
      <w:r>
        <w:rPr>
          <w:sz w:val="24"/>
        </w:rPr>
        <w:t>+2×</w:t>
      </w:r>
      <w:r>
        <w:rPr>
          <w:rFonts w:hint="eastAsia"/>
          <w:sz w:val="24"/>
        </w:rPr>
        <w:t>5</w:t>
      </w:r>
      <w:r>
        <w:rPr>
          <w:sz w:val="24"/>
        </w:rPr>
        <w:t>×</w:t>
      </w:r>
      <w:r>
        <w:rPr>
          <w:rFonts w:hint="eastAsia"/>
          <w:sz w:val="24"/>
        </w:rPr>
        <w:t>2</w:t>
      </w:r>
      <w:r>
        <w:rPr>
          <w:sz w:val="24"/>
        </w:rPr>
        <w:t>+2×</w:t>
      </w:r>
      <w:r>
        <w:rPr>
          <w:rFonts w:hint="eastAsia"/>
          <w:sz w:val="24"/>
        </w:rPr>
        <w:t>6</w:t>
      </w:r>
      <w:r>
        <w:rPr>
          <w:sz w:val="24"/>
        </w:rPr>
        <w:t>×</w:t>
      </w:r>
      <w:r>
        <w:rPr>
          <w:rFonts w:hint="eastAsia"/>
          <w:sz w:val="24"/>
        </w:rPr>
        <w:t>2</w:t>
      </w:r>
      <w:r>
        <w:rPr>
          <w:sz w:val="24"/>
        </w:rPr>
        <w:t>=</w:t>
      </w:r>
      <w:r>
        <w:rPr>
          <w:rFonts w:hint="eastAsia"/>
          <w:sz w:val="24"/>
        </w:rPr>
        <w:t>74</w:t>
      </w:r>
      <w:r>
        <w:rPr>
          <w:sz w:val="24"/>
        </w:rPr>
        <w:t>m</w:t>
      </w:r>
      <w:r>
        <w:rPr>
          <w:sz w:val="24"/>
          <w:vertAlign w:val="superscript"/>
        </w:rPr>
        <w:t>2</w:t>
      </w:r>
      <w:r>
        <w:rPr>
          <w:rFonts w:hint="eastAsia"/>
          <w:sz w:val="24"/>
        </w:rPr>
        <w:t>，贮水池每日的最大允许污水渗透量</w:t>
      </w:r>
      <w:r>
        <w:rPr>
          <w:sz w:val="24"/>
        </w:rPr>
        <w:t>Q</w:t>
      </w:r>
      <w:r>
        <w:rPr>
          <w:rFonts w:hint="eastAsia"/>
          <w:sz w:val="24"/>
        </w:rPr>
        <w:t>计算如下：渗漏量</w:t>
      </w:r>
      <w:r>
        <w:rPr>
          <w:sz w:val="24"/>
        </w:rPr>
        <w:t>=</w:t>
      </w:r>
      <w:r>
        <w:rPr>
          <w:rFonts w:hint="eastAsia"/>
          <w:sz w:val="24"/>
        </w:rPr>
        <w:t>渗漏面积</w:t>
      </w:r>
      <w:r>
        <w:rPr>
          <w:sz w:val="24"/>
        </w:rPr>
        <w:t>×</w:t>
      </w:r>
      <w:r>
        <w:rPr>
          <w:rFonts w:hint="eastAsia"/>
          <w:sz w:val="24"/>
        </w:rPr>
        <w:t>渗漏强度</w:t>
      </w:r>
      <w:r>
        <w:rPr>
          <w:sz w:val="24"/>
        </w:rPr>
        <w:t>=2L/</w:t>
      </w:r>
      <w:r>
        <w:rPr>
          <w:rFonts w:hint="eastAsia"/>
          <w:sz w:val="24"/>
        </w:rPr>
        <w:t>（</w:t>
      </w:r>
      <w:r>
        <w:rPr>
          <w:sz w:val="24"/>
        </w:rPr>
        <w:t>m</w:t>
      </w:r>
      <w:r>
        <w:rPr>
          <w:sz w:val="24"/>
          <w:vertAlign w:val="superscript"/>
        </w:rPr>
        <w:t>2</w:t>
      </w:r>
      <w:r>
        <w:rPr>
          <w:sz w:val="24"/>
        </w:rPr>
        <w:t>·d</w:t>
      </w:r>
      <w:r>
        <w:rPr>
          <w:rFonts w:hint="eastAsia"/>
          <w:sz w:val="24"/>
        </w:rPr>
        <w:t>）</w:t>
      </w:r>
      <w:r>
        <w:rPr>
          <w:sz w:val="24"/>
        </w:rPr>
        <w:t>×</w:t>
      </w:r>
      <w:r>
        <w:rPr>
          <w:rFonts w:hint="eastAsia"/>
          <w:sz w:val="24"/>
        </w:rPr>
        <w:t>74</w:t>
      </w:r>
      <w:r>
        <w:rPr>
          <w:sz w:val="24"/>
        </w:rPr>
        <w:t>m</w:t>
      </w:r>
      <w:r>
        <w:rPr>
          <w:sz w:val="24"/>
          <w:vertAlign w:val="superscript"/>
        </w:rPr>
        <w:t>2</w:t>
      </w:r>
      <w:r>
        <w:rPr>
          <w:sz w:val="24"/>
        </w:rPr>
        <w:t>=</w:t>
      </w:r>
      <w:r>
        <w:rPr>
          <w:rFonts w:hint="eastAsia"/>
          <w:sz w:val="24"/>
        </w:rPr>
        <w:t>148</w:t>
      </w:r>
      <w:r>
        <w:rPr>
          <w:sz w:val="24"/>
        </w:rPr>
        <w:t>L/d</w:t>
      </w:r>
      <w:r>
        <w:rPr>
          <w:rFonts w:hint="eastAsia"/>
          <w:sz w:val="24"/>
        </w:rPr>
        <w:t>，本次非正常状况下的污染源强如下表所示。</w:t>
      </w:r>
    </w:p>
    <w:p>
      <w:pPr>
        <w:spacing w:line="480" w:lineRule="exact"/>
        <w:jc w:val="center"/>
        <w:rPr>
          <w:rFonts w:ascii="黑体" w:hAnsi="黑体" w:eastAsia="黑体"/>
          <w:sz w:val="24"/>
          <w:lang w:val="zh-CN"/>
        </w:rPr>
      </w:pPr>
      <w:r>
        <w:rPr>
          <w:rFonts w:hint="eastAsia" w:ascii="黑体" w:hAnsi="黑体" w:eastAsia="黑体"/>
          <w:sz w:val="24"/>
          <w:lang w:val="zh-CN"/>
        </w:rPr>
        <w:t>表5.2-13  非正常状况下源强</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712"/>
        <w:gridCol w:w="1499"/>
        <w:gridCol w:w="1500"/>
        <w:gridCol w:w="158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Align w:val="center"/>
          </w:tcPr>
          <w:p>
            <w:pPr>
              <w:jc w:val="center"/>
              <w:rPr>
                <w:snapToGrid w:val="0"/>
                <w:szCs w:val="24"/>
                <w:lang w:val="zh-CN"/>
              </w:rPr>
            </w:pPr>
            <w:r>
              <w:rPr>
                <w:rFonts w:hint="eastAsia"/>
                <w:snapToGrid w:val="0"/>
                <w:lang w:val="zh-CN"/>
              </w:rPr>
              <w:t>预测因子</w:t>
            </w:r>
          </w:p>
        </w:tc>
        <w:tc>
          <w:tcPr>
            <w:tcW w:w="945" w:type="pct"/>
            <w:vAlign w:val="center"/>
          </w:tcPr>
          <w:p>
            <w:pPr>
              <w:jc w:val="center"/>
              <w:rPr>
                <w:snapToGrid w:val="0"/>
                <w:szCs w:val="24"/>
                <w:lang w:val="zh-CN"/>
              </w:rPr>
            </w:pPr>
            <w:r>
              <w:rPr>
                <w:rFonts w:hint="eastAsia"/>
                <w:snapToGrid w:val="0"/>
                <w:lang w:val="zh-CN"/>
              </w:rPr>
              <w:t>渗漏面积（</w:t>
            </w:r>
            <w:r>
              <w:rPr>
                <w:snapToGrid w:val="0"/>
                <w:lang w:val="zh-CN"/>
              </w:rPr>
              <w:t>m</w:t>
            </w:r>
            <w:r>
              <w:rPr>
                <w:snapToGrid w:val="0"/>
                <w:vertAlign w:val="superscript"/>
                <w:lang w:val="zh-CN"/>
              </w:rPr>
              <w:t>2</w:t>
            </w:r>
            <w:r>
              <w:rPr>
                <w:rFonts w:hint="eastAsia"/>
                <w:snapToGrid w:val="0"/>
                <w:lang w:val="zh-CN"/>
              </w:rPr>
              <w:t>）</w:t>
            </w:r>
          </w:p>
        </w:tc>
        <w:tc>
          <w:tcPr>
            <w:tcW w:w="827" w:type="pct"/>
            <w:vAlign w:val="center"/>
          </w:tcPr>
          <w:p>
            <w:pPr>
              <w:jc w:val="center"/>
              <w:rPr>
                <w:snapToGrid w:val="0"/>
                <w:szCs w:val="24"/>
                <w:lang w:val="zh-CN"/>
              </w:rPr>
            </w:pPr>
            <w:r>
              <w:rPr>
                <w:rFonts w:hint="eastAsia"/>
                <w:snapToGrid w:val="0"/>
                <w:lang w:val="zh-CN"/>
              </w:rPr>
              <w:t>渗漏强度（</w:t>
            </w:r>
            <w:r>
              <w:rPr>
                <w:snapToGrid w:val="0"/>
                <w:lang w:val="zh-CN"/>
              </w:rPr>
              <w:t>L/m</w:t>
            </w:r>
            <w:r>
              <w:rPr>
                <w:snapToGrid w:val="0"/>
                <w:vertAlign w:val="superscript"/>
                <w:lang w:val="zh-CN"/>
              </w:rPr>
              <w:t>2</w:t>
            </w:r>
            <w:r>
              <w:rPr>
                <w:rFonts w:hint="eastAsia"/>
                <w:snapToGrid w:val="0"/>
                <w:lang w:val="zh-CN"/>
              </w:rPr>
              <w:t>﹒</w:t>
            </w:r>
            <w:r>
              <w:rPr>
                <w:snapToGrid w:val="0"/>
                <w:lang w:val="zh-CN"/>
              </w:rPr>
              <w:t>d</w:t>
            </w:r>
            <w:r>
              <w:rPr>
                <w:rFonts w:hint="eastAsia"/>
                <w:snapToGrid w:val="0"/>
                <w:lang w:val="zh-CN"/>
              </w:rPr>
              <w:t>）</w:t>
            </w:r>
          </w:p>
        </w:tc>
        <w:tc>
          <w:tcPr>
            <w:tcW w:w="828" w:type="pct"/>
            <w:vAlign w:val="center"/>
          </w:tcPr>
          <w:p>
            <w:pPr>
              <w:jc w:val="center"/>
              <w:rPr>
                <w:snapToGrid w:val="0"/>
                <w:szCs w:val="24"/>
                <w:lang w:val="zh-CN"/>
              </w:rPr>
            </w:pPr>
            <w:r>
              <w:rPr>
                <w:rFonts w:hint="eastAsia"/>
                <w:snapToGrid w:val="0"/>
                <w:lang w:val="zh-CN"/>
              </w:rPr>
              <w:t>渗漏量（</w:t>
            </w:r>
            <w:r>
              <w:rPr>
                <w:snapToGrid w:val="0"/>
                <w:lang w:val="zh-CN"/>
              </w:rPr>
              <w:t>L/d</w:t>
            </w:r>
            <w:r>
              <w:rPr>
                <w:rFonts w:hint="eastAsia"/>
                <w:snapToGrid w:val="0"/>
                <w:lang w:val="zh-CN"/>
              </w:rPr>
              <w:t>）</w:t>
            </w:r>
          </w:p>
        </w:tc>
        <w:tc>
          <w:tcPr>
            <w:tcW w:w="872" w:type="pct"/>
            <w:vAlign w:val="center"/>
          </w:tcPr>
          <w:p>
            <w:pPr>
              <w:jc w:val="center"/>
              <w:rPr>
                <w:snapToGrid w:val="0"/>
                <w:szCs w:val="24"/>
                <w:lang w:val="zh-CN"/>
              </w:rPr>
            </w:pPr>
            <w:r>
              <w:rPr>
                <w:rFonts w:hint="eastAsia"/>
                <w:snapToGrid w:val="0"/>
                <w:lang w:val="zh-CN"/>
              </w:rPr>
              <w:t>浓度（</w:t>
            </w:r>
            <w:r>
              <w:rPr>
                <w:snapToGrid w:val="0"/>
                <w:lang w:val="zh-CN"/>
              </w:rPr>
              <w:t>mg/L</w:t>
            </w:r>
            <w:r>
              <w:rPr>
                <w:rFonts w:hint="eastAsia"/>
                <w:snapToGrid w:val="0"/>
                <w:lang w:val="zh-CN"/>
              </w:rPr>
              <w:t>）</w:t>
            </w:r>
          </w:p>
        </w:tc>
        <w:tc>
          <w:tcPr>
            <w:tcW w:w="822" w:type="pct"/>
            <w:vAlign w:val="center"/>
          </w:tcPr>
          <w:p>
            <w:pPr>
              <w:jc w:val="center"/>
              <w:rPr>
                <w:snapToGrid w:val="0"/>
                <w:szCs w:val="24"/>
                <w:lang w:val="zh-CN"/>
              </w:rPr>
            </w:pPr>
            <w:r>
              <w:rPr>
                <w:rFonts w:hint="eastAsia"/>
                <w:snapToGrid w:val="0"/>
                <w:lang w:val="zh-CN"/>
              </w:rPr>
              <w:t>污染物质量（</w:t>
            </w:r>
            <w:r>
              <w:rPr>
                <w:snapToGrid w:val="0"/>
                <w:lang w:val="zh-CN"/>
              </w:rPr>
              <w:t>kg/d</w:t>
            </w:r>
            <w:r>
              <w:rPr>
                <w:rFonts w:hint="eastAsia"/>
                <w:snapToGrid w:val="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Align w:val="center"/>
          </w:tcPr>
          <w:p>
            <w:pPr>
              <w:jc w:val="center"/>
              <w:rPr>
                <w:snapToGrid w:val="0"/>
                <w:szCs w:val="24"/>
                <w:lang w:val="zh-CN"/>
              </w:rPr>
            </w:pPr>
            <w:r>
              <w:rPr>
                <w:snapToGrid w:val="0"/>
                <w:lang w:val="zh-CN"/>
              </w:rPr>
              <w:t>COD</w:t>
            </w:r>
          </w:p>
        </w:tc>
        <w:tc>
          <w:tcPr>
            <w:tcW w:w="945" w:type="pct"/>
            <w:vMerge w:val="restart"/>
            <w:vAlign w:val="center"/>
          </w:tcPr>
          <w:p>
            <w:pPr>
              <w:jc w:val="center"/>
              <w:rPr>
                <w:snapToGrid w:val="0"/>
                <w:szCs w:val="24"/>
              </w:rPr>
            </w:pPr>
            <w:r>
              <w:rPr>
                <w:rFonts w:hint="eastAsia"/>
                <w:snapToGrid w:val="0"/>
              </w:rPr>
              <w:t>74</w:t>
            </w:r>
          </w:p>
        </w:tc>
        <w:tc>
          <w:tcPr>
            <w:tcW w:w="827" w:type="pct"/>
            <w:vMerge w:val="restart"/>
            <w:vAlign w:val="center"/>
          </w:tcPr>
          <w:p>
            <w:pPr>
              <w:jc w:val="center"/>
              <w:rPr>
                <w:snapToGrid w:val="0"/>
                <w:szCs w:val="24"/>
                <w:lang w:val="zh-CN"/>
              </w:rPr>
            </w:pPr>
            <w:r>
              <w:rPr>
                <w:snapToGrid w:val="0"/>
                <w:lang w:val="zh-CN"/>
              </w:rPr>
              <w:t>2</w:t>
            </w:r>
          </w:p>
        </w:tc>
        <w:tc>
          <w:tcPr>
            <w:tcW w:w="828" w:type="pct"/>
            <w:vMerge w:val="restart"/>
            <w:vAlign w:val="center"/>
          </w:tcPr>
          <w:p>
            <w:pPr>
              <w:jc w:val="center"/>
              <w:rPr>
                <w:snapToGrid w:val="0"/>
                <w:szCs w:val="24"/>
              </w:rPr>
            </w:pPr>
            <w:r>
              <w:rPr>
                <w:rFonts w:hint="eastAsia"/>
                <w:snapToGrid w:val="0"/>
              </w:rPr>
              <w:t>148</w:t>
            </w:r>
          </w:p>
        </w:tc>
        <w:tc>
          <w:tcPr>
            <w:tcW w:w="872" w:type="pct"/>
            <w:vAlign w:val="center"/>
          </w:tcPr>
          <w:p>
            <w:pPr>
              <w:jc w:val="center"/>
              <w:rPr>
                <w:snapToGrid w:val="0"/>
                <w:szCs w:val="24"/>
                <w:lang w:val="zh-CN"/>
              </w:rPr>
            </w:pPr>
            <w:r>
              <w:rPr>
                <w:rFonts w:hint="eastAsia"/>
                <w:snapToGrid w:val="0"/>
              </w:rPr>
              <w:t>123.7</w:t>
            </w:r>
          </w:p>
        </w:tc>
        <w:tc>
          <w:tcPr>
            <w:tcW w:w="822" w:type="pct"/>
            <w:vAlign w:val="center"/>
          </w:tcPr>
          <w:p>
            <w:pPr>
              <w:jc w:val="center"/>
              <w:rPr>
                <w:snapToGrid w:val="0"/>
                <w:szCs w:val="24"/>
              </w:rPr>
            </w:pPr>
            <w:r>
              <w:rPr>
                <w:snapToGrid w:val="0"/>
              </w:rPr>
              <w:t>0.01</w:t>
            </w:r>
            <w:r>
              <w:rPr>
                <w:rFonts w:hint="eastAsia"/>
                <w:snapToGrid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Align w:val="center"/>
          </w:tcPr>
          <w:p>
            <w:pPr>
              <w:jc w:val="center"/>
              <w:rPr>
                <w:snapToGrid w:val="0"/>
                <w:szCs w:val="24"/>
                <w:lang w:val="zh-CN"/>
              </w:rPr>
            </w:pPr>
            <w:r>
              <w:rPr>
                <w:rFonts w:hint="eastAsia"/>
                <w:snapToGrid w:val="0"/>
                <w:lang w:val="zh-CN"/>
              </w:rPr>
              <w:t>氨氮</w:t>
            </w:r>
          </w:p>
        </w:tc>
        <w:tc>
          <w:tcPr>
            <w:tcW w:w="945" w:type="pct"/>
            <w:vMerge w:val="continue"/>
            <w:vAlign w:val="center"/>
          </w:tcPr>
          <w:p>
            <w:pPr>
              <w:jc w:val="center"/>
              <w:rPr>
                <w:snapToGrid w:val="0"/>
                <w:szCs w:val="24"/>
              </w:rPr>
            </w:pPr>
          </w:p>
        </w:tc>
        <w:tc>
          <w:tcPr>
            <w:tcW w:w="827" w:type="pct"/>
            <w:vMerge w:val="continue"/>
            <w:vAlign w:val="center"/>
          </w:tcPr>
          <w:p>
            <w:pPr>
              <w:jc w:val="center"/>
              <w:rPr>
                <w:snapToGrid w:val="0"/>
                <w:szCs w:val="24"/>
                <w:lang w:val="zh-CN"/>
              </w:rPr>
            </w:pPr>
          </w:p>
        </w:tc>
        <w:tc>
          <w:tcPr>
            <w:tcW w:w="828" w:type="pct"/>
            <w:vMerge w:val="continue"/>
            <w:vAlign w:val="center"/>
          </w:tcPr>
          <w:p>
            <w:pPr>
              <w:jc w:val="center"/>
              <w:rPr>
                <w:snapToGrid w:val="0"/>
                <w:szCs w:val="24"/>
              </w:rPr>
            </w:pPr>
          </w:p>
        </w:tc>
        <w:tc>
          <w:tcPr>
            <w:tcW w:w="872" w:type="pct"/>
            <w:vAlign w:val="center"/>
          </w:tcPr>
          <w:p>
            <w:pPr>
              <w:jc w:val="center"/>
              <w:rPr>
                <w:snapToGrid w:val="0"/>
                <w:szCs w:val="24"/>
                <w:lang w:val="zh-CN"/>
              </w:rPr>
            </w:pPr>
            <w:r>
              <w:rPr>
                <w:rFonts w:hint="eastAsia"/>
                <w:snapToGrid w:val="0"/>
              </w:rPr>
              <w:t>5.7</w:t>
            </w:r>
          </w:p>
        </w:tc>
        <w:tc>
          <w:tcPr>
            <w:tcW w:w="822" w:type="pct"/>
            <w:vAlign w:val="center"/>
          </w:tcPr>
          <w:p>
            <w:pPr>
              <w:jc w:val="center"/>
              <w:rPr>
                <w:snapToGrid w:val="0"/>
                <w:szCs w:val="24"/>
              </w:rPr>
            </w:pPr>
            <w:r>
              <w:rPr>
                <w:snapToGrid w:val="0"/>
              </w:rPr>
              <w:t>0.00</w:t>
            </w:r>
            <w:r>
              <w:rPr>
                <w:rFonts w:hint="eastAsia"/>
                <w:snapToGrid w:val="0"/>
              </w:rPr>
              <w:t>08</w:t>
            </w:r>
          </w:p>
        </w:tc>
      </w:tr>
    </w:tbl>
    <w:p>
      <w:pPr>
        <w:adjustRightInd w:val="0"/>
        <w:snapToGrid w:val="0"/>
        <w:spacing w:line="480" w:lineRule="exact"/>
        <w:ind w:firstLine="480" w:firstLineChars="200"/>
        <w:rPr>
          <w:color w:val="000000"/>
          <w:sz w:val="24"/>
        </w:rPr>
      </w:pPr>
      <w:r>
        <w:rPr>
          <w:rFonts w:hint="eastAsia"/>
          <w:color w:val="000000"/>
          <w:sz w:val="24"/>
        </w:rPr>
        <w:t>（</w:t>
      </w:r>
      <w:r>
        <w:rPr>
          <w:color w:val="000000"/>
          <w:sz w:val="24"/>
        </w:rPr>
        <w:t>1</w:t>
      </w:r>
      <w:r>
        <w:rPr>
          <w:rFonts w:hint="eastAsia"/>
          <w:color w:val="000000"/>
          <w:sz w:val="24"/>
        </w:rPr>
        <w:t>）预测范围</w:t>
      </w:r>
    </w:p>
    <w:p>
      <w:pPr>
        <w:adjustRightInd w:val="0"/>
        <w:snapToGrid w:val="0"/>
        <w:spacing w:line="480" w:lineRule="exact"/>
        <w:ind w:firstLine="480" w:firstLineChars="200"/>
        <w:rPr>
          <w:color w:val="000000"/>
          <w:sz w:val="24"/>
        </w:rPr>
      </w:pPr>
      <w:r>
        <w:rPr>
          <w:rFonts w:hint="eastAsia"/>
          <w:color w:val="000000"/>
          <w:sz w:val="24"/>
        </w:rPr>
        <w:t>根据《环境影响评价技术导则</w:t>
      </w:r>
      <w:r>
        <w:rPr>
          <w:color w:val="000000"/>
          <w:sz w:val="24"/>
        </w:rPr>
        <w:t xml:space="preserve"> </w:t>
      </w:r>
      <w:r>
        <w:rPr>
          <w:rFonts w:hint="eastAsia"/>
          <w:color w:val="000000"/>
          <w:sz w:val="24"/>
        </w:rPr>
        <w:t>地下水环境》（</w:t>
      </w:r>
      <w:r>
        <w:rPr>
          <w:color w:val="000000"/>
          <w:sz w:val="24"/>
        </w:rPr>
        <w:t>HJ610-2016</w:t>
      </w:r>
      <w:r>
        <w:rPr>
          <w:rFonts w:hint="eastAsia"/>
          <w:color w:val="000000"/>
          <w:sz w:val="24"/>
        </w:rPr>
        <w:t>）的要求，本项目地下水评价等级为三级，评价范围为项目所在区域</w:t>
      </w:r>
      <w:r>
        <w:rPr>
          <w:color w:val="000000"/>
          <w:sz w:val="24"/>
        </w:rPr>
        <w:t>6km</w:t>
      </w:r>
      <w:r>
        <w:rPr>
          <w:color w:val="000000"/>
          <w:sz w:val="24"/>
          <w:vertAlign w:val="superscript"/>
        </w:rPr>
        <w:t>2</w:t>
      </w:r>
      <w:r>
        <w:rPr>
          <w:rFonts w:hint="eastAsia"/>
          <w:color w:val="000000"/>
          <w:sz w:val="24"/>
        </w:rPr>
        <w:t>，项目地下水流向上游</w:t>
      </w:r>
      <w:r>
        <w:rPr>
          <w:color w:val="000000"/>
          <w:sz w:val="24"/>
        </w:rPr>
        <w:t>1000m</w:t>
      </w:r>
      <w:r>
        <w:rPr>
          <w:rFonts w:hint="eastAsia"/>
          <w:color w:val="000000"/>
          <w:sz w:val="24"/>
        </w:rPr>
        <w:t>、下游</w:t>
      </w:r>
      <w:r>
        <w:rPr>
          <w:color w:val="000000"/>
          <w:sz w:val="24"/>
        </w:rPr>
        <w:t>2000m</w:t>
      </w:r>
      <w:r>
        <w:rPr>
          <w:rFonts w:hint="eastAsia"/>
          <w:color w:val="000000"/>
          <w:sz w:val="24"/>
        </w:rPr>
        <w:t>，两侧各</w:t>
      </w:r>
      <w:r>
        <w:rPr>
          <w:color w:val="000000"/>
          <w:sz w:val="24"/>
        </w:rPr>
        <w:t>1000m</w:t>
      </w:r>
      <w:r>
        <w:rPr>
          <w:rFonts w:hint="eastAsia"/>
          <w:color w:val="000000"/>
          <w:sz w:val="24"/>
        </w:rPr>
        <w:t>范围内的矩形区域。预测层位为地下水的潜水层。</w:t>
      </w:r>
    </w:p>
    <w:p>
      <w:pPr>
        <w:adjustRightInd w:val="0"/>
        <w:snapToGrid w:val="0"/>
        <w:spacing w:line="480" w:lineRule="exact"/>
        <w:ind w:firstLine="480" w:firstLineChars="200"/>
        <w:rPr>
          <w:color w:val="000000"/>
          <w:sz w:val="24"/>
        </w:rPr>
      </w:pPr>
      <w:r>
        <w:rPr>
          <w:rFonts w:hint="eastAsia"/>
          <w:color w:val="000000"/>
          <w:sz w:val="24"/>
        </w:rPr>
        <w:t>（</w:t>
      </w:r>
      <w:r>
        <w:rPr>
          <w:color w:val="000000"/>
          <w:sz w:val="24"/>
        </w:rPr>
        <w:t>2</w:t>
      </w:r>
      <w:r>
        <w:rPr>
          <w:rFonts w:hint="eastAsia"/>
          <w:color w:val="000000"/>
          <w:sz w:val="24"/>
        </w:rPr>
        <w:t>）预测时段</w:t>
      </w:r>
    </w:p>
    <w:p>
      <w:pPr>
        <w:adjustRightInd w:val="0"/>
        <w:snapToGrid w:val="0"/>
        <w:spacing w:line="480" w:lineRule="exact"/>
        <w:ind w:firstLine="480" w:firstLineChars="200"/>
        <w:rPr>
          <w:color w:val="000000"/>
          <w:sz w:val="24"/>
        </w:rPr>
      </w:pPr>
      <w:r>
        <w:rPr>
          <w:rFonts w:hint="eastAsia"/>
          <w:color w:val="000000"/>
          <w:sz w:val="24"/>
        </w:rPr>
        <w:t>结合地下水跟踪监测的频率（</w:t>
      </w:r>
      <w:r>
        <w:rPr>
          <w:color w:val="000000"/>
          <w:sz w:val="24"/>
        </w:rPr>
        <w:t>1</w:t>
      </w:r>
      <w:r>
        <w:rPr>
          <w:rFonts w:hint="eastAsia"/>
          <w:color w:val="000000"/>
          <w:sz w:val="24"/>
        </w:rPr>
        <w:t>次</w:t>
      </w:r>
      <w:r>
        <w:rPr>
          <w:color w:val="000000"/>
          <w:sz w:val="24"/>
        </w:rPr>
        <w:t>/</w:t>
      </w:r>
      <w:r>
        <w:rPr>
          <w:rFonts w:hint="eastAsia"/>
          <w:color w:val="000000"/>
          <w:sz w:val="24"/>
        </w:rPr>
        <w:t>年度），预测时段设定为污水处理站发生泄漏后的</w:t>
      </w:r>
      <w:r>
        <w:rPr>
          <w:color w:val="000000"/>
          <w:sz w:val="24"/>
        </w:rPr>
        <w:t>100</w:t>
      </w:r>
      <w:r>
        <w:rPr>
          <w:rFonts w:hint="eastAsia"/>
          <w:color w:val="000000"/>
          <w:sz w:val="24"/>
        </w:rPr>
        <w:t>天和</w:t>
      </w:r>
      <w:r>
        <w:rPr>
          <w:color w:val="000000"/>
          <w:sz w:val="24"/>
        </w:rPr>
        <w:t>1000</w:t>
      </w:r>
      <w:r>
        <w:rPr>
          <w:rFonts w:hint="eastAsia"/>
          <w:color w:val="000000"/>
          <w:sz w:val="24"/>
        </w:rPr>
        <w:t>天。</w:t>
      </w:r>
    </w:p>
    <w:p>
      <w:pPr>
        <w:adjustRightInd w:val="0"/>
        <w:snapToGrid w:val="0"/>
        <w:spacing w:line="480" w:lineRule="exact"/>
        <w:ind w:firstLine="480" w:firstLineChars="200"/>
        <w:rPr>
          <w:color w:val="000000"/>
          <w:sz w:val="24"/>
        </w:rPr>
      </w:pPr>
      <w:r>
        <w:rPr>
          <w:rFonts w:hint="eastAsia"/>
          <w:color w:val="000000"/>
          <w:sz w:val="24"/>
        </w:rPr>
        <w:t>（</w:t>
      </w:r>
      <w:r>
        <w:rPr>
          <w:color w:val="000000"/>
          <w:sz w:val="24"/>
        </w:rPr>
        <w:t>3</w:t>
      </w:r>
      <w:r>
        <w:rPr>
          <w:rFonts w:hint="eastAsia"/>
          <w:color w:val="000000"/>
          <w:sz w:val="24"/>
        </w:rPr>
        <w:t>）情景预设</w:t>
      </w:r>
    </w:p>
    <w:p>
      <w:pPr>
        <w:adjustRightInd w:val="0"/>
        <w:snapToGrid w:val="0"/>
        <w:spacing w:line="480" w:lineRule="exact"/>
        <w:ind w:firstLine="480" w:firstLineChars="200"/>
        <w:rPr>
          <w:color w:val="000000"/>
          <w:sz w:val="24"/>
        </w:rPr>
      </w:pPr>
      <w:r>
        <w:rPr>
          <w:rFonts w:hint="eastAsia"/>
          <w:color w:val="000000"/>
          <w:sz w:val="24"/>
        </w:rPr>
        <w:t>根据《环境影响评价技术导则</w:t>
      </w:r>
      <w:r>
        <w:rPr>
          <w:color w:val="000000"/>
          <w:sz w:val="24"/>
        </w:rPr>
        <w:t xml:space="preserve"> </w:t>
      </w:r>
      <w:r>
        <w:rPr>
          <w:rFonts w:hint="eastAsia"/>
          <w:color w:val="000000"/>
          <w:sz w:val="24"/>
        </w:rPr>
        <w:t>地下水环境》（</w:t>
      </w:r>
      <w:r>
        <w:rPr>
          <w:color w:val="000000"/>
          <w:sz w:val="24"/>
        </w:rPr>
        <w:t>HJ 610-2016</w:t>
      </w:r>
      <w:r>
        <w:rPr>
          <w:rFonts w:hint="eastAsia"/>
          <w:color w:val="000000"/>
          <w:sz w:val="24"/>
        </w:rPr>
        <w:t>）已设计地下水污染防渗措施的建设项目，可不进行正常状况情景下的预测。本项目采取防渗措施的基础上，在正常工况状态下，不会有大量污水泄漏，不会对地下水造成污染。因此本项目的预测时段确定为非正常状况。</w:t>
      </w:r>
    </w:p>
    <w:p>
      <w:pPr>
        <w:adjustRightInd w:val="0"/>
        <w:snapToGrid w:val="0"/>
        <w:spacing w:line="480" w:lineRule="exact"/>
        <w:ind w:firstLine="480" w:firstLineChars="200"/>
        <w:rPr>
          <w:color w:val="000000"/>
          <w:sz w:val="24"/>
        </w:rPr>
      </w:pPr>
      <w:r>
        <w:rPr>
          <w:rFonts w:hint="eastAsia"/>
          <w:color w:val="000000"/>
          <w:sz w:val="24"/>
        </w:rPr>
        <w:t>本项目泄漏可能对地下水产生影响构筑物为调节池、生物接触氧化池、沉淀池、消毒池、贮水池，其中，贮水池的贮存量最大，结合本项目特点，本项目应重点关注贮水池泄漏对地下水的影响，正常运营状态下不会有污水泄漏，当因防渗膜破裂等突发情况和非正常状况下可能造成污水泄漏，本项目针对非正常状况下进行地下水环境影响预测。</w:t>
      </w:r>
    </w:p>
    <w:p>
      <w:pPr>
        <w:adjustRightInd w:val="0"/>
        <w:snapToGrid w:val="0"/>
        <w:spacing w:line="480" w:lineRule="exact"/>
        <w:ind w:firstLine="480" w:firstLineChars="200"/>
        <w:rPr>
          <w:color w:val="000000"/>
          <w:sz w:val="24"/>
        </w:rPr>
      </w:pPr>
      <w:r>
        <w:rPr>
          <w:rFonts w:hint="eastAsia"/>
          <w:color w:val="000000"/>
          <w:sz w:val="24"/>
        </w:rPr>
        <w:t>（</w:t>
      </w:r>
      <w:r>
        <w:rPr>
          <w:color w:val="000000"/>
          <w:sz w:val="24"/>
        </w:rPr>
        <w:t>4</w:t>
      </w:r>
      <w:r>
        <w:rPr>
          <w:rFonts w:hint="eastAsia"/>
          <w:color w:val="000000"/>
          <w:sz w:val="24"/>
        </w:rPr>
        <w:t>）预测因子</w:t>
      </w:r>
    </w:p>
    <w:p>
      <w:pPr>
        <w:adjustRightInd w:val="0"/>
        <w:snapToGrid w:val="0"/>
        <w:spacing w:line="480" w:lineRule="exact"/>
        <w:ind w:firstLine="480" w:firstLineChars="200"/>
        <w:rPr>
          <w:color w:val="000000"/>
          <w:sz w:val="24"/>
        </w:rPr>
      </w:pPr>
      <w:r>
        <w:rPr>
          <w:rFonts w:hint="eastAsia"/>
          <w:color w:val="000000"/>
          <w:sz w:val="24"/>
        </w:rPr>
        <w:t>本项目不涉及重金属，污水中主要污染物因子为</w:t>
      </w:r>
      <w:r>
        <w:rPr>
          <w:color w:val="000000"/>
          <w:sz w:val="24"/>
        </w:rPr>
        <w:t>COD</w:t>
      </w:r>
      <w:r>
        <w:rPr>
          <w:rFonts w:hint="eastAsia"/>
          <w:color w:val="000000"/>
          <w:sz w:val="24"/>
        </w:rPr>
        <w:t>、氨氮、总氮、总磷、</w:t>
      </w:r>
      <w:r>
        <w:rPr>
          <w:color w:val="000000"/>
          <w:sz w:val="24"/>
        </w:rPr>
        <w:t>BOD</w:t>
      </w:r>
      <w:r>
        <w:rPr>
          <w:color w:val="000000"/>
          <w:sz w:val="24"/>
          <w:vertAlign w:val="subscript"/>
        </w:rPr>
        <w:t>5</w:t>
      </w:r>
      <w:r>
        <w:rPr>
          <w:rFonts w:hint="eastAsia"/>
          <w:color w:val="000000"/>
          <w:sz w:val="24"/>
        </w:rPr>
        <w:t>，选取标准指数较大的</w:t>
      </w:r>
      <w:r>
        <w:rPr>
          <w:color w:val="000000"/>
          <w:sz w:val="24"/>
        </w:rPr>
        <w:t>COD</w:t>
      </w:r>
      <w:r>
        <w:rPr>
          <w:rFonts w:hint="eastAsia"/>
          <w:color w:val="000000"/>
          <w:sz w:val="24"/>
        </w:rPr>
        <w:t>和氨氮作为预测因子。氨氮评价标准参照《地下水质量标准》（</w:t>
      </w:r>
      <w:r>
        <w:rPr>
          <w:color w:val="000000"/>
          <w:sz w:val="24"/>
        </w:rPr>
        <w:t>GB/T14848-2017</w:t>
      </w:r>
      <w:r>
        <w:rPr>
          <w:rFonts w:hint="eastAsia"/>
          <w:color w:val="000000"/>
          <w:sz w:val="24"/>
        </w:rPr>
        <w:t>）</w:t>
      </w:r>
      <w:r>
        <w:rPr>
          <w:color w:val="000000"/>
          <w:sz w:val="24"/>
        </w:rPr>
        <w:t>Ш</w:t>
      </w:r>
      <w:r>
        <w:rPr>
          <w:rFonts w:hint="eastAsia"/>
          <w:color w:val="000000"/>
          <w:sz w:val="24"/>
        </w:rPr>
        <w:t>类标准，</w:t>
      </w:r>
      <w:r>
        <w:rPr>
          <w:color w:val="000000"/>
          <w:sz w:val="24"/>
        </w:rPr>
        <w:t>COD</w:t>
      </w:r>
      <w:r>
        <w:rPr>
          <w:rFonts w:hint="eastAsia"/>
          <w:color w:val="000000"/>
          <w:sz w:val="24"/>
        </w:rPr>
        <w:t>不属于《地下水质量标准》（</w:t>
      </w:r>
      <w:r>
        <w:rPr>
          <w:color w:val="000000"/>
          <w:sz w:val="24"/>
        </w:rPr>
        <w:t>GB/T14848-2017</w:t>
      </w:r>
      <w:r>
        <w:rPr>
          <w:rFonts w:hint="eastAsia"/>
          <w:color w:val="000000"/>
          <w:sz w:val="24"/>
        </w:rPr>
        <w:t>）水质指标的评价因子，因此</w:t>
      </w:r>
      <w:r>
        <w:rPr>
          <w:color w:val="000000"/>
          <w:sz w:val="24"/>
        </w:rPr>
        <w:t>COD</w:t>
      </w:r>
      <w:r>
        <w:rPr>
          <w:rFonts w:hint="eastAsia"/>
          <w:color w:val="000000"/>
          <w:sz w:val="24"/>
        </w:rPr>
        <w:t>评价标准参照《地表水环境质量标准》（</w:t>
      </w:r>
      <w:r>
        <w:rPr>
          <w:color w:val="000000"/>
          <w:sz w:val="24"/>
        </w:rPr>
        <w:t>GB3838-2002</w:t>
      </w:r>
      <w:r>
        <w:rPr>
          <w:rFonts w:hint="eastAsia"/>
          <w:color w:val="000000"/>
          <w:sz w:val="24"/>
        </w:rPr>
        <w:t>）。</w:t>
      </w:r>
    </w:p>
    <w:p>
      <w:pPr>
        <w:adjustRightInd w:val="0"/>
        <w:snapToGrid w:val="0"/>
        <w:spacing w:line="480" w:lineRule="exact"/>
        <w:ind w:firstLine="480" w:firstLineChars="200"/>
        <w:rPr>
          <w:color w:val="000000"/>
          <w:sz w:val="24"/>
        </w:rPr>
      </w:pPr>
      <w:r>
        <w:rPr>
          <w:rFonts w:hint="eastAsia"/>
          <w:color w:val="000000"/>
          <w:sz w:val="24"/>
        </w:rPr>
        <w:t>（</w:t>
      </w:r>
      <w:r>
        <w:rPr>
          <w:color w:val="000000"/>
          <w:sz w:val="24"/>
        </w:rPr>
        <w:t>5</w:t>
      </w:r>
      <w:r>
        <w:rPr>
          <w:rFonts w:hint="eastAsia"/>
          <w:color w:val="000000"/>
          <w:sz w:val="24"/>
        </w:rPr>
        <w:t>）预测层位</w:t>
      </w:r>
    </w:p>
    <w:p>
      <w:pPr>
        <w:adjustRightInd w:val="0"/>
        <w:snapToGrid w:val="0"/>
        <w:spacing w:line="480" w:lineRule="exact"/>
        <w:ind w:firstLine="480" w:firstLineChars="200"/>
        <w:rPr>
          <w:color w:val="000000"/>
          <w:sz w:val="24"/>
        </w:rPr>
      </w:pPr>
      <w:r>
        <w:rPr>
          <w:rFonts w:hint="eastAsia"/>
          <w:color w:val="000000"/>
          <w:sz w:val="24"/>
        </w:rPr>
        <w:t>污水渗漏主要的污染层位为上部潜水含水层。</w:t>
      </w:r>
    </w:p>
    <w:p>
      <w:pPr>
        <w:adjustRightInd w:val="0"/>
        <w:snapToGrid w:val="0"/>
        <w:spacing w:line="480" w:lineRule="exact"/>
        <w:ind w:firstLine="480" w:firstLineChars="200"/>
        <w:rPr>
          <w:color w:val="000000"/>
          <w:sz w:val="24"/>
        </w:rPr>
      </w:pPr>
      <w:r>
        <w:rPr>
          <w:rFonts w:hint="eastAsia"/>
          <w:color w:val="000000"/>
          <w:sz w:val="24"/>
        </w:rPr>
        <w:t>（</w:t>
      </w:r>
      <w:r>
        <w:rPr>
          <w:color w:val="000000"/>
          <w:sz w:val="24"/>
        </w:rPr>
        <w:t>6</w:t>
      </w:r>
      <w:r>
        <w:rPr>
          <w:rFonts w:hint="eastAsia"/>
          <w:color w:val="000000"/>
          <w:sz w:val="24"/>
        </w:rPr>
        <w:t>）预测模式</w:t>
      </w:r>
    </w:p>
    <w:p>
      <w:pPr>
        <w:adjustRightInd w:val="0"/>
        <w:snapToGrid w:val="0"/>
        <w:spacing w:line="480" w:lineRule="exact"/>
        <w:ind w:firstLine="480" w:firstLineChars="200"/>
        <w:rPr>
          <w:color w:val="000000"/>
          <w:sz w:val="24"/>
        </w:rPr>
      </w:pPr>
      <w:r>
        <w:rPr>
          <w:rFonts w:hint="eastAsia"/>
          <w:color w:val="000000"/>
          <w:sz w:val="24"/>
        </w:rPr>
        <w:t>根据《环境影响评价技术导则</w:t>
      </w:r>
      <w:r>
        <w:rPr>
          <w:color w:val="000000"/>
          <w:sz w:val="24"/>
        </w:rPr>
        <w:t xml:space="preserve"> </w:t>
      </w:r>
      <w:r>
        <w:rPr>
          <w:rFonts w:hint="eastAsia"/>
          <w:color w:val="000000"/>
          <w:sz w:val="24"/>
        </w:rPr>
        <w:t>地下水环境》（</w:t>
      </w:r>
      <w:r>
        <w:rPr>
          <w:color w:val="000000"/>
          <w:sz w:val="24"/>
        </w:rPr>
        <w:t>HJ610-2016</w:t>
      </w:r>
      <w:r>
        <w:rPr>
          <w:rFonts w:hint="eastAsia"/>
          <w:color w:val="000000"/>
          <w:sz w:val="24"/>
        </w:rPr>
        <w:t>）要求，地下水环境影响评价三级评价预测方法可以选用解析法。根据本项目地下水的污染特性选用“一维半无限长多孔介质柱体，一端为定浓度边界”预测模型，公式如下。</w:t>
      </w:r>
    </w:p>
    <w:p>
      <w:pPr>
        <w:adjustRightInd w:val="0"/>
        <w:snapToGrid w:val="0"/>
        <w:jc w:val="center"/>
        <w:rPr>
          <w:color w:val="000000"/>
          <w:sz w:val="24"/>
        </w:rPr>
      </w:pPr>
      <w:r>
        <w:drawing>
          <wp:inline distT="0" distB="0" distL="0" distR="0">
            <wp:extent cx="3219450" cy="762000"/>
            <wp:effectExtent l="19050" t="0" r="0"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noChangeArrowheads="1"/>
                    </pic:cNvPicPr>
                  </pic:nvPicPr>
                  <pic:blipFill>
                    <a:blip r:embed="rId35"/>
                    <a:srcRect/>
                    <a:stretch>
                      <a:fillRect/>
                    </a:stretch>
                  </pic:blipFill>
                  <pic:spPr>
                    <a:xfrm>
                      <a:off x="0" y="0"/>
                      <a:ext cx="3219450" cy="762000"/>
                    </a:xfrm>
                    <a:prstGeom prst="rect">
                      <a:avLst/>
                    </a:prstGeom>
                    <a:noFill/>
                    <a:ln w="9525">
                      <a:noFill/>
                      <a:miter lim="800000"/>
                      <a:headEnd/>
                      <a:tailEnd/>
                    </a:ln>
                  </pic:spPr>
                </pic:pic>
              </a:graphicData>
            </a:graphic>
          </wp:inline>
        </w:drawing>
      </w:r>
    </w:p>
    <w:p>
      <w:pPr>
        <w:adjustRightInd w:val="0"/>
        <w:snapToGrid w:val="0"/>
        <w:spacing w:line="480" w:lineRule="exact"/>
        <w:ind w:firstLine="480" w:firstLineChars="200"/>
        <w:rPr>
          <w:bCs/>
          <w:color w:val="000000"/>
          <w:sz w:val="24"/>
        </w:rPr>
      </w:pPr>
      <w:r>
        <w:rPr>
          <w:rFonts w:hint="eastAsia"/>
          <w:bCs/>
          <w:color w:val="000000"/>
          <w:sz w:val="24"/>
        </w:rPr>
        <w:t>式中：</w:t>
      </w:r>
      <w:r>
        <w:rPr>
          <w:bCs/>
          <w:i/>
          <w:color w:val="000000"/>
          <w:sz w:val="24"/>
        </w:rPr>
        <w:t>x</w:t>
      </w:r>
      <w:r>
        <w:rPr>
          <w:bCs/>
          <w:color w:val="000000"/>
          <w:sz w:val="24"/>
        </w:rPr>
        <w:t>—</w:t>
      </w:r>
      <w:r>
        <w:rPr>
          <w:rFonts w:hint="eastAsia"/>
          <w:bCs/>
          <w:color w:val="000000"/>
          <w:sz w:val="24"/>
        </w:rPr>
        <w:t>距注入点的距离，</w:t>
      </w:r>
      <w:r>
        <w:rPr>
          <w:bCs/>
          <w:color w:val="000000"/>
          <w:sz w:val="24"/>
        </w:rPr>
        <w:t>m</w:t>
      </w:r>
      <w:r>
        <w:rPr>
          <w:rFonts w:hint="eastAsia"/>
          <w:bCs/>
          <w:color w:val="000000"/>
          <w:sz w:val="24"/>
        </w:rPr>
        <w:t>；</w:t>
      </w:r>
    </w:p>
    <w:p>
      <w:pPr>
        <w:adjustRightInd w:val="0"/>
        <w:snapToGrid w:val="0"/>
        <w:spacing w:line="480" w:lineRule="exact"/>
        <w:ind w:firstLine="480" w:firstLineChars="200"/>
        <w:rPr>
          <w:bCs/>
          <w:color w:val="000000"/>
          <w:sz w:val="24"/>
        </w:rPr>
      </w:pPr>
      <w:r>
        <w:rPr>
          <w:bCs/>
          <w:i/>
          <w:color w:val="000000"/>
          <w:sz w:val="24"/>
        </w:rPr>
        <w:t>t</w:t>
      </w:r>
      <w:r>
        <w:rPr>
          <w:bCs/>
          <w:color w:val="000000"/>
          <w:sz w:val="24"/>
        </w:rPr>
        <w:t>—</w:t>
      </w:r>
      <w:r>
        <w:rPr>
          <w:rFonts w:hint="eastAsia"/>
          <w:bCs/>
          <w:color w:val="000000"/>
          <w:sz w:val="24"/>
        </w:rPr>
        <w:t>时间，</w:t>
      </w:r>
      <w:r>
        <w:rPr>
          <w:bCs/>
          <w:color w:val="000000"/>
          <w:sz w:val="24"/>
        </w:rPr>
        <w:t>d</w:t>
      </w:r>
      <w:r>
        <w:rPr>
          <w:rFonts w:hint="eastAsia"/>
          <w:bCs/>
          <w:color w:val="000000"/>
          <w:sz w:val="24"/>
        </w:rPr>
        <w:t>；</w:t>
      </w:r>
    </w:p>
    <w:p>
      <w:pPr>
        <w:adjustRightInd w:val="0"/>
        <w:snapToGrid w:val="0"/>
        <w:spacing w:line="480" w:lineRule="exact"/>
        <w:ind w:firstLine="480" w:firstLineChars="200"/>
        <w:rPr>
          <w:bCs/>
          <w:color w:val="000000"/>
          <w:sz w:val="24"/>
        </w:rPr>
      </w:pPr>
      <w:r>
        <w:rPr>
          <w:bCs/>
          <w:i/>
          <w:color w:val="000000"/>
          <w:sz w:val="24"/>
        </w:rPr>
        <w:t>C</w:t>
      </w:r>
      <w:r>
        <w:rPr>
          <w:bCs/>
          <w:color w:val="000000"/>
          <w:sz w:val="24"/>
        </w:rPr>
        <w:t>(</w:t>
      </w:r>
      <w:r>
        <w:rPr>
          <w:bCs/>
          <w:i/>
          <w:color w:val="000000"/>
          <w:sz w:val="24"/>
        </w:rPr>
        <w:t>x</w:t>
      </w:r>
      <w:r>
        <w:rPr>
          <w:bCs/>
          <w:color w:val="000000"/>
          <w:sz w:val="24"/>
        </w:rPr>
        <w:t>,</w:t>
      </w:r>
      <w:r>
        <w:rPr>
          <w:bCs/>
          <w:i/>
          <w:color w:val="000000"/>
          <w:sz w:val="24"/>
        </w:rPr>
        <w:t>t</w:t>
      </w:r>
      <w:r>
        <w:rPr>
          <w:bCs/>
          <w:color w:val="000000"/>
          <w:sz w:val="24"/>
        </w:rPr>
        <w:t>)—t</w:t>
      </w:r>
      <w:r>
        <w:rPr>
          <w:rFonts w:hint="eastAsia"/>
          <w:bCs/>
          <w:color w:val="000000"/>
          <w:sz w:val="24"/>
        </w:rPr>
        <w:t>时刻点</w:t>
      </w:r>
      <w:r>
        <w:rPr>
          <w:bCs/>
          <w:color w:val="000000"/>
          <w:sz w:val="24"/>
        </w:rPr>
        <w:t>x</w:t>
      </w:r>
      <w:r>
        <w:rPr>
          <w:rFonts w:hint="eastAsia"/>
          <w:bCs/>
          <w:color w:val="000000"/>
          <w:sz w:val="24"/>
        </w:rPr>
        <w:t>处的示踪剂浓度，</w:t>
      </w:r>
      <w:r>
        <w:rPr>
          <w:bCs/>
          <w:color w:val="000000"/>
          <w:sz w:val="24"/>
        </w:rPr>
        <w:t>g/L</w:t>
      </w:r>
      <w:r>
        <w:rPr>
          <w:rFonts w:hint="eastAsia"/>
          <w:bCs/>
          <w:color w:val="000000"/>
          <w:sz w:val="24"/>
        </w:rPr>
        <w:t>；</w:t>
      </w:r>
    </w:p>
    <w:p>
      <w:pPr>
        <w:adjustRightInd w:val="0"/>
        <w:snapToGrid w:val="0"/>
        <w:spacing w:line="480" w:lineRule="exact"/>
        <w:ind w:firstLine="480" w:firstLineChars="200"/>
        <w:rPr>
          <w:bCs/>
          <w:color w:val="000000"/>
          <w:sz w:val="24"/>
        </w:rPr>
      </w:pPr>
      <w:r>
        <w:rPr>
          <w:bCs/>
          <w:i/>
          <w:color w:val="000000"/>
          <w:sz w:val="24"/>
        </w:rPr>
        <w:t>C</w:t>
      </w:r>
      <w:r>
        <w:rPr>
          <w:bCs/>
          <w:color w:val="000000"/>
          <w:sz w:val="24"/>
          <w:vertAlign w:val="subscript"/>
        </w:rPr>
        <w:t>0</w:t>
      </w:r>
      <w:r>
        <w:rPr>
          <w:bCs/>
          <w:color w:val="000000"/>
          <w:sz w:val="24"/>
        </w:rPr>
        <w:t>—</w:t>
      </w:r>
      <w:r>
        <w:rPr>
          <w:rFonts w:hint="eastAsia"/>
          <w:bCs/>
          <w:color w:val="000000"/>
          <w:sz w:val="24"/>
        </w:rPr>
        <w:t>注入示踪剂浓度，</w:t>
      </w:r>
      <w:r>
        <w:rPr>
          <w:bCs/>
          <w:color w:val="000000"/>
          <w:sz w:val="24"/>
        </w:rPr>
        <w:t>g/L</w:t>
      </w:r>
      <w:r>
        <w:rPr>
          <w:rFonts w:hint="eastAsia"/>
          <w:bCs/>
          <w:color w:val="000000"/>
          <w:sz w:val="24"/>
        </w:rPr>
        <w:t>；</w:t>
      </w:r>
    </w:p>
    <w:p>
      <w:pPr>
        <w:adjustRightInd w:val="0"/>
        <w:snapToGrid w:val="0"/>
        <w:spacing w:line="480" w:lineRule="exact"/>
        <w:ind w:firstLine="480" w:firstLineChars="200"/>
        <w:rPr>
          <w:bCs/>
          <w:color w:val="000000"/>
          <w:sz w:val="24"/>
        </w:rPr>
      </w:pPr>
      <w:r>
        <w:rPr>
          <w:bCs/>
          <w:i/>
          <w:color w:val="000000"/>
          <w:sz w:val="24"/>
        </w:rPr>
        <w:t>u</w:t>
      </w:r>
      <w:r>
        <w:rPr>
          <w:bCs/>
          <w:color w:val="000000"/>
          <w:sz w:val="24"/>
        </w:rPr>
        <w:t>—</w:t>
      </w:r>
      <w:r>
        <w:rPr>
          <w:rFonts w:hint="eastAsia"/>
          <w:bCs/>
          <w:color w:val="000000"/>
          <w:sz w:val="24"/>
        </w:rPr>
        <w:t>水流速度，</w:t>
      </w:r>
      <w:r>
        <w:rPr>
          <w:bCs/>
          <w:color w:val="000000"/>
          <w:sz w:val="24"/>
        </w:rPr>
        <w:t>m/d</w:t>
      </w:r>
      <w:r>
        <w:rPr>
          <w:rFonts w:hint="eastAsia"/>
          <w:bCs/>
          <w:color w:val="000000"/>
          <w:sz w:val="24"/>
        </w:rPr>
        <w:t>；</w:t>
      </w:r>
    </w:p>
    <w:p>
      <w:pPr>
        <w:adjustRightInd w:val="0"/>
        <w:snapToGrid w:val="0"/>
        <w:spacing w:line="480" w:lineRule="exact"/>
        <w:ind w:firstLine="480" w:firstLineChars="200"/>
        <w:rPr>
          <w:color w:val="000000"/>
          <w:sz w:val="24"/>
        </w:rPr>
      </w:pPr>
      <w:r>
        <w:rPr>
          <w:i/>
          <w:color w:val="000000"/>
          <w:sz w:val="24"/>
        </w:rPr>
        <w:t>D</w:t>
      </w:r>
      <w:r>
        <w:rPr>
          <w:color w:val="000000"/>
          <w:sz w:val="24"/>
          <w:vertAlign w:val="subscript"/>
        </w:rPr>
        <w:t>L</w:t>
      </w:r>
      <w:r>
        <w:rPr>
          <w:color w:val="000000"/>
          <w:sz w:val="24"/>
        </w:rPr>
        <w:t>—</w:t>
      </w:r>
      <w:r>
        <w:rPr>
          <w:rFonts w:hint="eastAsia"/>
          <w:color w:val="000000"/>
          <w:sz w:val="24"/>
        </w:rPr>
        <w:t>纵向弥散系数，</w:t>
      </w:r>
      <w:r>
        <w:rPr>
          <w:color w:val="000000"/>
          <w:sz w:val="24"/>
        </w:rPr>
        <w:t>m</w:t>
      </w:r>
      <w:r>
        <w:rPr>
          <w:color w:val="000000"/>
          <w:sz w:val="24"/>
          <w:vertAlign w:val="superscript"/>
        </w:rPr>
        <w:t>2</w:t>
      </w:r>
      <w:r>
        <w:rPr>
          <w:color w:val="000000"/>
          <w:sz w:val="24"/>
        </w:rPr>
        <w:t>/d</w:t>
      </w:r>
      <w:r>
        <w:rPr>
          <w:rFonts w:hint="eastAsia"/>
          <w:color w:val="000000"/>
          <w:sz w:val="24"/>
        </w:rPr>
        <w:t>；</w:t>
      </w:r>
    </w:p>
    <w:p>
      <w:pPr>
        <w:adjustRightInd w:val="0"/>
        <w:snapToGrid w:val="0"/>
        <w:spacing w:line="480" w:lineRule="exact"/>
        <w:ind w:firstLine="480" w:firstLineChars="200"/>
        <w:rPr>
          <w:color w:val="000000"/>
          <w:sz w:val="24"/>
        </w:rPr>
      </w:pPr>
      <w:r>
        <w:rPr>
          <w:color w:val="000000"/>
          <w:sz w:val="24"/>
        </w:rPr>
        <w:t>erfc()—</w:t>
      </w:r>
      <w:r>
        <w:rPr>
          <w:rFonts w:hint="eastAsia"/>
          <w:color w:val="000000"/>
          <w:sz w:val="24"/>
        </w:rPr>
        <w:t>余差数函数；</w:t>
      </w:r>
    </w:p>
    <w:p>
      <w:pPr>
        <w:adjustRightInd w:val="0"/>
        <w:snapToGrid w:val="0"/>
        <w:spacing w:line="480" w:lineRule="exact"/>
        <w:ind w:firstLine="480" w:firstLineChars="200"/>
        <w:rPr>
          <w:color w:val="000000"/>
          <w:sz w:val="24"/>
        </w:rPr>
      </w:pPr>
      <w:r>
        <w:rPr>
          <w:rFonts w:hint="eastAsia"/>
          <w:color w:val="000000"/>
          <w:sz w:val="24"/>
        </w:rPr>
        <w:t>（</w:t>
      </w:r>
      <w:r>
        <w:rPr>
          <w:color w:val="000000"/>
          <w:sz w:val="24"/>
        </w:rPr>
        <w:t>8</w:t>
      </w:r>
      <w:r>
        <w:rPr>
          <w:rFonts w:hint="eastAsia"/>
          <w:color w:val="000000"/>
          <w:sz w:val="24"/>
        </w:rPr>
        <w:t>）预测结果</w:t>
      </w:r>
    </w:p>
    <w:p>
      <w:pPr>
        <w:adjustRightInd w:val="0"/>
        <w:snapToGrid w:val="0"/>
        <w:spacing w:line="480" w:lineRule="exact"/>
        <w:ind w:firstLine="480" w:firstLineChars="200"/>
        <w:rPr>
          <w:color w:val="000000"/>
          <w:sz w:val="24"/>
        </w:rPr>
      </w:pPr>
      <w:r>
        <w:rPr>
          <w:rFonts w:hint="eastAsia"/>
          <w:color w:val="000000"/>
          <w:sz w:val="24"/>
        </w:rPr>
        <w:t>预测计算结果见表5.2-14及图5.2-2。</w:t>
      </w:r>
    </w:p>
    <w:p>
      <w:pPr>
        <w:adjustRightInd w:val="0"/>
        <w:snapToGrid w:val="0"/>
        <w:spacing w:line="480" w:lineRule="exact"/>
        <w:jc w:val="center"/>
        <w:rPr>
          <w:color w:val="000000"/>
          <w:sz w:val="24"/>
        </w:rPr>
      </w:pPr>
      <w:r>
        <w:rPr>
          <w:rFonts w:hint="eastAsia"/>
          <w:color w:val="000000"/>
          <w:sz w:val="24"/>
        </w:rPr>
        <w:t>表</w:t>
      </w:r>
      <w:r>
        <w:rPr>
          <w:color w:val="000000"/>
          <w:sz w:val="24"/>
        </w:rPr>
        <w:t>5</w:t>
      </w:r>
      <w:r>
        <w:rPr>
          <w:rFonts w:hint="eastAsia"/>
          <w:color w:val="000000"/>
          <w:sz w:val="24"/>
        </w:rPr>
        <w:t>.2-14</w:t>
      </w:r>
      <w:r>
        <w:rPr>
          <w:color w:val="000000"/>
          <w:sz w:val="24"/>
        </w:rPr>
        <w:t xml:space="preserve">  100d</w:t>
      </w:r>
      <w:r>
        <w:rPr>
          <w:rFonts w:hint="eastAsia"/>
          <w:color w:val="000000"/>
          <w:sz w:val="24"/>
        </w:rPr>
        <w:t>和</w:t>
      </w:r>
      <w:r>
        <w:rPr>
          <w:color w:val="000000"/>
          <w:sz w:val="24"/>
        </w:rPr>
        <w:t>1000d</w:t>
      </w:r>
      <w:r>
        <w:rPr>
          <w:rFonts w:hint="eastAsia"/>
          <w:color w:val="000000"/>
          <w:sz w:val="24"/>
        </w:rPr>
        <w:t>地下水中污染物迁移情况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480"/>
        <w:gridCol w:w="812"/>
        <w:gridCol w:w="1430"/>
        <w:gridCol w:w="866"/>
        <w:gridCol w:w="1375"/>
        <w:gridCol w:w="810"/>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01" w:type="pct"/>
            <w:gridSpan w:val="4"/>
            <w:vAlign w:val="center"/>
          </w:tcPr>
          <w:p>
            <w:pPr>
              <w:pStyle w:val="128"/>
              <w:spacing w:line="360" w:lineRule="exact"/>
              <w:rPr>
                <w:rFonts w:ascii="Times New Roman" w:hAnsi="Times New Roman"/>
                <w:snapToGrid w:val="0"/>
                <w:kern w:val="0"/>
                <w:szCs w:val="21"/>
              </w:rPr>
            </w:pPr>
            <w:r>
              <w:rPr>
                <w:rFonts w:hint="eastAsia" w:ascii="Times New Roman" w:hAnsi="Times New Roman"/>
                <w:snapToGrid w:val="0"/>
                <w:kern w:val="0"/>
                <w:szCs w:val="21"/>
              </w:rPr>
              <w:t>氨氮</w:t>
            </w:r>
          </w:p>
        </w:tc>
        <w:tc>
          <w:tcPr>
            <w:tcW w:w="2499" w:type="pct"/>
            <w:gridSpan w:val="4"/>
            <w:vAlign w:val="center"/>
          </w:tcPr>
          <w:p>
            <w:pPr>
              <w:pStyle w:val="128"/>
              <w:spacing w:line="360" w:lineRule="exact"/>
              <w:rPr>
                <w:rFonts w:ascii="Times New Roman" w:hAnsi="Times New Roman"/>
                <w:snapToGrid w:val="0"/>
                <w:kern w:val="0"/>
                <w:szCs w:val="24"/>
              </w:rPr>
            </w:pPr>
            <w:r>
              <w:rPr>
                <w:rFonts w:ascii="Times New Roman" w:hAnsi="Times New Roman"/>
                <w:snapToGrid w:val="0"/>
                <w:kern w:val="0"/>
                <w:szCs w:val="24"/>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264" w:type="pct"/>
            <w:gridSpan w:val="2"/>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100d</w:t>
            </w:r>
            <w:r>
              <w:rPr>
                <w:rFonts w:hint="eastAsia" w:ascii="Times New Roman" w:hAnsi="Times New Roman"/>
                <w:snapToGrid w:val="0"/>
                <w:kern w:val="0"/>
                <w:szCs w:val="21"/>
              </w:rPr>
              <w:t>污染物迁移结果</w:t>
            </w:r>
          </w:p>
        </w:tc>
        <w:tc>
          <w:tcPr>
            <w:tcW w:w="1237" w:type="pct"/>
            <w:gridSpan w:val="2"/>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1000d</w:t>
            </w:r>
            <w:r>
              <w:rPr>
                <w:rFonts w:hint="eastAsia" w:ascii="Times New Roman" w:hAnsi="Times New Roman"/>
                <w:snapToGrid w:val="0"/>
                <w:kern w:val="0"/>
                <w:szCs w:val="21"/>
              </w:rPr>
              <w:t>污染物迁移结果</w:t>
            </w:r>
          </w:p>
        </w:tc>
        <w:tc>
          <w:tcPr>
            <w:tcW w:w="1237" w:type="pct"/>
            <w:gridSpan w:val="2"/>
            <w:vAlign w:val="center"/>
          </w:tcPr>
          <w:p>
            <w:pPr>
              <w:pStyle w:val="128"/>
              <w:spacing w:line="360" w:lineRule="exact"/>
              <w:rPr>
                <w:rFonts w:ascii="Times New Roman" w:hAnsi="Times New Roman"/>
                <w:snapToGrid w:val="0"/>
                <w:kern w:val="0"/>
                <w:szCs w:val="24"/>
              </w:rPr>
            </w:pPr>
            <w:r>
              <w:rPr>
                <w:rFonts w:ascii="Times New Roman" w:hAnsi="Times New Roman"/>
                <w:snapToGrid w:val="0"/>
                <w:kern w:val="0"/>
                <w:szCs w:val="24"/>
              </w:rPr>
              <w:t>100d</w:t>
            </w:r>
            <w:r>
              <w:rPr>
                <w:rFonts w:hint="eastAsia" w:ascii="Times New Roman" w:hAnsi="Times New Roman"/>
                <w:snapToGrid w:val="0"/>
                <w:kern w:val="0"/>
                <w:szCs w:val="24"/>
              </w:rPr>
              <w:t>污染物迁移结果</w:t>
            </w:r>
          </w:p>
        </w:tc>
        <w:tc>
          <w:tcPr>
            <w:tcW w:w="1262" w:type="pct"/>
            <w:gridSpan w:val="2"/>
            <w:vAlign w:val="center"/>
          </w:tcPr>
          <w:p>
            <w:pPr>
              <w:pStyle w:val="128"/>
              <w:spacing w:line="360" w:lineRule="exact"/>
              <w:rPr>
                <w:rFonts w:ascii="Times New Roman" w:hAnsi="Times New Roman"/>
                <w:snapToGrid w:val="0"/>
                <w:kern w:val="0"/>
                <w:szCs w:val="24"/>
              </w:rPr>
            </w:pPr>
            <w:r>
              <w:rPr>
                <w:rFonts w:ascii="Times New Roman" w:hAnsi="Times New Roman"/>
                <w:snapToGrid w:val="0"/>
                <w:kern w:val="0"/>
                <w:szCs w:val="24"/>
              </w:rPr>
              <w:t>1000d</w:t>
            </w:r>
            <w:r>
              <w:rPr>
                <w:rFonts w:hint="eastAsia" w:ascii="Times New Roman" w:hAnsi="Times New Roman"/>
                <w:snapToGrid w:val="0"/>
                <w:kern w:val="0"/>
                <w:szCs w:val="24"/>
              </w:rPr>
              <w:t>污染物迁移结果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47" w:type="pct"/>
            <w:vAlign w:val="center"/>
          </w:tcPr>
          <w:p>
            <w:pPr>
              <w:pStyle w:val="128"/>
              <w:spacing w:line="360" w:lineRule="exact"/>
              <w:jc w:val="both"/>
              <w:rPr>
                <w:rFonts w:ascii="Times New Roman" w:hAnsi="Times New Roman"/>
                <w:snapToGrid w:val="0"/>
                <w:kern w:val="0"/>
                <w:szCs w:val="21"/>
              </w:rPr>
            </w:pPr>
            <w:r>
              <w:rPr>
                <w:rFonts w:hint="eastAsia" w:ascii="Times New Roman" w:hAnsi="Times New Roman"/>
                <w:snapToGrid w:val="0"/>
                <w:kern w:val="0"/>
                <w:szCs w:val="21"/>
              </w:rPr>
              <w:t>距离（</w:t>
            </w:r>
            <w:r>
              <w:rPr>
                <w:rFonts w:ascii="Times New Roman" w:hAnsi="Times New Roman"/>
                <w:snapToGrid w:val="0"/>
                <w:kern w:val="0"/>
                <w:szCs w:val="21"/>
              </w:rPr>
              <w:t>m</w:t>
            </w:r>
            <w:r>
              <w:rPr>
                <w:rFonts w:hint="eastAsia" w:ascii="Times New Roman" w:hAnsi="Times New Roman"/>
                <w:snapToGrid w:val="0"/>
                <w:kern w:val="0"/>
                <w:szCs w:val="21"/>
              </w:rPr>
              <w:t>）</w:t>
            </w:r>
          </w:p>
        </w:tc>
        <w:tc>
          <w:tcPr>
            <w:tcW w:w="817" w:type="pct"/>
            <w:vAlign w:val="center"/>
          </w:tcPr>
          <w:p>
            <w:pPr>
              <w:pStyle w:val="128"/>
              <w:spacing w:line="360" w:lineRule="exact"/>
              <w:jc w:val="both"/>
              <w:rPr>
                <w:rFonts w:ascii="Times New Roman" w:hAnsi="Times New Roman"/>
                <w:snapToGrid w:val="0"/>
                <w:kern w:val="0"/>
                <w:szCs w:val="21"/>
              </w:rPr>
            </w:pPr>
            <w:r>
              <w:rPr>
                <w:rFonts w:hint="eastAsia" w:ascii="Times New Roman" w:hAnsi="Times New Roman"/>
                <w:snapToGrid w:val="0"/>
                <w:kern w:val="0"/>
                <w:szCs w:val="21"/>
              </w:rPr>
              <w:t>浓度（</w:t>
            </w:r>
            <w:r>
              <w:rPr>
                <w:rFonts w:ascii="Times New Roman" w:hAnsi="Times New Roman"/>
                <w:snapToGrid w:val="0"/>
                <w:kern w:val="0"/>
                <w:szCs w:val="21"/>
              </w:rPr>
              <w:t>mg/L</w:t>
            </w:r>
            <w:r>
              <w:rPr>
                <w:rFonts w:hint="eastAsia" w:ascii="Times New Roman" w:hAnsi="Times New Roman"/>
                <w:snapToGrid w:val="0"/>
                <w:kern w:val="0"/>
                <w:szCs w:val="21"/>
              </w:rPr>
              <w:t>）</w:t>
            </w:r>
          </w:p>
        </w:tc>
        <w:tc>
          <w:tcPr>
            <w:tcW w:w="448" w:type="pct"/>
            <w:vAlign w:val="center"/>
          </w:tcPr>
          <w:p>
            <w:pPr>
              <w:pStyle w:val="128"/>
              <w:spacing w:line="360" w:lineRule="exact"/>
              <w:jc w:val="both"/>
              <w:rPr>
                <w:rFonts w:ascii="Times New Roman" w:hAnsi="Times New Roman"/>
                <w:snapToGrid w:val="0"/>
                <w:kern w:val="0"/>
                <w:szCs w:val="21"/>
              </w:rPr>
            </w:pPr>
            <w:r>
              <w:rPr>
                <w:rFonts w:hint="eastAsia" w:ascii="Times New Roman" w:hAnsi="Times New Roman"/>
                <w:snapToGrid w:val="0"/>
                <w:kern w:val="0"/>
                <w:szCs w:val="21"/>
              </w:rPr>
              <w:t>距离（</w:t>
            </w:r>
            <w:r>
              <w:rPr>
                <w:rFonts w:ascii="Times New Roman" w:hAnsi="Times New Roman"/>
                <w:snapToGrid w:val="0"/>
                <w:kern w:val="0"/>
                <w:szCs w:val="21"/>
              </w:rPr>
              <w:t>m</w:t>
            </w:r>
            <w:r>
              <w:rPr>
                <w:rFonts w:hint="eastAsia" w:ascii="Times New Roman" w:hAnsi="Times New Roman"/>
                <w:snapToGrid w:val="0"/>
                <w:kern w:val="0"/>
                <w:szCs w:val="21"/>
              </w:rPr>
              <w:t>）</w:t>
            </w:r>
          </w:p>
        </w:tc>
        <w:tc>
          <w:tcPr>
            <w:tcW w:w="789" w:type="pct"/>
            <w:vAlign w:val="center"/>
          </w:tcPr>
          <w:p>
            <w:pPr>
              <w:pStyle w:val="128"/>
              <w:spacing w:line="360" w:lineRule="exact"/>
              <w:jc w:val="both"/>
              <w:rPr>
                <w:rFonts w:ascii="Times New Roman" w:hAnsi="Times New Roman"/>
                <w:snapToGrid w:val="0"/>
                <w:kern w:val="0"/>
                <w:szCs w:val="21"/>
              </w:rPr>
            </w:pPr>
            <w:r>
              <w:rPr>
                <w:rFonts w:hint="eastAsia" w:ascii="Times New Roman" w:hAnsi="Times New Roman"/>
                <w:snapToGrid w:val="0"/>
                <w:kern w:val="0"/>
                <w:szCs w:val="21"/>
              </w:rPr>
              <w:t>浓度（</w:t>
            </w:r>
            <w:r>
              <w:rPr>
                <w:rFonts w:ascii="Times New Roman" w:hAnsi="Times New Roman"/>
                <w:snapToGrid w:val="0"/>
                <w:kern w:val="0"/>
                <w:szCs w:val="21"/>
              </w:rPr>
              <w:t>mg/L</w:t>
            </w:r>
            <w:r>
              <w:rPr>
                <w:rFonts w:hint="eastAsia" w:ascii="Times New Roman" w:hAnsi="Times New Roman"/>
                <w:snapToGrid w:val="0"/>
                <w:kern w:val="0"/>
                <w:szCs w:val="21"/>
              </w:rPr>
              <w:t>）</w:t>
            </w:r>
          </w:p>
        </w:tc>
        <w:tc>
          <w:tcPr>
            <w:tcW w:w="478" w:type="pct"/>
            <w:vAlign w:val="center"/>
          </w:tcPr>
          <w:p>
            <w:pPr>
              <w:pStyle w:val="128"/>
              <w:spacing w:line="360" w:lineRule="exact"/>
              <w:jc w:val="both"/>
              <w:rPr>
                <w:rFonts w:ascii="Times New Roman" w:hAnsi="Times New Roman"/>
                <w:snapToGrid w:val="0"/>
                <w:kern w:val="0"/>
                <w:szCs w:val="24"/>
              </w:rPr>
            </w:pPr>
            <w:r>
              <w:rPr>
                <w:rFonts w:hint="eastAsia" w:ascii="Times New Roman" w:hAnsi="Times New Roman"/>
                <w:snapToGrid w:val="0"/>
                <w:kern w:val="0"/>
                <w:szCs w:val="24"/>
              </w:rPr>
              <w:t>距离（</w:t>
            </w:r>
            <w:r>
              <w:rPr>
                <w:rFonts w:ascii="Times New Roman" w:hAnsi="Times New Roman"/>
                <w:snapToGrid w:val="0"/>
                <w:kern w:val="0"/>
                <w:szCs w:val="24"/>
              </w:rPr>
              <w:t>m</w:t>
            </w:r>
            <w:r>
              <w:rPr>
                <w:rFonts w:hint="eastAsia" w:ascii="Times New Roman" w:hAnsi="Times New Roman"/>
                <w:snapToGrid w:val="0"/>
                <w:kern w:val="0"/>
                <w:szCs w:val="24"/>
              </w:rPr>
              <w:t>）</w:t>
            </w:r>
          </w:p>
        </w:tc>
        <w:tc>
          <w:tcPr>
            <w:tcW w:w="759" w:type="pct"/>
            <w:vAlign w:val="center"/>
          </w:tcPr>
          <w:p>
            <w:pPr>
              <w:pStyle w:val="128"/>
              <w:spacing w:line="360" w:lineRule="exact"/>
              <w:jc w:val="both"/>
              <w:rPr>
                <w:rFonts w:ascii="Times New Roman" w:hAnsi="Times New Roman"/>
                <w:snapToGrid w:val="0"/>
                <w:kern w:val="0"/>
                <w:szCs w:val="24"/>
              </w:rPr>
            </w:pPr>
            <w:r>
              <w:rPr>
                <w:rFonts w:hint="eastAsia" w:ascii="Times New Roman" w:hAnsi="Times New Roman"/>
                <w:snapToGrid w:val="0"/>
                <w:kern w:val="0"/>
                <w:szCs w:val="24"/>
              </w:rPr>
              <w:t>浓度（</w:t>
            </w:r>
            <w:r>
              <w:rPr>
                <w:rFonts w:ascii="Times New Roman" w:hAnsi="Times New Roman"/>
                <w:snapToGrid w:val="0"/>
                <w:kern w:val="0"/>
                <w:szCs w:val="24"/>
              </w:rPr>
              <w:t>mg/L</w:t>
            </w:r>
            <w:r>
              <w:rPr>
                <w:rFonts w:hint="eastAsia" w:ascii="Times New Roman" w:hAnsi="Times New Roman"/>
                <w:snapToGrid w:val="0"/>
                <w:kern w:val="0"/>
                <w:szCs w:val="24"/>
              </w:rPr>
              <w:t>）</w:t>
            </w:r>
          </w:p>
        </w:tc>
        <w:tc>
          <w:tcPr>
            <w:tcW w:w="447" w:type="pct"/>
            <w:vAlign w:val="center"/>
          </w:tcPr>
          <w:p>
            <w:pPr>
              <w:pStyle w:val="128"/>
              <w:spacing w:line="360" w:lineRule="exact"/>
              <w:jc w:val="both"/>
              <w:rPr>
                <w:rFonts w:ascii="Times New Roman" w:hAnsi="Times New Roman"/>
                <w:snapToGrid w:val="0"/>
                <w:kern w:val="0"/>
                <w:szCs w:val="24"/>
              </w:rPr>
            </w:pPr>
            <w:r>
              <w:rPr>
                <w:rFonts w:hint="eastAsia" w:ascii="Times New Roman" w:hAnsi="Times New Roman"/>
                <w:snapToGrid w:val="0"/>
                <w:kern w:val="0"/>
                <w:szCs w:val="24"/>
              </w:rPr>
              <w:t>距离（</w:t>
            </w:r>
            <w:r>
              <w:rPr>
                <w:rFonts w:ascii="Times New Roman" w:hAnsi="Times New Roman"/>
                <w:snapToGrid w:val="0"/>
                <w:kern w:val="0"/>
                <w:szCs w:val="24"/>
              </w:rPr>
              <w:t>m</w:t>
            </w:r>
            <w:r>
              <w:rPr>
                <w:rFonts w:hint="eastAsia" w:ascii="Times New Roman" w:hAnsi="Times New Roman"/>
                <w:snapToGrid w:val="0"/>
                <w:kern w:val="0"/>
                <w:szCs w:val="24"/>
              </w:rPr>
              <w:t>）</w:t>
            </w:r>
          </w:p>
        </w:tc>
        <w:tc>
          <w:tcPr>
            <w:tcW w:w="815" w:type="pct"/>
            <w:vAlign w:val="center"/>
          </w:tcPr>
          <w:p>
            <w:pPr>
              <w:pStyle w:val="128"/>
              <w:spacing w:line="360" w:lineRule="exact"/>
              <w:jc w:val="both"/>
              <w:rPr>
                <w:rFonts w:ascii="Times New Roman" w:hAnsi="Times New Roman"/>
                <w:snapToGrid w:val="0"/>
                <w:kern w:val="0"/>
                <w:szCs w:val="24"/>
              </w:rPr>
            </w:pPr>
            <w:r>
              <w:rPr>
                <w:rFonts w:hint="eastAsia" w:ascii="Times New Roman" w:hAnsi="Times New Roman"/>
                <w:snapToGrid w:val="0"/>
                <w:kern w:val="0"/>
                <w:szCs w:val="24"/>
              </w:rPr>
              <w:t>浓度（</w:t>
            </w:r>
            <w:r>
              <w:rPr>
                <w:rFonts w:ascii="Times New Roman" w:hAnsi="Times New Roman"/>
                <w:snapToGrid w:val="0"/>
                <w:kern w:val="0"/>
                <w:szCs w:val="24"/>
              </w:rPr>
              <w:t>mg/L</w:t>
            </w:r>
            <w:r>
              <w:rPr>
                <w:rFonts w:hint="eastAsia" w:ascii="Times New Roman" w:hAnsi="Times New Roman"/>
                <w:snapToGrid w:val="0"/>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0</w:t>
            </w:r>
          </w:p>
        </w:tc>
        <w:tc>
          <w:tcPr>
            <w:tcW w:w="817"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21.26</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21.26</w:t>
            </w:r>
          </w:p>
        </w:tc>
        <w:tc>
          <w:tcPr>
            <w:tcW w:w="47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0</w:t>
            </w:r>
          </w:p>
        </w:tc>
        <w:tc>
          <w:tcPr>
            <w:tcW w:w="75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149.4</w:t>
            </w:r>
          </w:p>
        </w:tc>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149.4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10</w:t>
            </w:r>
          </w:p>
        </w:tc>
        <w:tc>
          <w:tcPr>
            <w:tcW w:w="817"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2.481435</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10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13.44574</w:t>
            </w:r>
          </w:p>
        </w:tc>
        <w:tc>
          <w:tcPr>
            <w:tcW w:w="47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10</w:t>
            </w:r>
          </w:p>
        </w:tc>
        <w:tc>
          <w:tcPr>
            <w:tcW w:w="75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12.48421</w:t>
            </w:r>
          </w:p>
        </w:tc>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10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67.6461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20</w:t>
            </w:r>
          </w:p>
        </w:tc>
        <w:tc>
          <w:tcPr>
            <w:tcW w:w="817"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0.03498597</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20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7.087245</w:t>
            </w:r>
          </w:p>
        </w:tc>
        <w:tc>
          <w:tcPr>
            <w:tcW w:w="47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20</w:t>
            </w:r>
          </w:p>
        </w:tc>
        <w:tc>
          <w:tcPr>
            <w:tcW w:w="75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0.1760159</w:t>
            </w:r>
          </w:p>
        </w:tc>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20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35.65624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30</w:t>
            </w:r>
          </w:p>
        </w:tc>
        <w:tc>
          <w:tcPr>
            <w:tcW w:w="817" w:type="pct"/>
            <w:vAlign w:val="center"/>
          </w:tcPr>
          <w:p>
            <w:pPr>
              <w:pStyle w:val="135"/>
              <w:spacing w:line="360" w:lineRule="exact"/>
              <w:rPr>
                <w:rFonts w:ascii="Times New Roman" w:hAnsi="Times New Roman" w:cs="Times New Roman"/>
                <w:szCs w:val="21"/>
              </w:rPr>
            </w:pPr>
            <w:r>
              <w:rPr>
                <w:rFonts w:ascii="Times New Roman" w:hAnsi="Times New Roman" w:cs="Times New Roman"/>
                <w:spacing w:val="-6"/>
                <w:szCs w:val="21"/>
              </w:rPr>
              <w:t>4.820909E-05</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30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3.059367</w:t>
            </w:r>
          </w:p>
        </w:tc>
        <w:tc>
          <w:tcPr>
            <w:tcW w:w="47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30</w:t>
            </w:r>
          </w:p>
        </w:tc>
        <w:tc>
          <w:tcPr>
            <w:tcW w:w="75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0.000242</w:t>
            </w:r>
          </w:p>
        </w:tc>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30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15.39181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40</w:t>
            </w:r>
          </w:p>
        </w:tc>
        <w:tc>
          <w:tcPr>
            <w:tcW w:w="817" w:type="pct"/>
            <w:vAlign w:val="center"/>
          </w:tcPr>
          <w:p>
            <w:pPr>
              <w:pStyle w:val="135"/>
              <w:spacing w:line="360" w:lineRule="exact"/>
              <w:jc w:val="both"/>
              <w:rPr>
                <w:rFonts w:ascii="Times New Roman" w:hAnsi="Times New Roman" w:cs="Times New Roman"/>
                <w:szCs w:val="21"/>
              </w:rPr>
            </w:pPr>
            <w:r>
              <w:rPr>
                <w:rFonts w:ascii="Times New Roman" w:hAnsi="Times New Roman" w:cs="Times New Roman"/>
                <w:spacing w:val="-6"/>
                <w:szCs w:val="21"/>
              </w:rPr>
              <w:t>5.992815E-09</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40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1.068071</w:t>
            </w:r>
          </w:p>
        </w:tc>
        <w:tc>
          <w:tcPr>
            <w:tcW w:w="478" w:type="pct"/>
          </w:tcPr>
          <w:p>
            <w:pPr>
              <w:pStyle w:val="128"/>
              <w:spacing w:line="360" w:lineRule="exact"/>
              <w:rPr>
                <w:rFonts w:ascii="Times New Roman" w:hAnsi="Times New Roman"/>
                <w:spacing w:val="-6"/>
                <w:kern w:val="0"/>
                <w:szCs w:val="21"/>
              </w:rPr>
            </w:pPr>
            <w:r>
              <w:rPr>
                <w:rFonts w:ascii="Times New Roman" w:hAnsi="Times New Roman"/>
                <w:snapToGrid w:val="0"/>
                <w:kern w:val="0"/>
                <w:szCs w:val="21"/>
                <w:lang w:val="en-US"/>
              </w:rPr>
              <w:t>40</w:t>
            </w:r>
          </w:p>
        </w:tc>
        <w:tc>
          <w:tcPr>
            <w:tcW w:w="759" w:type="pct"/>
            <w:vAlign w:val="center"/>
          </w:tcPr>
          <w:p>
            <w:pPr>
              <w:pStyle w:val="135"/>
              <w:spacing w:line="360" w:lineRule="exact"/>
              <w:rPr>
                <w:rFonts w:ascii="Times New Roman" w:hAnsi="Times New Roman" w:cs="Times New Roman"/>
                <w:szCs w:val="21"/>
              </w:rPr>
            </w:pPr>
            <w:r>
              <w:rPr>
                <w:rFonts w:ascii="Times New Roman" w:hAnsi="Times New Roman" w:cs="Times New Roman"/>
                <w:spacing w:val="-6"/>
                <w:szCs w:val="21"/>
              </w:rPr>
              <w:t>3.01501E-08</w:t>
            </w:r>
          </w:p>
        </w:tc>
        <w:tc>
          <w:tcPr>
            <w:tcW w:w="447" w:type="pct"/>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40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5.373513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50</w:t>
            </w:r>
          </w:p>
        </w:tc>
        <w:tc>
          <w:tcPr>
            <w:tcW w:w="817" w:type="pct"/>
            <w:vAlign w:val="center"/>
          </w:tcPr>
          <w:p>
            <w:pPr>
              <w:spacing w:line="360" w:lineRule="exact"/>
              <w:jc w:val="center"/>
              <w:rPr>
                <w:snapToGrid w:val="0"/>
                <w:szCs w:val="21"/>
              </w:rPr>
            </w:pPr>
            <w:r>
              <w:rPr>
                <w:spacing w:val="-6"/>
                <w:szCs w:val="21"/>
              </w:rPr>
              <w:t>6.907823E-14</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rPr>
              <w:t>50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0.29889</w:t>
            </w:r>
          </w:p>
        </w:tc>
        <w:tc>
          <w:tcPr>
            <w:tcW w:w="478" w:type="pct"/>
          </w:tcPr>
          <w:p>
            <w:pPr>
              <w:pStyle w:val="128"/>
              <w:spacing w:line="360" w:lineRule="exact"/>
              <w:rPr>
                <w:rFonts w:ascii="Times New Roman" w:hAnsi="Times New Roman"/>
                <w:snapToGrid w:val="0"/>
                <w:kern w:val="0"/>
                <w:szCs w:val="21"/>
                <w:lang w:val="en-US"/>
              </w:rPr>
            </w:pPr>
            <w:r>
              <w:rPr>
                <w:rFonts w:ascii="Times New Roman" w:hAnsi="Times New Roman"/>
                <w:snapToGrid w:val="0"/>
                <w:kern w:val="0"/>
                <w:szCs w:val="21"/>
                <w:lang w:val="en-US"/>
              </w:rPr>
              <w:t>50</w:t>
            </w:r>
          </w:p>
        </w:tc>
        <w:tc>
          <w:tcPr>
            <w:tcW w:w="759" w:type="pct"/>
            <w:vAlign w:val="center"/>
          </w:tcPr>
          <w:p>
            <w:pPr>
              <w:spacing w:line="360" w:lineRule="exact"/>
              <w:jc w:val="center"/>
              <w:textAlignment w:val="center"/>
              <w:rPr>
                <w:snapToGrid w:val="0"/>
                <w:szCs w:val="21"/>
              </w:rPr>
            </w:pPr>
            <w:r>
              <w:rPr>
                <w:spacing w:val="-6"/>
                <w:szCs w:val="21"/>
              </w:rPr>
              <w:t>3.47535E-13</w:t>
            </w:r>
          </w:p>
        </w:tc>
        <w:tc>
          <w:tcPr>
            <w:tcW w:w="447" w:type="pct"/>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50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1.503729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7" w:type="pct"/>
            <w:vAlign w:val="center"/>
          </w:tcPr>
          <w:p>
            <w:pPr>
              <w:pStyle w:val="128"/>
              <w:spacing w:line="360" w:lineRule="exact"/>
              <w:rPr>
                <w:rFonts w:ascii="Times New Roman" w:hAnsi="Times New Roman"/>
                <w:snapToGrid w:val="0"/>
                <w:kern w:val="0"/>
                <w:szCs w:val="21"/>
                <w:lang w:val="en-US"/>
              </w:rPr>
            </w:pPr>
            <w:r>
              <w:rPr>
                <w:rFonts w:ascii="Times New Roman" w:hAnsi="Times New Roman"/>
                <w:snapToGrid w:val="0"/>
                <w:kern w:val="0"/>
                <w:szCs w:val="21"/>
                <w:lang w:val="en-US"/>
              </w:rPr>
              <w:t>60</w:t>
            </w:r>
          </w:p>
        </w:tc>
        <w:tc>
          <w:tcPr>
            <w:tcW w:w="817" w:type="pct"/>
            <w:vAlign w:val="center"/>
          </w:tcPr>
          <w:p>
            <w:pPr>
              <w:spacing w:line="360" w:lineRule="exact"/>
              <w:jc w:val="center"/>
              <w:rPr>
                <w:snapToGrid w:val="0"/>
                <w:szCs w:val="21"/>
              </w:rPr>
            </w:pPr>
            <w:r>
              <w:rPr>
                <w:snapToGrid w:val="0"/>
                <w:szCs w:val="21"/>
              </w:rPr>
              <w:t>0</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60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0.06661926</w:t>
            </w:r>
          </w:p>
        </w:tc>
        <w:tc>
          <w:tcPr>
            <w:tcW w:w="47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60</w:t>
            </w:r>
          </w:p>
        </w:tc>
        <w:tc>
          <w:tcPr>
            <w:tcW w:w="759" w:type="pct"/>
            <w:vAlign w:val="center"/>
          </w:tcPr>
          <w:p>
            <w:pPr>
              <w:spacing w:line="360" w:lineRule="exact"/>
              <w:jc w:val="center"/>
              <w:rPr>
                <w:snapToGrid w:val="0"/>
                <w:szCs w:val="21"/>
              </w:rPr>
            </w:pPr>
            <w:r>
              <w:rPr>
                <w:snapToGrid w:val="0"/>
                <w:szCs w:val="21"/>
              </w:rPr>
              <w:t>0</w:t>
            </w:r>
          </w:p>
        </w:tc>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60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0.3351644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47" w:type="pct"/>
            <w:vAlign w:val="center"/>
          </w:tcPr>
          <w:p>
            <w:pPr>
              <w:pStyle w:val="128"/>
              <w:spacing w:line="360" w:lineRule="exact"/>
              <w:rPr>
                <w:rFonts w:ascii="Times New Roman" w:hAnsi="Times New Roman"/>
                <w:snapToGrid w:val="0"/>
                <w:kern w:val="0"/>
                <w:szCs w:val="21"/>
                <w:lang w:val="en-US"/>
              </w:rPr>
            </w:pPr>
            <w:r>
              <w:rPr>
                <w:rFonts w:ascii="Times New Roman" w:hAnsi="Times New Roman"/>
                <w:snapToGrid w:val="0"/>
                <w:kern w:val="0"/>
                <w:szCs w:val="21"/>
                <w:lang w:val="en-US"/>
              </w:rPr>
              <w:t>70</w:t>
            </w:r>
          </w:p>
        </w:tc>
        <w:tc>
          <w:tcPr>
            <w:tcW w:w="817" w:type="pct"/>
            <w:vAlign w:val="center"/>
          </w:tcPr>
          <w:p>
            <w:pPr>
              <w:spacing w:line="360" w:lineRule="exact"/>
              <w:jc w:val="center"/>
              <w:rPr>
                <w:snapToGrid w:val="0"/>
                <w:szCs w:val="21"/>
              </w:rPr>
            </w:pPr>
            <w:r>
              <w:rPr>
                <w:snapToGrid w:val="0"/>
                <w:szCs w:val="21"/>
              </w:rPr>
              <w:t>0</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70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0.01177237</w:t>
            </w:r>
          </w:p>
        </w:tc>
        <w:tc>
          <w:tcPr>
            <w:tcW w:w="47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70</w:t>
            </w:r>
          </w:p>
        </w:tc>
        <w:tc>
          <w:tcPr>
            <w:tcW w:w="759" w:type="pct"/>
            <w:vAlign w:val="center"/>
          </w:tcPr>
          <w:p>
            <w:pPr>
              <w:spacing w:line="360" w:lineRule="exact"/>
              <w:jc w:val="center"/>
              <w:rPr>
                <w:snapToGrid w:val="0"/>
                <w:szCs w:val="21"/>
              </w:rPr>
            </w:pPr>
            <w:r>
              <w:rPr>
                <w:snapToGrid w:val="0"/>
                <w:szCs w:val="21"/>
              </w:rPr>
              <w:t>0</w:t>
            </w:r>
          </w:p>
        </w:tc>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70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0.05922734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47" w:type="pct"/>
            <w:vAlign w:val="center"/>
          </w:tcPr>
          <w:p>
            <w:pPr>
              <w:pStyle w:val="128"/>
              <w:spacing w:line="360" w:lineRule="exact"/>
              <w:rPr>
                <w:rFonts w:ascii="Times New Roman" w:hAnsi="Times New Roman"/>
                <w:snapToGrid w:val="0"/>
                <w:kern w:val="0"/>
                <w:szCs w:val="21"/>
                <w:lang w:val="en-US"/>
              </w:rPr>
            </w:pPr>
            <w:r>
              <w:rPr>
                <w:rFonts w:ascii="Times New Roman" w:hAnsi="Times New Roman"/>
                <w:snapToGrid w:val="0"/>
                <w:kern w:val="0"/>
                <w:szCs w:val="21"/>
                <w:lang w:val="en-US"/>
              </w:rPr>
              <w:t>80</w:t>
            </w:r>
          </w:p>
        </w:tc>
        <w:tc>
          <w:tcPr>
            <w:tcW w:w="817" w:type="pct"/>
            <w:vAlign w:val="center"/>
          </w:tcPr>
          <w:p>
            <w:pPr>
              <w:spacing w:line="360" w:lineRule="exact"/>
              <w:jc w:val="center"/>
              <w:rPr>
                <w:snapToGrid w:val="0"/>
                <w:szCs w:val="21"/>
              </w:rPr>
            </w:pPr>
            <w:r>
              <w:rPr>
                <w:snapToGrid w:val="0"/>
                <w:szCs w:val="21"/>
              </w:rPr>
              <w:t>0</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80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 xml:space="preserve"> 0.00164373</w:t>
            </w:r>
          </w:p>
        </w:tc>
        <w:tc>
          <w:tcPr>
            <w:tcW w:w="47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80</w:t>
            </w:r>
          </w:p>
        </w:tc>
        <w:tc>
          <w:tcPr>
            <w:tcW w:w="759" w:type="pct"/>
            <w:vAlign w:val="center"/>
          </w:tcPr>
          <w:p>
            <w:pPr>
              <w:spacing w:line="360" w:lineRule="exact"/>
              <w:jc w:val="center"/>
              <w:rPr>
                <w:snapToGrid w:val="0"/>
                <w:szCs w:val="21"/>
              </w:rPr>
            </w:pPr>
            <w:r>
              <w:rPr>
                <w:snapToGrid w:val="0"/>
                <w:szCs w:val="21"/>
              </w:rPr>
              <w:t>0</w:t>
            </w:r>
          </w:p>
        </w:tc>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80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0.008269677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90</w:t>
            </w:r>
          </w:p>
        </w:tc>
        <w:tc>
          <w:tcPr>
            <w:tcW w:w="817" w:type="pct"/>
            <w:vAlign w:val="center"/>
          </w:tcPr>
          <w:p>
            <w:pPr>
              <w:spacing w:line="360" w:lineRule="exact"/>
              <w:jc w:val="center"/>
              <w:rPr>
                <w:snapToGrid w:val="0"/>
                <w:szCs w:val="21"/>
              </w:rPr>
            </w:pPr>
            <w:r>
              <w:rPr>
                <w:snapToGrid w:val="0"/>
                <w:szCs w:val="21"/>
              </w:rPr>
              <w:t>0</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90</w:t>
            </w:r>
          </w:p>
        </w:tc>
        <w:tc>
          <w:tcPr>
            <w:tcW w:w="789" w:type="pct"/>
            <w:vAlign w:val="center"/>
          </w:tcPr>
          <w:p>
            <w:pPr>
              <w:pStyle w:val="135"/>
              <w:spacing w:line="360" w:lineRule="exact"/>
              <w:rPr>
                <w:rFonts w:ascii="Times New Roman" w:hAnsi="Times New Roman" w:cs="Times New Roman"/>
                <w:szCs w:val="21"/>
              </w:rPr>
            </w:pPr>
            <w:r>
              <w:rPr>
                <w:rFonts w:ascii="Times New Roman" w:hAnsi="Times New Roman" w:cs="Times New Roman"/>
                <w:spacing w:val="-6"/>
                <w:szCs w:val="21"/>
              </w:rPr>
              <w:t>0.000180880</w:t>
            </w:r>
          </w:p>
        </w:tc>
        <w:tc>
          <w:tcPr>
            <w:tcW w:w="47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90</w:t>
            </w:r>
          </w:p>
        </w:tc>
        <w:tc>
          <w:tcPr>
            <w:tcW w:w="759" w:type="pct"/>
            <w:vAlign w:val="center"/>
          </w:tcPr>
          <w:p>
            <w:pPr>
              <w:spacing w:line="360" w:lineRule="exact"/>
              <w:jc w:val="center"/>
              <w:rPr>
                <w:snapToGrid w:val="0"/>
                <w:szCs w:val="21"/>
              </w:rPr>
            </w:pPr>
            <w:r>
              <w:rPr>
                <w:snapToGrid w:val="0"/>
                <w:szCs w:val="21"/>
              </w:rPr>
              <w:t>0</w:t>
            </w:r>
          </w:p>
        </w:tc>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90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0.000910018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100</w:t>
            </w:r>
          </w:p>
        </w:tc>
        <w:tc>
          <w:tcPr>
            <w:tcW w:w="817" w:type="pct"/>
            <w:vAlign w:val="center"/>
          </w:tcPr>
          <w:p>
            <w:pPr>
              <w:spacing w:line="360" w:lineRule="exact"/>
              <w:jc w:val="center"/>
              <w:rPr>
                <w:snapToGrid w:val="0"/>
                <w:szCs w:val="21"/>
              </w:rPr>
            </w:pPr>
            <w:r>
              <w:rPr>
                <w:snapToGrid w:val="0"/>
                <w:szCs w:val="21"/>
              </w:rPr>
              <w:t>0</w:t>
            </w:r>
          </w:p>
        </w:tc>
        <w:tc>
          <w:tcPr>
            <w:tcW w:w="44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100</w:t>
            </w:r>
          </w:p>
        </w:tc>
        <w:tc>
          <w:tcPr>
            <w:tcW w:w="789" w:type="pct"/>
            <w:vAlign w:val="center"/>
          </w:tcPr>
          <w:p>
            <w:pPr>
              <w:pStyle w:val="135"/>
              <w:spacing w:line="360" w:lineRule="exact"/>
              <w:jc w:val="both"/>
              <w:rPr>
                <w:rFonts w:ascii="Times New Roman" w:hAnsi="Times New Roman" w:cs="Times New Roman"/>
                <w:szCs w:val="21"/>
              </w:rPr>
            </w:pPr>
            <w:r>
              <w:rPr>
                <w:rFonts w:ascii="Times New Roman" w:hAnsi="Times New Roman" w:cs="Times New Roman"/>
                <w:spacing w:val="-6"/>
                <w:szCs w:val="21"/>
              </w:rPr>
              <w:t>1.56567E-05</w:t>
            </w:r>
          </w:p>
        </w:tc>
        <w:tc>
          <w:tcPr>
            <w:tcW w:w="478"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100</w:t>
            </w:r>
          </w:p>
        </w:tc>
        <w:tc>
          <w:tcPr>
            <w:tcW w:w="759" w:type="pct"/>
            <w:vAlign w:val="center"/>
          </w:tcPr>
          <w:p>
            <w:pPr>
              <w:spacing w:line="360" w:lineRule="exact"/>
              <w:jc w:val="center"/>
              <w:rPr>
                <w:snapToGrid w:val="0"/>
                <w:szCs w:val="21"/>
              </w:rPr>
            </w:pPr>
            <w:r>
              <w:rPr>
                <w:snapToGrid w:val="0"/>
                <w:szCs w:val="21"/>
              </w:rPr>
              <w:t>0</w:t>
            </w:r>
          </w:p>
        </w:tc>
        <w:tc>
          <w:tcPr>
            <w:tcW w:w="447" w:type="pct"/>
            <w:vAlign w:val="center"/>
          </w:tcPr>
          <w:p>
            <w:pPr>
              <w:pStyle w:val="128"/>
              <w:spacing w:line="360" w:lineRule="exact"/>
              <w:rPr>
                <w:rFonts w:ascii="Times New Roman" w:hAnsi="Times New Roman"/>
                <w:snapToGrid w:val="0"/>
                <w:kern w:val="0"/>
                <w:szCs w:val="21"/>
              </w:rPr>
            </w:pPr>
            <w:r>
              <w:rPr>
                <w:rFonts w:ascii="Times New Roman" w:hAnsi="Times New Roman"/>
                <w:snapToGrid w:val="0"/>
                <w:kern w:val="0"/>
                <w:szCs w:val="21"/>
                <w:lang w:val="en-US"/>
              </w:rPr>
              <w:t>100</w:t>
            </w:r>
          </w:p>
        </w:tc>
        <w:tc>
          <w:tcPr>
            <w:tcW w:w="815" w:type="pct"/>
            <w:vAlign w:val="center"/>
          </w:tcPr>
          <w:p>
            <w:pPr>
              <w:pStyle w:val="135"/>
              <w:spacing w:line="360" w:lineRule="exact"/>
              <w:rPr>
                <w:rFonts w:ascii="Times New Roman" w:hAnsi="Times New Roman" w:cs="Times New Roman"/>
                <w:szCs w:val="21"/>
              </w:rPr>
            </w:pPr>
            <w:r>
              <w:rPr>
                <w:rFonts w:ascii="Times New Roman" w:hAnsi="Times New Roman" w:cs="Times New Roman"/>
                <w:szCs w:val="21"/>
              </w:rPr>
              <w:t>7.87698210</w:t>
            </w:r>
            <w:r>
              <w:rPr>
                <w:rFonts w:ascii="Times New Roman" w:hAnsi="Times New Roman" w:cs="Times New Roman"/>
                <w:szCs w:val="21"/>
                <w:vertAlign w:val="superscript"/>
              </w:rPr>
              <w:t>-5</w:t>
            </w:r>
          </w:p>
        </w:tc>
      </w:tr>
    </w:tbl>
    <w:p>
      <w:pPr>
        <w:adjustRightInd w:val="0"/>
        <w:snapToGrid w:val="0"/>
        <w:jc w:val="center"/>
        <w:rPr>
          <w:color w:val="000000"/>
          <w:sz w:val="24"/>
        </w:rPr>
      </w:pPr>
      <w:r>
        <w:drawing>
          <wp:inline distT="0" distB="0" distL="0" distR="0">
            <wp:extent cx="3571875" cy="2000250"/>
            <wp:effectExtent l="19050" t="0" r="9525" b="0"/>
            <wp:docPr id="1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9"/>
                    <pic:cNvPicPr>
                      <a:picLocks noChangeAspect="1" noChangeArrowheads="1"/>
                    </pic:cNvPicPr>
                  </pic:nvPicPr>
                  <pic:blipFill>
                    <a:blip r:embed="rId36"/>
                    <a:srcRect/>
                    <a:stretch>
                      <a:fillRect/>
                    </a:stretch>
                  </pic:blipFill>
                  <pic:spPr>
                    <a:xfrm>
                      <a:off x="0" y="0"/>
                      <a:ext cx="3571875" cy="2000250"/>
                    </a:xfrm>
                    <a:prstGeom prst="rect">
                      <a:avLst/>
                    </a:prstGeom>
                    <a:noFill/>
                    <a:ln w="9525">
                      <a:noFill/>
                      <a:miter lim="800000"/>
                      <a:headEnd/>
                      <a:tailEnd/>
                    </a:ln>
                  </pic:spPr>
                </pic:pic>
              </a:graphicData>
            </a:graphic>
          </wp:inline>
        </w:drawing>
      </w:r>
    </w:p>
    <w:p>
      <w:pPr>
        <w:adjustRightInd w:val="0"/>
        <w:snapToGrid w:val="0"/>
        <w:spacing w:line="480" w:lineRule="exact"/>
        <w:jc w:val="center"/>
        <w:rPr>
          <w:rFonts w:ascii="黑体" w:hAnsi="黑体" w:eastAsia="黑体"/>
          <w:color w:val="000000"/>
          <w:sz w:val="24"/>
        </w:rPr>
      </w:pPr>
      <w:r>
        <w:rPr>
          <w:rFonts w:hint="eastAsia" w:ascii="黑体" w:hAnsi="黑体" w:eastAsia="黑体"/>
          <w:color w:val="000000"/>
          <w:sz w:val="24"/>
        </w:rPr>
        <w:t>氨氮运移</w:t>
      </w:r>
      <w:r>
        <w:rPr>
          <w:rFonts w:ascii="黑体" w:hAnsi="黑体" w:eastAsia="黑体"/>
          <w:color w:val="000000"/>
          <w:sz w:val="24"/>
        </w:rPr>
        <w:t>100d</w:t>
      </w:r>
      <w:r>
        <w:rPr>
          <w:rFonts w:hint="eastAsia" w:ascii="黑体" w:hAnsi="黑体" w:eastAsia="黑体"/>
          <w:color w:val="000000"/>
          <w:sz w:val="24"/>
        </w:rPr>
        <w:t>随距离变化图</w:t>
      </w:r>
    </w:p>
    <w:p>
      <w:pPr>
        <w:adjustRightInd w:val="0"/>
        <w:snapToGrid w:val="0"/>
        <w:jc w:val="center"/>
        <w:rPr>
          <w:color w:val="000000"/>
          <w:sz w:val="24"/>
        </w:rPr>
      </w:pPr>
      <w:r>
        <w:drawing>
          <wp:inline distT="0" distB="0" distL="0" distR="0">
            <wp:extent cx="3619500" cy="1990725"/>
            <wp:effectExtent l="19050" t="0" r="0" b="0"/>
            <wp:docPr id="1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0"/>
                    <pic:cNvPicPr>
                      <a:picLocks noChangeAspect="1" noChangeArrowheads="1"/>
                    </pic:cNvPicPr>
                  </pic:nvPicPr>
                  <pic:blipFill>
                    <a:blip r:embed="rId37"/>
                    <a:srcRect/>
                    <a:stretch>
                      <a:fillRect/>
                    </a:stretch>
                  </pic:blipFill>
                  <pic:spPr>
                    <a:xfrm>
                      <a:off x="0" y="0"/>
                      <a:ext cx="3619500" cy="1990725"/>
                    </a:xfrm>
                    <a:prstGeom prst="rect">
                      <a:avLst/>
                    </a:prstGeom>
                    <a:noFill/>
                    <a:ln w="9525">
                      <a:noFill/>
                      <a:miter lim="800000"/>
                      <a:headEnd/>
                      <a:tailEnd/>
                    </a:ln>
                  </pic:spPr>
                </pic:pic>
              </a:graphicData>
            </a:graphic>
          </wp:inline>
        </w:drawing>
      </w:r>
    </w:p>
    <w:p>
      <w:pPr>
        <w:adjustRightInd w:val="0"/>
        <w:snapToGrid w:val="0"/>
        <w:spacing w:line="480" w:lineRule="exact"/>
        <w:jc w:val="center"/>
        <w:rPr>
          <w:rFonts w:ascii="黑体" w:hAnsi="黑体" w:eastAsia="黑体"/>
          <w:color w:val="000000"/>
          <w:sz w:val="24"/>
        </w:rPr>
      </w:pPr>
      <w:r>
        <w:rPr>
          <w:rFonts w:hint="eastAsia" w:ascii="黑体" w:hAnsi="黑体" w:eastAsia="黑体"/>
          <w:color w:val="000000"/>
          <w:sz w:val="24"/>
        </w:rPr>
        <w:t>氨氮运移</w:t>
      </w:r>
      <w:r>
        <w:rPr>
          <w:rFonts w:ascii="黑体" w:hAnsi="黑体" w:eastAsia="黑体"/>
          <w:color w:val="000000"/>
          <w:sz w:val="24"/>
        </w:rPr>
        <w:t>100</w:t>
      </w:r>
      <w:r>
        <w:rPr>
          <w:rFonts w:hint="eastAsia" w:ascii="黑体" w:hAnsi="黑体" w:eastAsia="黑体"/>
          <w:color w:val="000000"/>
          <w:sz w:val="24"/>
        </w:rPr>
        <w:t>0</w:t>
      </w:r>
      <w:r>
        <w:rPr>
          <w:rFonts w:ascii="黑体" w:hAnsi="黑体" w:eastAsia="黑体"/>
          <w:color w:val="000000"/>
          <w:sz w:val="24"/>
        </w:rPr>
        <w:t>d</w:t>
      </w:r>
      <w:r>
        <w:rPr>
          <w:rFonts w:hint="eastAsia" w:ascii="黑体" w:hAnsi="黑体" w:eastAsia="黑体"/>
          <w:color w:val="000000"/>
          <w:sz w:val="24"/>
        </w:rPr>
        <w:t>随距离变化图</w:t>
      </w:r>
    </w:p>
    <w:p>
      <w:pPr>
        <w:adjustRightInd w:val="0"/>
        <w:snapToGrid w:val="0"/>
        <w:jc w:val="center"/>
        <w:rPr>
          <w:color w:val="000000"/>
          <w:sz w:val="24"/>
        </w:rPr>
      </w:pPr>
      <w:r>
        <w:drawing>
          <wp:inline distT="0" distB="0" distL="0" distR="0">
            <wp:extent cx="3619500" cy="2009775"/>
            <wp:effectExtent l="19050" t="0" r="0" b="0"/>
            <wp:docPr id="2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6"/>
                    <pic:cNvPicPr>
                      <a:picLocks noChangeAspect="1" noChangeArrowheads="1"/>
                    </pic:cNvPicPr>
                  </pic:nvPicPr>
                  <pic:blipFill>
                    <a:blip r:embed="rId38"/>
                    <a:srcRect/>
                    <a:stretch>
                      <a:fillRect/>
                    </a:stretch>
                  </pic:blipFill>
                  <pic:spPr>
                    <a:xfrm>
                      <a:off x="0" y="0"/>
                      <a:ext cx="3619500" cy="2009775"/>
                    </a:xfrm>
                    <a:prstGeom prst="rect">
                      <a:avLst/>
                    </a:prstGeom>
                    <a:noFill/>
                    <a:ln w="9525">
                      <a:noFill/>
                      <a:miter lim="800000"/>
                      <a:headEnd/>
                      <a:tailEnd/>
                    </a:ln>
                  </pic:spPr>
                </pic:pic>
              </a:graphicData>
            </a:graphic>
          </wp:inline>
        </w:drawing>
      </w:r>
    </w:p>
    <w:p>
      <w:pPr>
        <w:adjustRightInd w:val="0"/>
        <w:snapToGrid w:val="0"/>
        <w:spacing w:line="480" w:lineRule="exact"/>
        <w:jc w:val="center"/>
        <w:rPr>
          <w:rFonts w:ascii="黑体" w:hAnsi="黑体" w:eastAsia="黑体"/>
          <w:color w:val="000000"/>
          <w:sz w:val="24"/>
        </w:rPr>
      </w:pPr>
      <w:r>
        <w:rPr>
          <w:rFonts w:hint="eastAsia" w:ascii="黑体" w:hAnsi="黑体" w:eastAsia="黑体"/>
          <w:color w:val="000000"/>
          <w:sz w:val="24"/>
        </w:rPr>
        <w:t>COD运移</w:t>
      </w:r>
      <w:r>
        <w:rPr>
          <w:rFonts w:ascii="黑体" w:hAnsi="黑体" w:eastAsia="黑体"/>
          <w:color w:val="000000"/>
          <w:sz w:val="24"/>
        </w:rPr>
        <w:t>10</w:t>
      </w:r>
      <w:r>
        <w:rPr>
          <w:rFonts w:hint="eastAsia" w:ascii="黑体" w:hAnsi="黑体" w:eastAsia="黑体"/>
          <w:color w:val="000000"/>
          <w:sz w:val="24"/>
        </w:rPr>
        <w:t>0</w:t>
      </w:r>
      <w:r>
        <w:rPr>
          <w:rFonts w:ascii="黑体" w:hAnsi="黑体" w:eastAsia="黑体"/>
          <w:color w:val="000000"/>
          <w:sz w:val="24"/>
        </w:rPr>
        <w:t>d</w:t>
      </w:r>
      <w:r>
        <w:rPr>
          <w:rFonts w:hint="eastAsia" w:ascii="黑体" w:hAnsi="黑体" w:eastAsia="黑体"/>
          <w:color w:val="000000"/>
          <w:sz w:val="24"/>
        </w:rPr>
        <w:t>随距离变化图</w:t>
      </w:r>
    </w:p>
    <w:p>
      <w:pPr>
        <w:adjustRightInd w:val="0"/>
        <w:snapToGrid w:val="0"/>
        <w:jc w:val="center"/>
        <w:rPr>
          <w:color w:val="000000"/>
          <w:sz w:val="24"/>
        </w:rPr>
      </w:pPr>
      <w:r>
        <w:drawing>
          <wp:inline distT="0" distB="0" distL="0" distR="0">
            <wp:extent cx="3609975" cy="2019300"/>
            <wp:effectExtent l="19050" t="0" r="9525" b="0"/>
            <wp:docPr id="2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8"/>
                    <pic:cNvPicPr>
                      <a:picLocks noChangeAspect="1" noChangeArrowheads="1"/>
                    </pic:cNvPicPr>
                  </pic:nvPicPr>
                  <pic:blipFill>
                    <a:blip r:embed="rId39"/>
                    <a:srcRect/>
                    <a:stretch>
                      <a:fillRect/>
                    </a:stretch>
                  </pic:blipFill>
                  <pic:spPr>
                    <a:xfrm>
                      <a:off x="0" y="0"/>
                      <a:ext cx="3609975" cy="2019300"/>
                    </a:xfrm>
                    <a:prstGeom prst="rect">
                      <a:avLst/>
                    </a:prstGeom>
                    <a:noFill/>
                    <a:ln w="9525">
                      <a:noFill/>
                      <a:miter lim="800000"/>
                      <a:headEnd/>
                      <a:tailEnd/>
                    </a:ln>
                  </pic:spPr>
                </pic:pic>
              </a:graphicData>
            </a:graphic>
          </wp:inline>
        </w:drawing>
      </w:r>
    </w:p>
    <w:p>
      <w:pPr>
        <w:adjustRightInd w:val="0"/>
        <w:snapToGrid w:val="0"/>
        <w:spacing w:line="480" w:lineRule="exact"/>
        <w:jc w:val="center"/>
        <w:rPr>
          <w:rFonts w:ascii="黑体" w:hAnsi="黑体" w:eastAsia="黑体"/>
          <w:color w:val="000000"/>
          <w:sz w:val="24"/>
        </w:rPr>
      </w:pPr>
      <w:r>
        <w:rPr>
          <w:rFonts w:hint="eastAsia" w:ascii="黑体" w:hAnsi="黑体" w:eastAsia="黑体"/>
          <w:color w:val="000000"/>
          <w:sz w:val="24"/>
        </w:rPr>
        <w:t>COD运移</w:t>
      </w:r>
      <w:r>
        <w:rPr>
          <w:rFonts w:ascii="黑体" w:hAnsi="黑体" w:eastAsia="黑体"/>
          <w:color w:val="000000"/>
          <w:sz w:val="24"/>
        </w:rPr>
        <w:t>100</w:t>
      </w:r>
      <w:r>
        <w:rPr>
          <w:rFonts w:hint="eastAsia" w:ascii="黑体" w:hAnsi="黑体" w:eastAsia="黑体"/>
          <w:color w:val="000000"/>
          <w:sz w:val="24"/>
        </w:rPr>
        <w:t>0</w:t>
      </w:r>
      <w:r>
        <w:rPr>
          <w:rFonts w:ascii="黑体" w:hAnsi="黑体" w:eastAsia="黑体"/>
          <w:color w:val="000000"/>
          <w:sz w:val="24"/>
        </w:rPr>
        <w:t>d</w:t>
      </w:r>
      <w:r>
        <w:rPr>
          <w:rFonts w:hint="eastAsia" w:ascii="黑体" w:hAnsi="黑体" w:eastAsia="黑体"/>
          <w:color w:val="000000"/>
          <w:sz w:val="24"/>
        </w:rPr>
        <w:t>随距离变化图</w:t>
      </w:r>
    </w:p>
    <w:p>
      <w:pPr>
        <w:adjustRightInd w:val="0"/>
        <w:snapToGrid w:val="0"/>
        <w:spacing w:line="480" w:lineRule="exact"/>
        <w:jc w:val="center"/>
        <w:rPr>
          <w:rFonts w:ascii="黑体" w:hAnsi="黑体" w:eastAsia="黑体"/>
          <w:color w:val="000000"/>
          <w:sz w:val="24"/>
        </w:rPr>
      </w:pPr>
      <w:r>
        <w:rPr>
          <w:rFonts w:hint="eastAsia" w:ascii="黑体" w:hAnsi="黑体" w:eastAsia="黑体"/>
          <w:color w:val="000000"/>
          <w:sz w:val="24"/>
        </w:rPr>
        <w:t>图5.2-2  预测计算结果图</w:t>
      </w:r>
    </w:p>
    <w:p>
      <w:pPr>
        <w:adjustRightInd w:val="0"/>
        <w:snapToGrid w:val="0"/>
        <w:spacing w:line="480" w:lineRule="exact"/>
        <w:ind w:firstLine="480" w:firstLineChars="200"/>
        <w:rPr>
          <w:color w:val="000000"/>
          <w:sz w:val="24"/>
        </w:rPr>
      </w:pPr>
      <w:r>
        <w:rPr>
          <w:rFonts w:hint="eastAsia"/>
          <w:color w:val="000000"/>
          <w:sz w:val="24"/>
        </w:rPr>
        <w:t>由表5.2-14可知，</w:t>
      </w:r>
      <w:bookmarkStart w:id="102" w:name="_Hlk530469108"/>
      <w:r>
        <w:rPr>
          <w:rFonts w:hint="eastAsia"/>
          <w:color w:val="000000"/>
          <w:sz w:val="24"/>
        </w:rPr>
        <w:t>本项目发生泄漏情况下，氨氮：</w:t>
      </w:r>
      <w:r>
        <w:rPr>
          <w:color w:val="000000"/>
          <w:sz w:val="24"/>
        </w:rPr>
        <w:t>100d</w:t>
      </w:r>
      <w:r>
        <w:rPr>
          <w:rFonts w:hint="eastAsia"/>
          <w:color w:val="000000"/>
          <w:sz w:val="24"/>
        </w:rPr>
        <w:t>，</w:t>
      </w:r>
      <w:r>
        <w:rPr>
          <w:color w:val="000000"/>
          <w:sz w:val="24"/>
        </w:rPr>
        <w:t>20m</w:t>
      </w:r>
      <w:r>
        <w:rPr>
          <w:rFonts w:hint="eastAsia"/>
          <w:color w:val="000000"/>
          <w:sz w:val="24"/>
        </w:rPr>
        <w:t>时达到标准值，氨氮浓度为</w:t>
      </w:r>
      <w:r>
        <w:rPr>
          <w:color w:val="000000"/>
          <w:sz w:val="24"/>
        </w:rPr>
        <w:t>0.2mg/L</w:t>
      </w:r>
      <w:r>
        <w:rPr>
          <w:rFonts w:hint="eastAsia"/>
          <w:color w:val="000000"/>
          <w:sz w:val="24"/>
        </w:rPr>
        <w:t>；</w:t>
      </w:r>
      <w:r>
        <w:rPr>
          <w:color w:val="000000"/>
          <w:sz w:val="24"/>
        </w:rPr>
        <w:t>1000d</w:t>
      </w:r>
      <w:r>
        <w:rPr>
          <w:rFonts w:hint="eastAsia"/>
          <w:color w:val="000000"/>
          <w:sz w:val="24"/>
        </w:rPr>
        <w:t>在下游</w:t>
      </w:r>
      <w:r>
        <w:rPr>
          <w:color w:val="000000"/>
          <w:sz w:val="24"/>
        </w:rPr>
        <w:t>60m</w:t>
      </w:r>
      <w:r>
        <w:rPr>
          <w:rFonts w:hint="eastAsia"/>
          <w:color w:val="000000"/>
          <w:sz w:val="24"/>
        </w:rPr>
        <w:t>时达到标准值，氨氮浓度为</w:t>
      </w:r>
      <w:r>
        <w:rPr>
          <w:color w:val="000000"/>
          <w:sz w:val="24"/>
        </w:rPr>
        <w:t>0.2mg/L</w:t>
      </w:r>
      <w:r>
        <w:rPr>
          <w:rFonts w:hint="eastAsia"/>
          <w:color w:val="000000"/>
          <w:sz w:val="24"/>
        </w:rPr>
        <w:t>。</w:t>
      </w:r>
      <w:r>
        <w:rPr>
          <w:color w:val="000000"/>
          <w:sz w:val="24"/>
        </w:rPr>
        <w:t>COD</w:t>
      </w:r>
      <w:r>
        <w:rPr>
          <w:rFonts w:hint="eastAsia"/>
          <w:color w:val="000000"/>
          <w:sz w:val="24"/>
        </w:rPr>
        <w:t>：</w:t>
      </w:r>
      <w:r>
        <w:rPr>
          <w:color w:val="000000"/>
          <w:sz w:val="24"/>
        </w:rPr>
        <w:t>100d</w:t>
      </w:r>
      <w:r>
        <w:rPr>
          <w:rFonts w:hint="eastAsia"/>
          <w:color w:val="000000"/>
          <w:sz w:val="24"/>
        </w:rPr>
        <w:t>，</w:t>
      </w:r>
      <w:r>
        <w:rPr>
          <w:color w:val="000000"/>
          <w:sz w:val="24"/>
        </w:rPr>
        <w:t>10m</w:t>
      </w:r>
      <w:r>
        <w:rPr>
          <w:rFonts w:hint="eastAsia"/>
          <w:color w:val="000000"/>
          <w:sz w:val="24"/>
        </w:rPr>
        <w:t>时达到标准值，</w:t>
      </w:r>
      <w:r>
        <w:rPr>
          <w:color w:val="000000"/>
          <w:sz w:val="24"/>
        </w:rPr>
        <w:t>COD</w:t>
      </w:r>
      <w:r>
        <w:rPr>
          <w:rFonts w:hint="eastAsia"/>
          <w:color w:val="000000"/>
          <w:sz w:val="24"/>
        </w:rPr>
        <w:t>浓度为</w:t>
      </w:r>
      <w:r>
        <w:rPr>
          <w:color w:val="000000"/>
          <w:sz w:val="24"/>
        </w:rPr>
        <w:t>20mg/L</w:t>
      </w:r>
      <w:r>
        <w:rPr>
          <w:rFonts w:hint="eastAsia"/>
          <w:color w:val="000000"/>
          <w:sz w:val="24"/>
        </w:rPr>
        <w:t>；</w:t>
      </w:r>
      <w:r>
        <w:rPr>
          <w:color w:val="000000"/>
          <w:sz w:val="24"/>
        </w:rPr>
        <w:t>1000d</w:t>
      </w:r>
      <w:r>
        <w:rPr>
          <w:rFonts w:hint="eastAsia"/>
          <w:color w:val="000000"/>
          <w:sz w:val="24"/>
        </w:rPr>
        <w:t>在下游</w:t>
      </w:r>
      <w:r>
        <w:rPr>
          <w:color w:val="000000"/>
          <w:sz w:val="24"/>
        </w:rPr>
        <w:t>30m</w:t>
      </w:r>
      <w:r>
        <w:rPr>
          <w:rFonts w:hint="eastAsia"/>
          <w:color w:val="000000"/>
          <w:sz w:val="24"/>
        </w:rPr>
        <w:t>时达到标准值，</w:t>
      </w:r>
      <w:r>
        <w:rPr>
          <w:color w:val="000000"/>
          <w:sz w:val="24"/>
        </w:rPr>
        <w:t>COD</w:t>
      </w:r>
      <w:r>
        <w:rPr>
          <w:rFonts w:hint="eastAsia"/>
          <w:color w:val="000000"/>
          <w:sz w:val="24"/>
        </w:rPr>
        <w:t>浓度为</w:t>
      </w:r>
      <w:r>
        <w:rPr>
          <w:color w:val="000000"/>
          <w:sz w:val="24"/>
        </w:rPr>
        <w:t>20mg/L</w:t>
      </w:r>
      <w:r>
        <w:rPr>
          <w:rFonts w:hint="eastAsia"/>
          <w:color w:val="000000"/>
          <w:sz w:val="24"/>
        </w:rPr>
        <w:t>。</w:t>
      </w:r>
      <w:bookmarkEnd w:id="102"/>
    </w:p>
    <w:p>
      <w:pPr>
        <w:adjustRightInd w:val="0"/>
        <w:snapToGrid w:val="0"/>
        <w:spacing w:line="480" w:lineRule="exact"/>
        <w:ind w:firstLine="480" w:firstLineChars="200"/>
        <w:rPr>
          <w:color w:val="000000"/>
          <w:sz w:val="24"/>
        </w:rPr>
      </w:pPr>
      <w:r>
        <w:rPr>
          <w:rFonts w:hint="eastAsia"/>
          <w:color w:val="000000"/>
          <w:sz w:val="24"/>
        </w:rPr>
        <w:t>项目评价区域地下水流向下游</w:t>
      </w:r>
      <w:r>
        <w:rPr>
          <w:color w:val="000000"/>
          <w:sz w:val="24"/>
        </w:rPr>
        <w:t>500</w:t>
      </w:r>
      <w:r>
        <w:rPr>
          <w:rFonts w:hint="eastAsia"/>
          <w:color w:val="000000"/>
          <w:sz w:val="24"/>
        </w:rPr>
        <w:t>米范围内无地下水饮用水井，所以非正常工况下，污水泄漏不会对地下水流向下游居民点地下饮用水造成影响。项目建设对区域地下水环境影响较小。</w:t>
      </w:r>
    </w:p>
    <w:p>
      <w:pPr>
        <w:pStyle w:val="57"/>
        <w:keepNext/>
        <w:keepLines/>
        <w:spacing w:before="0" w:after="0" w:line="480" w:lineRule="exact"/>
        <w:ind w:firstLine="0" w:firstLineChars="0"/>
        <w:outlineLvl w:val="3"/>
        <w:rPr>
          <w:b/>
          <w:color w:val="000000"/>
        </w:rPr>
      </w:pPr>
      <w:r>
        <w:rPr>
          <w:rFonts w:hint="eastAsia"/>
          <w:b/>
        </w:rPr>
        <w:t>5.2.3.</w:t>
      </w:r>
      <w:r>
        <w:rPr>
          <w:b/>
        </w:rPr>
        <w:t>4</w:t>
      </w:r>
      <w:r>
        <w:rPr>
          <w:b/>
          <w:color w:val="000000"/>
        </w:rPr>
        <w:t>减轻地下水污染的措施</w:t>
      </w:r>
    </w:p>
    <w:p>
      <w:pPr>
        <w:pStyle w:val="122"/>
        <w:spacing w:line="480" w:lineRule="exact"/>
        <w:ind w:firstLine="480"/>
        <w:rPr>
          <w:snapToGrid w:val="0"/>
          <w:sz w:val="24"/>
          <w:szCs w:val="24"/>
        </w:rPr>
      </w:pPr>
      <w:bookmarkStart w:id="103" w:name="_Hlk480414022"/>
      <w:r>
        <w:rPr>
          <w:rFonts w:hint="eastAsia"/>
          <w:snapToGrid w:val="0"/>
          <w:sz w:val="24"/>
          <w:szCs w:val="24"/>
        </w:rPr>
        <w:t>为进一步保护地下水资源，本工程在设计上对医疗废物暂存间、污水处理站、废水收集池、鸡舍、安全填埋井、其他建筑等采取防渗处理措施。</w:t>
      </w:r>
    </w:p>
    <w:p>
      <w:pPr>
        <w:pStyle w:val="136"/>
        <w:spacing w:before="0" w:after="0" w:line="480" w:lineRule="exact"/>
        <w:ind w:firstLine="480" w:firstLineChars="200"/>
        <w:rPr>
          <w:rFonts w:ascii="Times New Roman" w:hAnsi="Times New Roman" w:cs="Times New Roman"/>
          <w:szCs w:val="24"/>
        </w:rPr>
      </w:pPr>
      <w:r>
        <w:rPr>
          <w:rFonts w:hint="eastAsia" w:ascii="Times New Roman" w:hAnsi="Times New Roman" w:cs="Times New Roman"/>
          <w:szCs w:val="24"/>
        </w:rPr>
        <w:t>本项目地层主要为第四系中更新统下荒山组合下更新统白土山组砾质中粗砂层承压水，渗透系数为</w:t>
      </w:r>
      <w:r>
        <w:rPr>
          <w:rFonts w:ascii="Times New Roman" w:hAnsi="Times New Roman" w:cs="Times New Roman"/>
          <w:szCs w:val="24"/>
        </w:rPr>
        <w:t>50m/d</w:t>
      </w:r>
      <w:r>
        <w:rPr>
          <w:rFonts w:hint="eastAsia" w:ascii="Times New Roman" w:hAnsi="Times New Roman" w:cs="Times New Roman"/>
          <w:szCs w:val="24"/>
        </w:rPr>
        <w:t>，防污性能分级为弱。地下水防渗分区参照表5.2-15，本项目地下水防渗分区情况见表5.2-16，防渗分区图见图5</w:t>
      </w:r>
      <w:r>
        <w:rPr>
          <w:rFonts w:ascii="Times New Roman" w:hAnsi="Times New Roman" w:cs="Times New Roman"/>
          <w:szCs w:val="24"/>
        </w:rPr>
        <w:t>.2-3</w:t>
      </w:r>
      <w:r>
        <w:rPr>
          <w:rFonts w:hint="eastAsia" w:ascii="Times New Roman" w:hAnsi="Times New Roman" w:cs="Times New Roman"/>
          <w:szCs w:val="24"/>
        </w:rPr>
        <w:t>。</w:t>
      </w:r>
    </w:p>
    <w:p>
      <w:pPr>
        <w:spacing w:line="480" w:lineRule="exact"/>
        <w:jc w:val="center"/>
        <w:rPr>
          <w:rFonts w:eastAsia="黑体"/>
          <w:snapToGrid w:val="0"/>
          <w:sz w:val="24"/>
          <w:lang w:val="zh-CN"/>
        </w:rPr>
      </w:pPr>
      <w:r>
        <w:rPr>
          <w:rFonts w:hint="eastAsia" w:eastAsia="黑体"/>
          <w:snapToGrid w:val="0"/>
          <w:sz w:val="24"/>
          <w:lang w:val="zh-CN"/>
        </w:rPr>
        <w:t>表5.2-15</w:t>
      </w:r>
      <w:r>
        <w:rPr>
          <w:rFonts w:eastAsia="黑体"/>
          <w:snapToGrid w:val="0"/>
          <w:sz w:val="24"/>
          <w:lang w:val="zh-CN"/>
        </w:rPr>
        <w:t xml:space="preserve">  </w:t>
      </w:r>
      <w:r>
        <w:rPr>
          <w:rFonts w:hint="eastAsia" w:eastAsia="黑体"/>
          <w:snapToGrid w:val="0"/>
          <w:sz w:val="24"/>
          <w:lang w:val="zh-CN"/>
        </w:rPr>
        <w:t>地下水污染防渗分区参照表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575"/>
        <w:gridCol w:w="1575"/>
        <w:gridCol w:w="1575"/>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jc w:val="center"/>
              <w:rPr>
                <w:szCs w:val="21"/>
              </w:rPr>
            </w:pPr>
            <w:r>
              <w:rPr>
                <w:rFonts w:hint="eastAsia"/>
                <w:szCs w:val="21"/>
              </w:rPr>
              <w:t>防渗分区</w:t>
            </w:r>
          </w:p>
        </w:tc>
        <w:tc>
          <w:tcPr>
            <w:tcW w:w="869" w:type="pct"/>
            <w:vAlign w:val="center"/>
          </w:tcPr>
          <w:p>
            <w:pPr>
              <w:jc w:val="center"/>
              <w:rPr>
                <w:szCs w:val="21"/>
              </w:rPr>
            </w:pPr>
            <w:r>
              <w:rPr>
                <w:rFonts w:hint="eastAsia"/>
                <w:szCs w:val="21"/>
              </w:rPr>
              <w:t>天然包气带防污性能</w:t>
            </w:r>
          </w:p>
        </w:tc>
        <w:tc>
          <w:tcPr>
            <w:tcW w:w="869" w:type="pct"/>
            <w:vAlign w:val="center"/>
          </w:tcPr>
          <w:p>
            <w:pPr>
              <w:jc w:val="center"/>
              <w:rPr>
                <w:szCs w:val="21"/>
              </w:rPr>
            </w:pPr>
            <w:r>
              <w:rPr>
                <w:rFonts w:hint="eastAsia"/>
                <w:szCs w:val="21"/>
              </w:rPr>
              <w:t>污染控制难易程度</w:t>
            </w:r>
          </w:p>
        </w:tc>
        <w:tc>
          <w:tcPr>
            <w:tcW w:w="869" w:type="pct"/>
            <w:vAlign w:val="center"/>
          </w:tcPr>
          <w:p>
            <w:pPr>
              <w:jc w:val="center"/>
              <w:rPr>
                <w:szCs w:val="21"/>
              </w:rPr>
            </w:pPr>
            <w:r>
              <w:rPr>
                <w:rFonts w:hint="eastAsia"/>
                <w:szCs w:val="21"/>
              </w:rPr>
              <w:t>污染物类型</w:t>
            </w:r>
          </w:p>
        </w:tc>
        <w:tc>
          <w:tcPr>
            <w:tcW w:w="1524" w:type="pct"/>
            <w:vAlign w:val="center"/>
          </w:tcPr>
          <w:p>
            <w:pPr>
              <w:jc w:val="center"/>
              <w:rPr>
                <w:szCs w:val="21"/>
              </w:rPr>
            </w:pPr>
            <w:r>
              <w:rPr>
                <w:rFonts w:hint="eastAsia"/>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Merge w:val="restart"/>
            <w:vAlign w:val="center"/>
          </w:tcPr>
          <w:p>
            <w:pPr>
              <w:jc w:val="center"/>
              <w:rPr>
                <w:szCs w:val="21"/>
              </w:rPr>
            </w:pPr>
            <w:r>
              <w:rPr>
                <w:rFonts w:hint="eastAsia"/>
                <w:szCs w:val="21"/>
              </w:rPr>
              <w:t>重点防渗区</w:t>
            </w:r>
          </w:p>
        </w:tc>
        <w:tc>
          <w:tcPr>
            <w:tcW w:w="869" w:type="pct"/>
            <w:vAlign w:val="center"/>
          </w:tcPr>
          <w:p>
            <w:pPr>
              <w:jc w:val="center"/>
              <w:rPr>
                <w:szCs w:val="21"/>
              </w:rPr>
            </w:pPr>
            <w:r>
              <w:rPr>
                <w:rFonts w:hint="eastAsia"/>
                <w:szCs w:val="21"/>
              </w:rPr>
              <w:t>弱</w:t>
            </w:r>
          </w:p>
        </w:tc>
        <w:tc>
          <w:tcPr>
            <w:tcW w:w="869" w:type="pct"/>
            <w:vAlign w:val="center"/>
          </w:tcPr>
          <w:p>
            <w:pPr>
              <w:jc w:val="center"/>
              <w:rPr>
                <w:szCs w:val="21"/>
              </w:rPr>
            </w:pPr>
            <w:r>
              <w:rPr>
                <w:rFonts w:hint="eastAsia"/>
                <w:szCs w:val="21"/>
              </w:rPr>
              <w:t>难</w:t>
            </w:r>
          </w:p>
        </w:tc>
        <w:tc>
          <w:tcPr>
            <w:tcW w:w="869" w:type="pct"/>
            <w:vMerge w:val="restart"/>
            <w:vAlign w:val="center"/>
          </w:tcPr>
          <w:p>
            <w:pPr>
              <w:jc w:val="center"/>
              <w:rPr>
                <w:szCs w:val="21"/>
              </w:rPr>
            </w:pPr>
            <w:r>
              <w:rPr>
                <w:rFonts w:hint="eastAsia"/>
                <w:szCs w:val="21"/>
              </w:rPr>
              <w:t>重金属、持久性有机物污染物</w:t>
            </w:r>
          </w:p>
        </w:tc>
        <w:tc>
          <w:tcPr>
            <w:tcW w:w="1524" w:type="pct"/>
            <w:vMerge w:val="restart"/>
            <w:vAlign w:val="center"/>
          </w:tcPr>
          <w:p>
            <w:pPr>
              <w:jc w:val="center"/>
              <w:rPr>
                <w:szCs w:val="21"/>
              </w:rPr>
            </w:pPr>
            <w:r>
              <w:rPr>
                <w:rFonts w:hint="eastAsia"/>
                <w:szCs w:val="21"/>
              </w:rPr>
              <w:t>等效黏土防渗层</w:t>
            </w:r>
            <w:r>
              <w:rPr>
                <w:szCs w:val="21"/>
              </w:rPr>
              <w:t>Mb≥6.0m</w:t>
            </w:r>
            <w:r>
              <w:rPr>
                <w:rFonts w:hint="eastAsia"/>
                <w:szCs w:val="21"/>
              </w:rPr>
              <w:t>，</w:t>
            </w:r>
            <w:r>
              <w:rPr>
                <w:szCs w:val="21"/>
              </w:rPr>
              <w:t>K≤1×10</w:t>
            </w:r>
            <w:r>
              <w:rPr>
                <w:szCs w:val="21"/>
                <w:vertAlign w:val="superscript"/>
              </w:rPr>
              <w:t>-7</w:t>
            </w:r>
            <w:r>
              <w:rPr>
                <w:szCs w:val="21"/>
              </w:rPr>
              <w:t>cm/s</w:t>
            </w:r>
            <w:r>
              <w:rPr>
                <w:rFonts w:hint="eastAsia"/>
                <w:szCs w:val="21"/>
              </w:rPr>
              <w:t>；或参照</w:t>
            </w:r>
            <w:r>
              <w:rPr>
                <w:szCs w:val="21"/>
              </w:rPr>
              <w:t>GB18598</w:t>
            </w:r>
            <w:r>
              <w:rPr>
                <w:rFonts w:hint="eastAsia"/>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Merge w:val="continue"/>
            <w:vAlign w:val="center"/>
          </w:tcPr>
          <w:p>
            <w:pPr>
              <w:jc w:val="center"/>
              <w:rPr>
                <w:szCs w:val="21"/>
              </w:rPr>
            </w:pPr>
          </w:p>
        </w:tc>
        <w:tc>
          <w:tcPr>
            <w:tcW w:w="869" w:type="pct"/>
            <w:vAlign w:val="center"/>
          </w:tcPr>
          <w:p>
            <w:pPr>
              <w:jc w:val="center"/>
              <w:rPr>
                <w:szCs w:val="21"/>
              </w:rPr>
            </w:pPr>
            <w:r>
              <w:rPr>
                <w:rFonts w:hint="eastAsia"/>
                <w:szCs w:val="21"/>
              </w:rPr>
              <w:t>中</w:t>
            </w:r>
            <w:r>
              <w:rPr>
                <w:szCs w:val="21"/>
              </w:rPr>
              <w:t>-</w:t>
            </w:r>
            <w:r>
              <w:rPr>
                <w:rFonts w:hint="eastAsia"/>
                <w:szCs w:val="21"/>
              </w:rPr>
              <w:t>强</w:t>
            </w:r>
          </w:p>
        </w:tc>
        <w:tc>
          <w:tcPr>
            <w:tcW w:w="869" w:type="pct"/>
            <w:vAlign w:val="center"/>
          </w:tcPr>
          <w:p>
            <w:pPr>
              <w:jc w:val="center"/>
              <w:rPr>
                <w:szCs w:val="21"/>
              </w:rPr>
            </w:pPr>
            <w:r>
              <w:rPr>
                <w:rFonts w:hint="eastAsia"/>
                <w:szCs w:val="21"/>
              </w:rPr>
              <w:t>难</w:t>
            </w:r>
          </w:p>
        </w:tc>
        <w:tc>
          <w:tcPr>
            <w:tcW w:w="869" w:type="pct"/>
            <w:vMerge w:val="continue"/>
            <w:vAlign w:val="center"/>
          </w:tcPr>
          <w:p>
            <w:pPr>
              <w:jc w:val="center"/>
              <w:rPr>
                <w:szCs w:val="21"/>
              </w:rPr>
            </w:pPr>
          </w:p>
        </w:tc>
        <w:tc>
          <w:tcPr>
            <w:tcW w:w="152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Merge w:val="continue"/>
            <w:vAlign w:val="center"/>
          </w:tcPr>
          <w:p>
            <w:pPr>
              <w:jc w:val="center"/>
              <w:rPr>
                <w:szCs w:val="21"/>
              </w:rPr>
            </w:pPr>
          </w:p>
        </w:tc>
        <w:tc>
          <w:tcPr>
            <w:tcW w:w="869" w:type="pct"/>
            <w:vAlign w:val="center"/>
          </w:tcPr>
          <w:p>
            <w:pPr>
              <w:jc w:val="center"/>
              <w:rPr>
                <w:szCs w:val="21"/>
              </w:rPr>
            </w:pPr>
            <w:r>
              <w:rPr>
                <w:rFonts w:hint="eastAsia"/>
                <w:szCs w:val="21"/>
              </w:rPr>
              <w:t>中</w:t>
            </w:r>
            <w:r>
              <w:rPr>
                <w:szCs w:val="21"/>
              </w:rPr>
              <w:t>-</w:t>
            </w:r>
            <w:r>
              <w:rPr>
                <w:rFonts w:hint="eastAsia"/>
                <w:szCs w:val="21"/>
              </w:rPr>
              <w:t>强</w:t>
            </w:r>
          </w:p>
        </w:tc>
        <w:tc>
          <w:tcPr>
            <w:tcW w:w="869" w:type="pct"/>
            <w:vAlign w:val="center"/>
          </w:tcPr>
          <w:p>
            <w:pPr>
              <w:jc w:val="center"/>
              <w:rPr>
                <w:szCs w:val="21"/>
              </w:rPr>
            </w:pPr>
            <w:r>
              <w:rPr>
                <w:rFonts w:hint="eastAsia"/>
                <w:szCs w:val="21"/>
              </w:rPr>
              <w:t>易</w:t>
            </w:r>
          </w:p>
        </w:tc>
        <w:tc>
          <w:tcPr>
            <w:tcW w:w="869" w:type="pct"/>
            <w:vMerge w:val="continue"/>
            <w:vAlign w:val="center"/>
          </w:tcPr>
          <w:p>
            <w:pPr>
              <w:jc w:val="center"/>
              <w:rPr>
                <w:szCs w:val="21"/>
              </w:rPr>
            </w:pPr>
          </w:p>
        </w:tc>
        <w:tc>
          <w:tcPr>
            <w:tcW w:w="1524" w:type="pct"/>
            <w:vMerge w:val="continue"/>
            <w:vAlign w:val="center"/>
          </w:tcPr>
          <w:p>
            <w:pPr>
              <w:jc w:val="center"/>
              <w:rPr>
                <w:szCs w:val="21"/>
              </w:rPr>
            </w:pPr>
          </w:p>
        </w:tc>
      </w:tr>
    </w:tbl>
    <w:p>
      <w:pPr>
        <w:spacing w:line="480" w:lineRule="exact"/>
        <w:jc w:val="center"/>
        <w:rPr>
          <w:rFonts w:eastAsia="黑体"/>
          <w:snapToGrid w:val="0"/>
          <w:sz w:val="24"/>
          <w:lang w:val="zh-CN"/>
        </w:rPr>
      </w:pPr>
      <w:r>
        <w:rPr>
          <w:rFonts w:hint="eastAsia" w:eastAsia="黑体"/>
          <w:snapToGrid w:val="0"/>
          <w:sz w:val="24"/>
          <w:lang w:val="zh-CN"/>
        </w:rPr>
        <w:t>续表5.2-15</w:t>
      </w:r>
      <w:r>
        <w:rPr>
          <w:rFonts w:eastAsia="黑体"/>
          <w:snapToGrid w:val="0"/>
          <w:sz w:val="24"/>
          <w:lang w:val="zh-CN"/>
        </w:rPr>
        <w:t xml:space="preserve">  </w:t>
      </w:r>
      <w:r>
        <w:rPr>
          <w:rFonts w:hint="eastAsia" w:eastAsia="黑体"/>
          <w:snapToGrid w:val="0"/>
          <w:sz w:val="24"/>
          <w:lang w:val="zh-CN"/>
        </w:rPr>
        <w:t>地下水污染防渗分区参照表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575"/>
        <w:gridCol w:w="1575"/>
        <w:gridCol w:w="1727"/>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jc w:val="center"/>
              <w:rPr>
                <w:szCs w:val="21"/>
              </w:rPr>
            </w:pPr>
            <w:r>
              <w:rPr>
                <w:rFonts w:hint="eastAsia"/>
                <w:szCs w:val="21"/>
              </w:rPr>
              <w:t>防渗分区</w:t>
            </w:r>
          </w:p>
        </w:tc>
        <w:tc>
          <w:tcPr>
            <w:tcW w:w="869" w:type="pct"/>
            <w:vAlign w:val="center"/>
          </w:tcPr>
          <w:p>
            <w:pPr>
              <w:jc w:val="center"/>
              <w:rPr>
                <w:szCs w:val="21"/>
              </w:rPr>
            </w:pPr>
            <w:r>
              <w:rPr>
                <w:rFonts w:hint="eastAsia"/>
                <w:szCs w:val="21"/>
              </w:rPr>
              <w:t>天然包气带防污性能</w:t>
            </w:r>
          </w:p>
        </w:tc>
        <w:tc>
          <w:tcPr>
            <w:tcW w:w="869" w:type="pct"/>
            <w:vAlign w:val="center"/>
          </w:tcPr>
          <w:p>
            <w:pPr>
              <w:jc w:val="center"/>
              <w:rPr>
                <w:szCs w:val="21"/>
              </w:rPr>
            </w:pPr>
            <w:r>
              <w:rPr>
                <w:rFonts w:hint="eastAsia"/>
                <w:szCs w:val="21"/>
              </w:rPr>
              <w:t>污染控制难易程度</w:t>
            </w:r>
          </w:p>
        </w:tc>
        <w:tc>
          <w:tcPr>
            <w:tcW w:w="953" w:type="pct"/>
            <w:vAlign w:val="center"/>
          </w:tcPr>
          <w:p>
            <w:pPr>
              <w:jc w:val="center"/>
              <w:rPr>
                <w:szCs w:val="21"/>
              </w:rPr>
            </w:pPr>
            <w:r>
              <w:rPr>
                <w:rFonts w:hint="eastAsia"/>
                <w:szCs w:val="21"/>
              </w:rPr>
              <w:t>污染物类型</w:t>
            </w:r>
          </w:p>
        </w:tc>
        <w:tc>
          <w:tcPr>
            <w:tcW w:w="1440" w:type="pct"/>
            <w:vAlign w:val="center"/>
          </w:tcPr>
          <w:p>
            <w:pPr>
              <w:jc w:val="center"/>
              <w:rPr>
                <w:szCs w:val="21"/>
              </w:rPr>
            </w:pPr>
            <w:r>
              <w:rPr>
                <w:rFonts w:hint="eastAsia"/>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Merge w:val="restart"/>
            <w:vAlign w:val="center"/>
          </w:tcPr>
          <w:p>
            <w:pPr>
              <w:jc w:val="center"/>
              <w:rPr>
                <w:szCs w:val="21"/>
              </w:rPr>
            </w:pPr>
            <w:r>
              <w:rPr>
                <w:rFonts w:hint="eastAsia"/>
                <w:szCs w:val="21"/>
              </w:rPr>
              <w:t>一般防渗区</w:t>
            </w:r>
          </w:p>
        </w:tc>
        <w:tc>
          <w:tcPr>
            <w:tcW w:w="869" w:type="pct"/>
            <w:vAlign w:val="center"/>
          </w:tcPr>
          <w:p>
            <w:pPr>
              <w:jc w:val="center"/>
              <w:rPr>
                <w:szCs w:val="21"/>
              </w:rPr>
            </w:pPr>
            <w:r>
              <w:rPr>
                <w:rFonts w:hint="eastAsia"/>
                <w:szCs w:val="21"/>
              </w:rPr>
              <w:t>弱</w:t>
            </w:r>
          </w:p>
        </w:tc>
        <w:tc>
          <w:tcPr>
            <w:tcW w:w="869" w:type="pct"/>
            <w:vAlign w:val="center"/>
          </w:tcPr>
          <w:p>
            <w:pPr>
              <w:jc w:val="center"/>
              <w:rPr>
                <w:szCs w:val="21"/>
              </w:rPr>
            </w:pPr>
            <w:r>
              <w:rPr>
                <w:rFonts w:hint="eastAsia"/>
                <w:szCs w:val="21"/>
              </w:rPr>
              <w:t>易</w:t>
            </w:r>
            <w:r>
              <w:rPr>
                <w:szCs w:val="21"/>
              </w:rPr>
              <w:t>-</w:t>
            </w:r>
            <w:r>
              <w:rPr>
                <w:rFonts w:hint="eastAsia"/>
                <w:szCs w:val="21"/>
              </w:rPr>
              <w:t>难</w:t>
            </w:r>
          </w:p>
        </w:tc>
        <w:tc>
          <w:tcPr>
            <w:tcW w:w="953" w:type="pct"/>
            <w:vMerge w:val="restart"/>
            <w:vAlign w:val="center"/>
          </w:tcPr>
          <w:p>
            <w:pPr>
              <w:jc w:val="center"/>
              <w:rPr>
                <w:szCs w:val="21"/>
              </w:rPr>
            </w:pPr>
            <w:r>
              <w:rPr>
                <w:rFonts w:hint="eastAsia"/>
                <w:szCs w:val="21"/>
              </w:rPr>
              <w:t>其他类型</w:t>
            </w:r>
          </w:p>
        </w:tc>
        <w:tc>
          <w:tcPr>
            <w:tcW w:w="1440" w:type="pct"/>
            <w:vMerge w:val="restart"/>
            <w:vAlign w:val="center"/>
          </w:tcPr>
          <w:p>
            <w:pPr>
              <w:jc w:val="center"/>
              <w:rPr>
                <w:szCs w:val="21"/>
              </w:rPr>
            </w:pPr>
            <w:r>
              <w:rPr>
                <w:rFonts w:hint="eastAsia"/>
                <w:szCs w:val="21"/>
              </w:rPr>
              <w:t>等效黏土防渗层</w:t>
            </w:r>
            <w:r>
              <w:rPr>
                <w:szCs w:val="21"/>
              </w:rPr>
              <w:t>Mb≥1.5m</w:t>
            </w:r>
            <w:r>
              <w:rPr>
                <w:rFonts w:hint="eastAsia"/>
                <w:szCs w:val="21"/>
              </w:rPr>
              <w:t>，</w:t>
            </w:r>
            <w:r>
              <w:rPr>
                <w:szCs w:val="21"/>
              </w:rPr>
              <w:t>K≤1×10</w:t>
            </w:r>
            <w:r>
              <w:rPr>
                <w:szCs w:val="21"/>
                <w:vertAlign w:val="superscript"/>
              </w:rPr>
              <w:t>-7</w:t>
            </w:r>
            <w:r>
              <w:rPr>
                <w:szCs w:val="21"/>
              </w:rPr>
              <w:t>cm/s</w:t>
            </w:r>
            <w:r>
              <w:rPr>
                <w:rFonts w:hint="eastAsia"/>
                <w:szCs w:val="21"/>
              </w:rPr>
              <w:t>；或参照</w:t>
            </w:r>
            <w:r>
              <w:rPr>
                <w:szCs w:val="21"/>
              </w:rPr>
              <w:t>GB16889</w:t>
            </w:r>
            <w:r>
              <w:rPr>
                <w:rFonts w:hint="eastAsia"/>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Merge w:val="continue"/>
            <w:vAlign w:val="center"/>
          </w:tcPr>
          <w:p>
            <w:pPr>
              <w:jc w:val="center"/>
              <w:rPr>
                <w:szCs w:val="21"/>
              </w:rPr>
            </w:pPr>
          </w:p>
        </w:tc>
        <w:tc>
          <w:tcPr>
            <w:tcW w:w="869" w:type="pct"/>
            <w:vAlign w:val="center"/>
          </w:tcPr>
          <w:p>
            <w:pPr>
              <w:jc w:val="center"/>
              <w:rPr>
                <w:szCs w:val="21"/>
              </w:rPr>
            </w:pPr>
            <w:r>
              <w:rPr>
                <w:rFonts w:hint="eastAsia"/>
                <w:szCs w:val="21"/>
              </w:rPr>
              <w:t>中</w:t>
            </w:r>
            <w:r>
              <w:rPr>
                <w:szCs w:val="21"/>
              </w:rPr>
              <w:t>-</w:t>
            </w:r>
            <w:r>
              <w:rPr>
                <w:rFonts w:hint="eastAsia"/>
                <w:szCs w:val="21"/>
              </w:rPr>
              <w:t>强</w:t>
            </w:r>
          </w:p>
        </w:tc>
        <w:tc>
          <w:tcPr>
            <w:tcW w:w="869" w:type="pct"/>
            <w:vAlign w:val="center"/>
          </w:tcPr>
          <w:p>
            <w:pPr>
              <w:jc w:val="center"/>
              <w:rPr>
                <w:szCs w:val="21"/>
              </w:rPr>
            </w:pPr>
            <w:r>
              <w:rPr>
                <w:rFonts w:hint="eastAsia"/>
                <w:szCs w:val="21"/>
              </w:rPr>
              <w:t>难</w:t>
            </w:r>
          </w:p>
        </w:tc>
        <w:tc>
          <w:tcPr>
            <w:tcW w:w="953" w:type="pct"/>
            <w:vMerge w:val="continue"/>
            <w:vAlign w:val="center"/>
          </w:tcPr>
          <w:p>
            <w:pPr>
              <w:jc w:val="center"/>
              <w:rPr>
                <w:szCs w:val="21"/>
              </w:rPr>
            </w:pPr>
          </w:p>
        </w:tc>
        <w:tc>
          <w:tcPr>
            <w:tcW w:w="1440"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jc w:val="center"/>
              <w:rPr>
                <w:szCs w:val="21"/>
              </w:rPr>
            </w:pPr>
            <w:r>
              <w:rPr>
                <w:rFonts w:hint="eastAsia"/>
                <w:szCs w:val="21"/>
              </w:rPr>
              <w:t>一般防渗区</w:t>
            </w:r>
          </w:p>
        </w:tc>
        <w:tc>
          <w:tcPr>
            <w:tcW w:w="869" w:type="pct"/>
            <w:vAlign w:val="center"/>
          </w:tcPr>
          <w:p>
            <w:pPr>
              <w:jc w:val="center"/>
              <w:rPr>
                <w:szCs w:val="21"/>
              </w:rPr>
            </w:pPr>
            <w:r>
              <w:rPr>
                <w:rFonts w:hint="eastAsia"/>
                <w:szCs w:val="21"/>
              </w:rPr>
              <w:t>中</w:t>
            </w:r>
          </w:p>
        </w:tc>
        <w:tc>
          <w:tcPr>
            <w:tcW w:w="869" w:type="pct"/>
            <w:vAlign w:val="center"/>
          </w:tcPr>
          <w:p>
            <w:pPr>
              <w:jc w:val="center"/>
              <w:rPr>
                <w:szCs w:val="21"/>
              </w:rPr>
            </w:pPr>
            <w:r>
              <w:rPr>
                <w:rFonts w:hint="eastAsia"/>
                <w:szCs w:val="21"/>
              </w:rPr>
              <w:t>易</w:t>
            </w:r>
          </w:p>
        </w:tc>
        <w:tc>
          <w:tcPr>
            <w:tcW w:w="953" w:type="pct"/>
            <w:vAlign w:val="center"/>
          </w:tcPr>
          <w:p>
            <w:pPr>
              <w:jc w:val="center"/>
              <w:rPr>
                <w:szCs w:val="21"/>
              </w:rPr>
            </w:pPr>
            <w:r>
              <w:rPr>
                <w:rFonts w:hint="eastAsia"/>
                <w:szCs w:val="21"/>
              </w:rPr>
              <w:t>重金属、持久性有机物污染物</w:t>
            </w:r>
          </w:p>
        </w:tc>
        <w:tc>
          <w:tcPr>
            <w:tcW w:w="1440"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pct"/>
            <w:vAlign w:val="center"/>
          </w:tcPr>
          <w:p>
            <w:pPr>
              <w:jc w:val="center"/>
              <w:rPr>
                <w:szCs w:val="21"/>
              </w:rPr>
            </w:pPr>
            <w:r>
              <w:rPr>
                <w:rFonts w:hint="eastAsia"/>
                <w:szCs w:val="21"/>
              </w:rPr>
              <w:t>简单防渗区</w:t>
            </w:r>
          </w:p>
        </w:tc>
        <w:tc>
          <w:tcPr>
            <w:tcW w:w="869" w:type="pct"/>
            <w:vAlign w:val="center"/>
          </w:tcPr>
          <w:p>
            <w:pPr>
              <w:jc w:val="center"/>
              <w:rPr>
                <w:szCs w:val="21"/>
              </w:rPr>
            </w:pPr>
            <w:r>
              <w:rPr>
                <w:rFonts w:hint="eastAsia"/>
                <w:szCs w:val="21"/>
              </w:rPr>
              <w:t>中</w:t>
            </w:r>
            <w:r>
              <w:rPr>
                <w:szCs w:val="21"/>
              </w:rPr>
              <w:t>-</w:t>
            </w:r>
            <w:r>
              <w:rPr>
                <w:rFonts w:hint="eastAsia"/>
                <w:szCs w:val="21"/>
              </w:rPr>
              <w:t>强</w:t>
            </w:r>
          </w:p>
        </w:tc>
        <w:tc>
          <w:tcPr>
            <w:tcW w:w="869" w:type="pct"/>
            <w:vAlign w:val="center"/>
          </w:tcPr>
          <w:p>
            <w:pPr>
              <w:jc w:val="center"/>
              <w:rPr>
                <w:szCs w:val="21"/>
              </w:rPr>
            </w:pPr>
            <w:r>
              <w:rPr>
                <w:rFonts w:hint="eastAsia"/>
                <w:szCs w:val="21"/>
              </w:rPr>
              <w:t>易</w:t>
            </w:r>
          </w:p>
        </w:tc>
        <w:tc>
          <w:tcPr>
            <w:tcW w:w="953" w:type="pct"/>
            <w:vAlign w:val="center"/>
          </w:tcPr>
          <w:p>
            <w:pPr>
              <w:jc w:val="center"/>
              <w:rPr>
                <w:szCs w:val="21"/>
              </w:rPr>
            </w:pPr>
            <w:r>
              <w:rPr>
                <w:rFonts w:hint="eastAsia"/>
                <w:szCs w:val="21"/>
              </w:rPr>
              <w:t>其他类型</w:t>
            </w:r>
          </w:p>
        </w:tc>
        <w:tc>
          <w:tcPr>
            <w:tcW w:w="1440" w:type="pct"/>
            <w:vAlign w:val="center"/>
          </w:tcPr>
          <w:p>
            <w:pPr>
              <w:jc w:val="center"/>
              <w:rPr>
                <w:szCs w:val="21"/>
              </w:rPr>
            </w:pPr>
            <w:r>
              <w:rPr>
                <w:rFonts w:hint="eastAsia"/>
                <w:szCs w:val="21"/>
              </w:rPr>
              <w:t>一般地面硬化</w:t>
            </w:r>
          </w:p>
        </w:tc>
      </w:tr>
      <w:bookmarkEnd w:id="103"/>
    </w:tbl>
    <w:p>
      <w:pPr>
        <w:spacing w:line="480" w:lineRule="exact"/>
        <w:jc w:val="center"/>
        <w:rPr>
          <w:rFonts w:eastAsia="黑体"/>
          <w:snapToGrid w:val="0"/>
          <w:sz w:val="24"/>
          <w:lang w:val="zh-CN"/>
        </w:rPr>
      </w:pPr>
      <w:r>
        <w:rPr>
          <w:rFonts w:hint="eastAsia" w:eastAsia="黑体"/>
          <w:snapToGrid w:val="0"/>
          <w:sz w:val="24"/>
          <w:lang w:val="zh-CN"/>
        </w:rPr>
        <w:t>表5.2-16</w:t>
      </w:r>
      <w:r>
        <w:rPr>
          <w:rFonts w:eastAsia="黑体"/>
          <w:snapToGrid w:val="0"/>
          <w:sz w:val="24"/>
          <w:lang w:val="zh-CN"/>
        </w:rPr>
        <w:t xml:space="preserve">  </w:t>
      </w:r>
      <w:r>
        <w:rPr>
          <w:rFonts w:hint="eastAsia" w:eastAsia="黑体"/>
          <w:snapToGrid w:val="0"/>
          <w:sz w:val="24"/>
          <w:lang w:val="zh-CN"/>
        </w:rPr>
        <w:t>本项目地下水防渗分区情况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673"/>
        <w:gridCol w:w="1149"/>
        <w:gridCol w:w="863"/>
        <w:gridCol w:w="1004"/>
        <w:gridCol w:w="3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vAlign w:val="center"/>
          </w:tcPr>
          <w:p>
            <w:pPr>
              <w:jc w:val="center"/>
              <w:rPr>
                <w:szCs w:val="21"/>
              </w:rPr>
            </w:pPr>
            <w:r>
              <w:rPr>
                <w:rFonts w:hint="eastAsia"/>
                <w:szCs w:val="21"/>
              </w:rPr>
              <w:t>防渗</w:t>
            </w:r>
          </w:p>
          <w:p>
            <w:pPr>
              <w:jc w:val="center"/>
              <w:rPr>
                <w:szCs w:val="21"/>
              </w:rPr>
            </w:pPr>
            <w:r>
              <w:rPr>
                <w:rFonts w:hint="eastAsia"/>
                <w:szCs w:val="21"/>
              </w:rPr>
              <w:t>分区</w:t>
            </w:r>
          </w:p>
        </w:tc>
        <w:tc>
          <w:tcPr>
            <w:tcW w:w="923" w:type="pct"/>
            <w:vAlign w:val="center"/>
          </w:tcPr>
          <w:p>
            <w:pPr>
              <w:jc w:val="center"/>
              <w:rPr>
                <w:szCs w:val="21"/>
              </w:rPr>
            </w:pPr>
            <w:r>
              <w:rPr>
                <w:rFonts w:hint="eastAsia"/>
                <w:szCs w:val="21"/>
              </w:rPr>
              <w:t>构筑物</w:t>
            </w:r>
          </w:p>
        </w:tc>
        <w:tc>
          <w:tcPr>
            <w:tcW w:w="634" w:type="pct"/>
            <w:vAlign w:val="center"/>
          </w:tcPr>
          <w:p>
            <w:pPr>
              <w:jc w:val="center"/>
              <w:rPr>
                <w:szCs w:val="21"/>
              </w:rPr>
            </w:pPr>
            <w:r>
              <w:rPr>
                <w:rFonts w:hint="eastAsia"/>
                <w:szCs w:val="21"/>
              </w:rPr>
              <w:t>天然包气带防污性能</w:t>
            </w:r>
          </w:p>
        </w:tc>
        <w:tc>
          <w:tcPr>
            <w:tcW w:w="476" w:type="pct"/>
            <w:vAlign w:val="center"/>
          </w:tcPr>
          <w:p>
            <w:pPr>
              <w:jc w:val="center"/>
              <w:rPr>
                <w:szCs w:val="21"/>
              </w:rPr>
            </w:pPr>
            <w:r>
              <w:rPr>
                <w:rFonts w:hint="eastAsia"/>
                <w:szCs w:val="21"/>
              </w:rPr>
              <w:t>污染控制难易程度</w:t>
            </w:r>
          </w:p>
        </w:tc>
        <w:tc>
          <w:tcPr>
            <w:tcW w:w="554" w:type="pct"/>
            <w:vAlign w:val="center"/>
          </w:tcPr>
          <w:p>
            <w:pPr>
              <w:jc w:val="center"/>
              <w:rPr>
                <w:szCs w:val="21"/>
              </w:rPr>
            </w:pPr>
            <w:r>
              <w:rPr>
                <w:rFonts w:hint="eastAsia"/>
                <w:szCs w:val="21"/>
              </w:rPr>
              <w:t>污染物类型</w:t>
            </w:r>
          </w:p>
        </w:tc>
        <w:tc>
          <w:tcPr>
            <w:tcW w:w="1849" w:type="pct"/>
            <w:vAlign w:val="center"/>
          </w:tcPr>
          <w:p>
            <w:pPr>
              <w:jc w:val="center"/>
              <w:rPr>
                <w:szCs w:val="21"/>
              </w:rPr>
            </w:pPr>
            <w:r>
              <w:rPr>
                <w:rFonts w:hint="eastAsia"/>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vAlign w:val="center"/>
          </w:tcPr>
          <w:p>
            <w:pPr>
              <w:jc w:val="center"/>
              <w:rPr>
                <w:szCs w:val="21"/>
              </w:rPr>
            </w:pPr>
            <w:r>
              <w:rPr>
                <w:rFonts w:hint="eastAsia"/>
                <w:szCs w:val="21"/>
              </w:rPr>
              <w:t>重点</w:t>
            </w:r>
          </w:p>
          <w:p>
            <w:pPr>
              <w:jc w:val="center"/>
              <w:rPr>
                <w:szCs w:val="21"/>
              </w:rPr>
            </w:pPr>
            <w:r>
              <w:rPr>
                <w:rFonts w:hint="eastAsia"/>
                <w:szCs w:val="21"/>
              </w:rPr>
              <w:t>防渗区</w:t>
            </w:r>
          </w:p>
        </w:tc>
        <w:tc>
          <w:tcPr>
            <w:tcW w:w="923" w:type="pct"/>
            <w:vAlign w:val="center"/>
          </w:tcPr>
          <w:p>
            <w:pPr>
              <w:jc w:val="center"/>
              <w:rPr>
                <w:szCs w:val="21"/>
              </w:rPr>
            </w:pPr>
            <w:r>
              <w:rPr>
                <w:rFonts w:hint="eastAsia"/>
                <w:snapToGrid w:val="0"/>
                <w:kern w:val="0"/>
                <w:szCs w:val="21"/>
              </w:rPr>
              <w:t>医疗废物暂存间、污水处理站、废水收集池</w:t>
            </w:r>
          </w:p>
        </w:tc>
        <w:tc>
          <w:tcPr>
            <w:tcW w:w="634" w:type="pct"/>
            <w:vAlign w:val="center"/>
          </w:tcPr>
          <w:p>
            <w:pPr>
              <w:jc w:val="center"/>
              <w:rPr>
                <w:szCs w:val="21"/>
              </w:rPr>
            </w:pPr>
            <w:r>
              <w:rPr>
                <w:rFonts w:hint="eastAsia"/>
                <w:szCs w:val="21"/>
              </w:rPr>
              <w:t>弱</w:t>
            </w:r>
          </w:p>
        </w:tc>
        <w:tc>
          <w:tcPr>
            <w:tcW w:w="476" w:type="pct"/>
            <w:vAlign w:val="center"/>
          </w:tcPr>
          <w:p>
            <w:pPr>
              <w:jc w:val="center"/>
              <w:rPr>
                <w:szCs w:val="21"/>
              </w:rPr>
            </w:pPr>
            <w:r>
              <w:rPr>
                <w:rFonts w:hint="eastAsia"/>
                <w:szCs w:val="21"/>
              </w:rPr>
              <w:t>难</w:t>
            </w:r>
          </w:p>
        </w:tc>
        <w:tc>
          <w:tcPr>
            <w:tcW w:w="554" w:type="pct"/>
            <w:vAlign w:val="center"/>
          </w:tcPr>
          <w:p>
            <w:pPr>
              <w:jc w:val="center"/>
              <w:rPr>
                <w:szCs w:val="21"/>
              </w:rPr>
            </w:pPr>
            <w:r>
              <w:rPr>
                <w:rFonts w:hint="eastAsia"/>
                <w:szCs w:val="21"/>
              </w:rPr>
              <w:t>其他</w:t>
            </w:r>
          </w:p>
          <w:p>
            <w:pPr>
              <w:jc w:val="center"/>
              <w:rPr>
                <w:szCs w:val="21"/>
              </w:rPr>
            </w:pPr>
            <w:r>
              <w:rPr>
                <w:rFonts w:hint="eastAsia"/>
                <w:szCs w:val="21"/>
              </w:rPr>
              <w:t>类型</w:t>
            </w:r>
          </w:p>
        </w:tc>
        <w:tc>
          <w:tcPr>
            <w:tcW w:w="1849" w:type="pct"/>
            <w:vAlign w:val="center"/>
          </w:tcPr>
          <w:p>
            <w:pPr>
              <w:jc w:val="center"/>
              <w:rPr>
                <w:szCs w:val="21"/>
              </w:rPr>
            </w:pPr>
            <w:r>
              <w:rPr>
                <w:rFonts w:hint="eastAsia"/>
                <w:szCs w:val="21"/>
              </w:rPr>
              <w:t>等效黏土防渗层</w:t>
            </w:r>
            <w:r>
              <w:rPr>
                <w:szCs w:val="21"/>
              </w:rPr>
              <w:t>Mb≥6m</w:t>
            </w:r>
            <w:r>
              <w:rPr>
                <w:rFonts w:hint="eastAsia"/>
                <w:szCs w:val="21"/>
              </w:rPr>
              <w:t>，</w:t>
            </w:r>
            <w:r>
              <w:rPr>
                <w:szCs w:val="21"/>
              </w:rPr>
              <w:t>K≤1×10</w:t>
            </w:r>
            <w:r>
              <w:rPr>
                <w:szCs w:val="21"/>
                <w:vertAlign w:val="superscript"/>
              </w:rPr>
              <w:t>-7</w:t>
            </w:r>
            <w:r>
              <w:rPr>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vAlign w:val="center"/>
          </w:tcPr>
          <w:p>
            <w:pPr>
              <w:jc w:val="center"/>
              <w:rPr>
                <w:szCs w:val="21"/>
              </w:rPr>
            </w:pPr>
            <w:r>
              <w:rPr>
                <w:rFonts w:hint="eastAsia"/>
                <w:szCs w:val="21"/>
              </w:rPr>
              <w:t>一般</w:t>
            </w:r>
          </w:p>
          <w:p>
            <w:pPr>
              <w:jc w:val="center"/>
              <w:rPr>
                <w:szCs w:val="21"/>
              </w:rPr>
            </w:pPr>
            <w:r>
              <w:rPr>
                <w:rFonts w:hint="eastAsia"/>
                <w:szCs w:val="21"/>
              </w:rPr>
              <w:t>防渗区</w:t>
            </w:r>
          </w:p>
        </w:tc>
        <w:tc>
          <w:tcPr>
            <w:tcW w:w="923" w:type="pct"/>
            <w:vAlign w:val="center"/>
          </w:tcPr>
          <w:p>
            <w:pPr>
              <w:jc w:val="center"/>
              <w:rPr>
                <w:szCs w:val="21"/>
              </w:rPr>
            </w:pPr>
            <w:r>
              <w:rPr>
                <w:rFonts w:hint="eastAsia"/>
                <w:snapToGrid w:val="0"/>
                <w:kern w:val="0"/>
                <w:szCs w:val="21"/>
              </w:rPr>
              <w:t>鸡舍、安全填埋井、出水储池</w:t>
            </w:r>
          </w:p>
        </w:tc>
        <w:tc>
          <w:tcPr>
            <w:tcW w:w="634" w:type="pct"/>
            <w:vAlign w:val="center"/>
          </w:tcPr>
          <w:p>
            <w:pPr>
              <w:jc w:val="center"/>
              <w:rPr>
                <w:szCs w:val="21"/>
              </w:rPr>
            </w:pPr>
            <w:r>
              <w:rPr>
                <w:rFonts w:hint="eastAsia"/>
                <w:szCs w:val="21"/>
              </w:rPr>
              <w:t>弱</w:t>
            </w:r>
          </w:p>
        </w:tc>
        <w:tc>
          <w:tcPr>
            <w:tcW w:w="476" w:type="pct"/>
            <w:vAlign w:val="center"/>
          </w:tcPr>
          <w:p>
            <w:pPr>
              <w:jc w:val="center"/>
              <w:rPr>
                <w:szCs w:val="21"/>
              </w:rPr>
            </w:pPr>
            <w:r>
              <w:rPr>
                <w:rFonts w:hint="eastAsia"/>
                <w:szCs w:val="21"/>
              </w:rPr>
              <w:t>易</w:t>
            </w:r>
          </w:p>
        </w:tc>
        <w:tc>
          <w:tcPr>
            <w:tcW w:w="554" w:type="pct"/>
            <w:vAlign w:val="center"/>
          </w:tcPr>
          <w:p>
            <w:pPr>
              <w:jc w:val="center"/>
              <w:rPr>
                <w:szCs w:val="21"/>
              </w:rPr>
            </w:pPr>
            <w:r>
              <w:rPr>
                <w:rFonts w:hint="eastAsia"/>
                <w:szCs w:val="21"/>
              </w:rPr>
              <w:t>其他</w:t>
            </w:r>
          </w:p>
          <w:p>
            <w:pPr>
              <w:jc w:val="center"/>
              <w:rPr>
                <w:szCs w:val="21"/>
              </w:rPr>
            </w:pPr>
            <w:r>
              <w:rPr>
                <w:rFonts w:hint="eastAsia"/>
                <w:szCs w:val="21"/>
              </w:rPr>
              <w:t>类型</w:t>
            </w:r>
          </w:p>
        </w:tc>
        <w:tc>
          <w:tcPr>
            <w:tcW w:w="1849" w:type="pct"/>
            <w:vAlign w:val="center"/>
          </w:tcPr>
          <w:p>
            <w:pPr>
              <w:jc w:val="center"/>
              <w:rPr>
                <w:szCs w:val="21"/>
              </w:rPr>
            </w:pPr>
            <w:r>
              <w:rPr>
                <w:rFonts w:hint="eastAsia"/>
                <w:szCs w:val="21"/>
              </w:rPr>
              <w:t>等效黏土防渗层</w:t>
            </w:r>
            <w:r>
              <w:rPr>
                <w:szCs w:val="21"/>
              </w:rPr>
              <w:t>Mb≥1.5m</w:t>
            </w:r>
            <w:r>
              <w:rPr>
                <w:rFonts w:hint="eastAsia"/>
                <w:szCs w:val="21"/>
              </w:rPr>
              <w:t>，</w:t>
            </w:r>
            <w:r>
              <w:rPr>
                <w:szCs w:val="21"/>
              </w:rPr>
              <w:t>K≤1×10</w:t>
            </w:r>
            <w:r>
              <w:rPr>
                <w:szCs w:val="21"/>
                <w:vertAlign w:val="superscript"/>
              </w:rPr>
              <w:t>-7</w:t>
            </w:r>
            <w:r>
              <w:rPr>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vAlign w:val="center"/>
          </w:tcPr>
          <w:p>
            <w:pPr>
              <w:jc w:val="center"/>
              <w:rPr>
                <w:szCs w:val="21"/>
              </w:rPr>
            </w:pPr>
            <w:r>
              <w:rPr>
                <w:rFonts w:hint="eastAsia"/>
                <w:szCs w:val="21"/>
              </w:rPr>
              <w:t>简单</w:t>
            </w:r>
          </w:p>
          <w:p>
            <w:pPr>
              <w:jc w:val="center"/>
              <w:rPr>
                <w:szCs w:val="21"/>
              </w:rPr>
            </w:pPr>
            <w:r>
              <w:rPr>
                <w:rFonts w:hint="eastAsia"/>
                <w:szCs w:val="21"/>
              </w:rPr>
              <w:t>防渗区</w:t>
            </w:r>
          </w:p>
        </w:tc>
        <w:tc>
          <w:tcPr>
            <w:tcW w:w="923" w:type="pct"/>
            <w:vAlign w:val="center"/>
          </w:tcPr>
          <w:p>
            <w:pPr>
              <w:jc w:val="center"/>
              <w:rPr>
                <w:szCs w:val="21"/>
              </w:rPr>
            </w:pPr>
            <w:r>
              <w:rPr>
                <w:rFonts w:hint="eastAsia"/>
                <w:szCs w:val="21"/>
              </w:rPr>
              <w:t>办公用房等</w:t>
            </w:r>
          </w:p>
        </w:tc>
        <w:tc>
          <w:tcPr>
            <w:tcW w:w="634" w:type="pct"/>
            <w:vAlign w:val="center"/>
          </w:tcPr>
          <w:p>
            <w:pPr>
              <w:jc w:val="center"/>
              <w:rPr>
                <w:szCs w:val="21"/>
              </w:rPr>
            </w:pPr>
            <w:r>
              <w:rPr>
                <w:rFonts w:hint="eastAsia"/>
                <w:szCs w:val="21"/>
              </w:rPr>
              <w:t>弱</w:t>
            </w:r>
          </w:p>
        </w:tc>
        <w:tc>
          <w:tcPr>
            <w:tcW w:w="476" w:type="pct"/>
            <w:vAlign w:val="center"/>
          </w:tcPr>
          <w:p>
            <w:pPr>
              <w:jc w:val="center"/>
              <w:rPr>
                <w:szCs w:val="21"/>
              </w:rPr>
            </w:pPr>
            <w:r>
              <w:rPr>
                <w:rFonts w:hint="eastAsia"/>
                <w:szCs w:val="21"/>
              </w:rPr>
              <w:t>易</w:t>
            </w:r>
          </w:p>
        </w:tc>
        <w:tc>
          <w:tcPr>
            <w:tcW w:w="554" w:type="pct"/>
            <w:vAlign w:val="center"/>
          </w:tcPr>
          <w:p>
            <w:pPr>
              <w:jc w:val="center"/>
              <w:rPr>
                <w:szCs w:val="21"/>
              </w:rPr>
            </w:pPr>
            <w:r>
              <w:rPr>
                <w:rFonts w:hint="eastAsia"/>
                <w:szCs w:val="21"/>
              </w:rPr>
              <w:t>其他</w:t>
            </w:r>
          </w:p>
          <w:p>
            <w:pPr>
              <w:jc w:val="center"/>
              <w:rPr>
                <w:szCs w:val="21"/>
              </w:rPr>
            </w:pPr>
            <w:r>
              <w:rPr>
                <w:rFonts w:hint="eastAsia"/>
                <w:szCs w:val="21"/>
              </w:rPr>
              <w:t>类型</w:t>
            </w:r>
          </w:p>
        </w:tc>
        <w:tc>
          <w:tcPr>
            <w:tcW w:w="1849" w:type="pct"/>
            <w:vAlign w:val="center"/>
          </w:tcPr>
          <w:p>
            <w:pPr>
              <w:jc w:val="center"/>
              <w:rPr>
                <w:szCs w:val="21"/>
              </w:rPr>
            </w:pPr>
            <w:r>
              <w:rPr>
                <w:rFonts w:hint="eastAsia"/>
                <w:szCs w:val="21"/>
              </w:rPr>
              <w:t>一般地面硬化</w:t>
            </w:r>
          </w:p>
        </w:tc>
      </w:tr>
    </w:tbl>
    <w:p>
      <w:pPr>
        <w:pStyle w:val="122"/>
        <w:spacing w:line="480" w:lineRule="exact"/>
        <w:ind w:firstLine="480"/>
        <w:rPr>
          <w:sz w:val="24"/>
          <w:szCs w:val="24"/>
        </w:rPr>
      </w:pPr>
      <w:r>
        <w:rPr>
          <w:rFonts w:hint="eastAsia"/>
          <w:snapToGrid w:val="0"/>
          <w:sz w:val="24"/>
          <w:szCs w:val="24"/>
        </w:rPr>
        <w:t>①医疗废物暂存间、污水处理站、废水收集池按重点防渗区采取防渗措施，</w:t>
      </w:r>
      <w:r>
        <w:rPr>
          <w:rFonts w:hint="eastAsia"/>
          <w:sz w:val="24"/>
          <w:szCs w:val="24"/>
        </w:rPr>
        <w:t>防渗层为至少</w:t>
      </w:r>
      <w:r>
        <w:rPr>
          <w:sz w:val="24"/>
          <w:szCs w:val="24"/>
        </w:rPr>
        <w:t>6m</w:t>
      </w:r>
      <w:r>
        <w:rPr>
          <w:rFonts w:hint="eastAsia"/>
          <w:sz w:val="24"/>
          <w:szCs w:val="24"/>
        </w:rPr>
        <w:t>厚黏土层（渗透系数小于</w:t>
      </w:r>
      <w:r>
        <w:rPr>
          <w:sz w:val="24"/>
          <w:szCs w:val="24"/>
        </w:rPr>
        <w:t>1×10</w:t>
      </w:r>
      <w:r>
        <w:rPr>
          <w:sz w:val="24"/>
          <w:szCs w:val="24"/>
          <w:vertAlign w:val="superscript"/>
        </w:rPr>
        <w:t>-7</w:t>
      </w:r>
      <w:r>
        <w:rPr>
          <w:sz w:val="24"/>
          <w:szCs w:val="24"/>
        </w:rPr>
        <w:t>cm/s</w:t>
      </w:r>
      <w:r>
        <w:rPr>
          <w:rFonts w:hint="eastAsia"/>
          <w:sz w:val="24"/>
          <w:szCs w:val="24"/>
        </w:rPr>
        <w:t>），或</w:t>
      </w:r>
      <w:r>
        <w:rPr>
          <w:sz w:val="24"/>
          <w:szCs w:val="24"/>
        </w:rPr>
        <w:t>2mm</w:t>
      </w:r>
      <w:r>
        <w:rPr>
          <w:rFonts w:hint="eastAsia"/>
          <w:sz w:val="24"/>
          <w:szCs w:val="24"/>
        </w:rPr>
        <w:t>厚高密度聚乙烯，或至少</w:t>
      </w:r>
      <w:r>
        <w:rPr>
          <w:sz w:val="24"/>
          <w:szCs w:val="24"/>
        </w:rPr>
        <w:t>2mm</w:t>
      </w:r>
      <w:r>
        <w:rPr>
          <w:rFonts w:hint="eastAsia"/>
          <w:sz w:val="24"/>
          <w:szCs w:val="24"/>
        </w:rPr>
        <w:t>厚的其它人工材料，渗透系数小于</w:t>
      </w:r>
      <w:r>
        <w:rPr>
          <w:sz w:val="24"/>
          <w:szCs w:val="24"/>
        </w:rPr>
        <w:t>1×10</w:t>
      </w:r>
      <w:r>
        <w:rPr>
          <w:sz w:val="24"/>
          <w:szCs w:val="24"/>
          <w:vertAlign w:val="superscript"/>
        </w:rPr>
        <w:t>-10</w:t>
      </w:r>
      <w:r>
        <w:rPr>
          <w:sz w:val="24"/>
          <w:szCs w:val="24"/>
        </w:rPr>
        <w:t>cm/s</w:t>
      </w:r>
      <w:r>
        <w:rPr>
          <w:rFonts w:hint="eastAsia"/>
          <w:sz w:val="24"/>
          <w:szCs w:val="24"/>
        </w:rPr>
        <w:t>。</w:t>
      </w:r>
    </w:p>
    <w:p>
      <w:pPr>
        <w:pStyle w:val="122"/>
        <w:spacing w:line="480" w:lineRule="exact"/>
        <w:ind w:firstLine="480"/>
        <w:rPr>
          <w:sz w:val="24"/>
          <w:szCs w:val="24"/>
        </w:rPr>
      </w:pPr>
      <w:r>
        <w:rPr>
          <w:snapToGrid w:val="0"/>
          <w:sz w:val="24"/>
          <w:szCs w:val="24"/>
        </w:rPr>
        <w:fldChar w:fldCharType="begin"/>
      </w:r>
      <w:r>
        <w:rPr>
          <w:snapToGrid w:val="0"/>
          <w:sz w:val="24"/>
          <w:szCs w:val="24"/>
        </w:rPr>
        <w:instrText xml:space="preserve"> = 2 \* GB3 </w:instrText>
      </w:r>
      <w:r>
        <w:rPr>
          <w:snapToGrid w:val="0"/>
          <w:sz w:val="24"/>
          <w:szCs w:val="24"/>
        </w:rPr>
        <w:fldChar w:fldCharType="separate"/>
      </w:r>
      <w:r>
        <w:rPr>
          <w:rFonts w:hint="eastAsia"/>
          <w:snapToGrid w:val="0"/>
          <w:sz w:val="24"/>
          <w:szCs w:val="24"/>
        </w:rPr>
        <w:t>②</w:t>
      </w:r>
      <w:r>
        <w:rPr>
          <w:snapToGrid w:val="0"/>
          <w:sz w:val="24"/>
          <w:szCs w:val="24"/>
        </w:rPr>
        <w:fldChar w:fldCharType="end"/>
      </w:r>
      <w:r>
        <w:rPr>
          <w:rFonts w:hint="eastAsia"/>
          <w:snapToGrid w:val="0"/>
          <w:sz w:val="24"/>
          <w:szCs w:val="24"/>
        </w:rPr>
        <w:t>鸡舍、安全填埋井各构筑物（调节池、生物接触氧化池、沉淀池、消毒池、贮水池）、事故池、安全填埋井按一般防渗区采取防渗措施。</w:t>
      </w:r>
      <w:r>
        <w:rPr>
          <w:rFonts w:hint="eastAsia"/>
          <w:sz w:val="24"/>
          <w:szCs w:val="24"/>
        </w:rPr>
        <w:t>等效黏土防渗层</w:t>
      </w:r>
      <w:r>
        <w:rPr>
          <w:sz w:val="24"/>
          <w:szCs w:val="24"/>
        </w:rPr>
        <w:t>Mb≥1.5m</w:t>
      </w:r>
      <w:r>
        <w:rPr>
          <w:rFonts w:hint="eastAsia"/>
          <w:sz w:val="24"/>
          <w:szCs w:val="24"/>
        </w:rPr>
        <w:t>，</w:t>
      </w:r>
      <w:r>
        <w:rPr>
          <w:sz w:val="24"/>
          <w:szCs w:val="24"/>
        </w:rPr>
        <w:t>K≤1×10</w:t>
      </w:r>
      <w:r>
        <w:rPr>
          <w:sz w:val="24"/>
          <w:szCs w:val="24"/>
          <w:vertAlign w:val="superscript"/>
        </w:rPr>
        <w:t>-7</w:t>
      </w:r>
      <w:r>
        <w:rPr>
          <w:sz w:val="24"/>
          <w:szCs w:val="24"/>
        </w:rPr>
        <w:t>cm/s</w:t>
      </w:r>
      <w:r>
        <w:rPr>
          <w:rFonts w:hint="eastAsia"/>
          <w:sz w:val="24"/>
          <w:szCs w:val="24"/>
        </w:rPr>
        <w:t>。</w:t>
      </w:r>
    </w:p>
    <w:p>
      <w:pPr>
        <w:pStyle w:val="122"/>
        <w:spacing w:line="480" w:lineRule="exact"/>
        <w:ind w:firstLine="480"/>
        <w:rPr>
          <w:snapToGrid w:val="0"/>
          <w:sz w:val="24"/>
          <w:szCs w:val="24"/>
        </w:rPr>
      </w:pPr>
      <w:r>
        <w:rPr>
          <w:snapToGrid w:val="0"/>
          <w:sz w:val="24"/>
          <w:szCs w:val="24"/>
        </w:rPr>
        <w:fldChar w:fldCharType="begin"/>
      </w:r>
      <w:r>
        <w:rPr>
          <w:snapToGrid w:val="0"/>
          <w:sz w:val="24"/>
          <w:szCs w:val="24"/>
        </w:rPr>
        <w:instrText xml:space="preserve"> = 3 \* GB3 </w:instrText>
      </w:r>
      <w:r>
        <w:rPr>
          <w:snapToGrid w:val="0"/>
          <w:sz w:val="24"/>
          <w:szCs w:val="24"/>
        </w:rPr>
        <w:fldChar w:fldCharType="separate"/>
      </w:r>
      <w:r>
        <w:rPr>
          <w:rFonts w:hint="eastAsia"/>
          <w:snapToGrid w:val="0"/>
          <w:sz w:val="24"/>
          <w:szCs w:val="24"/>
        </w:rPr>
        <w:t>③</w:t>
      </w:r>
      <w:r>
        <w:rPr>
          <w:snapToGrid w:val="0"/>
          <w:sz w:val="24"/>
          <w:szCs w:val="24"/>
        </w:rPr>
        <w:fldChar w:fldCharType="end"/>
      </w:r>
      <w:r>
        <w:rPr>
          <w:rFonts w:hint="eastAsia"/>
          <w:snapToGrid w:val="0"/>
          <w:sz w:val="24"/>
          <w:szCs w:val="24"/>
        </w:rPr>
        <w:t>其他建筑物及道路采取简单防渗，对其地面采用混凝土进行一般地面硬化。</w:t>
      </w:r>
    </w:p>
    <w:p>
      <w:pPr>
        <w:pStyle w:val="122"/>
        <w:spacing w:line="480" w:lineRule="exact"/>
        <w:ind w:firstLine="480"/>
        <w:rPr>
          <w:snapToGrid w:val="0"/>
          <w:sz w:val="24"/>
          <w:szCs w:val="24"/>
        </w:rPr>
      </w:pPr>
      <w:r>
        <w:rPr>
          <w:rFonts w:hint="eastAsia"/>
          <w:snapToGrid w:val="0"/>
          <w:sz w:val="24"/>
          <w:szCs w:val="24"/>
        </w:rPr>
        <w:t>④加强管理，建立巡逻制度，定期对调节池、污水处理站、贮水池等地进行检查，及时发现问题，查找隐患，杜绝污染物的外排。</w:t>
      </w:r>
    </w:p>
    <w:p>
      <w:pPr>
        <w:pStyle w:val="122"/>
        <w:spacing w:line="480" w:lineRule="exact"/>
        <w:ind w:firstLine="480"/>
        <w:rPr>
          <w:snapToGrid w:val="0"/>
          <w:sz w:val="24"/>
          <w:szCs w:val="24"/>
        </w:rPr>
      </w:pPr>
      <w:r>
        <w:rPr>
          <w:rFonts w:hint="eastAsia"/>
          <w:snapToGrid w:val="0"/>
          <w:sz w:val="24"/>
          <w:szCs w:val="24"/>
        </w:rPr>
        <w:t>⑤养殖场设置</w:t>
      </w:r>
      <w:r>
        <w:rPr>
          <w:snapToGrid w:val="0"/>
          <w:sz w:val="24"/>
          <w:szCs w:val="24"/>
        </w:rPr>
        <w:t>1</w:t>
      </w:r>
      <w:r>
        <w:rPr>
          <w:rFonts w:hint="eastAsia"/>
          <w:snapToGrid w:val="0"/>
          <w:sz w:val="24"/>
          <w:szCs w:val="24"/>
        </w:rPr>
        <w:t>口地下水监控井，及时监控地下水环境。</w:t>
      </w:r>
    </w:p>
    <w:p>
      <w:pPr>
        <w:pStyle w:val="122"/>
        <w:spacing w:line="480" w:lineRule="exact"/>
        <w:ind w:firstLine="0" w:firstLineChars="0"/>
        <w:jc w:val="center"/>
        <w:rPr>
          <w:rFonts w:ascii="黑体" w:hAnsi="黑体" w:eastAsia="黑体"/>
          <w:snapToGrid w:val="0"/>
          <w:sz w:val="24"/>
          <w:szCs w:val="24"/>
        </w:rPr>
      </w:pPr>
      <w:r>
        <w:rPr>
          <w:rFonts w:hint="eastAsia" w:ascii="黑体" w:hAnsi="黑体" w:eastAsia="黑体"/>
          <w:snapToGrid w:val="0"/>
          <w:sz w:val="24"/>
          <w:szCs w:val="24"/>
        </w:rPr>
        <w:t>表5.2-17  地下水监测计划</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05"/>
        <w:gridCol w:w="1703"/>
        <w:gridCol w:w="1227"/>
        <w:gridCol w:w="39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监测点位</w:t>
            </w:r>
          </w:p>
        </w:tc>
        <w:tc>
          <w:tcPr>
            <w:tcW w:w="940"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监测指标</w:t>
            </w:r>
          </w:p>
        </w:tc>
        <w:tc>
          <w:tcPr>
            <w:tcW w:w="677"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监测频次</w:t>
            </w:r>
          </w:p>
        </w:tc>
        <w:tc>
          <w:tcPr>
            <w:tcW w:w="2166"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执行排放标准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color w:val="000000"/>
                <w:szCs w:val="21"/>
              </w:rPr>
              <w:t>工业场地下游潜水含水层</w:t>
            </w:r>
          </w:p>
        </w:tc>
        <w:tc>
          <w:tcPr>
            <w:tcW w:w="940"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szCs w:val="21"/>
              </w:rPr>
              <w:t>pH</w:t>
            </w:r>
            <w:r>
              <w:rPr>
                <w:rFonts w:hint="eastAsia" w:hAnsi="Calibri"/>
                <w:szCs w:val="21"/>
              </w:rPr>
              <w:t>、氨氮、耗氧量</w:t>
            </w:r>
          </w:p>
        </w:tc>
        <w:tc>
          <w:tcPr>
            <w:tcW w:w="677"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bCs/>
                <w:szCs w:val="21"/>
              </w:rPr>
              <w:t>每年</w:t>
            </w:r>
            <w:r>
              <w:rPr>
                <w:bCs/>
                <w:szCs w:val="21"/>
              </w:rPr>
              <w:t>1</w:t>
            </w:r>
            <w:r>
              <w:rPr>
                <w:rFonts w:hint="eastAsia"/>
                <w:bCs/>
                <w:szCs w:val="21"/>
              </w:rPr>
              <w:t>次</w:t>
            </w:r>
          </w:p>
        </w:tc>
        <w:tc>
          <w:tcPr>
            <w:tcW w:w="2166"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kern w:val="0"/>
                <w:szCs w:val="21"/>
              </w:rPr>
              <w:t>《地下水质量标准》（</w:t>
            </w:r>
            <w:r>
              <w:rPr>
                <w:kern w:val="0"/>
                <w:szCs w:val="21"/>
              </w:rPr>
              <w:t>GB/T14848-2017</w:t>
            </w:r>
            <w:r>
              <w:rPr>
                <w:rFonts w:hint="eastAsia"/>
                <w:kern w:val="0"/>
                <w:szCs w:val="21"/>
              </w:rPr>
              <w:t>）</w:t>
            </w:r>
            <w:r>
              <w:rPr>
                <w:rFonts w:hint="eastAsia" w:ascii="宋体" w:hAnsi="宋体" w:cs="宋体"/>
                <w:kern w:val="0"/>
                <w:szCs w:val="21"/>
              </w:rPr>
              <w:t>Ⅲ</w:t>
            </w:r>
            <w:r>
              <w:rPr>
                <w:rFonts w:hint="eastAsia"/>
                <w:kern w:val="0"/>
                <w:szCs w:val="21"/>
              </w:rPr>
              <w:t>类标准</w:t>
            </w:r>
          </w:p>
        </w:tc>
      </w:tr>
    </w:tbl>
    <w:p>
      <w:pPr>
        <w:pStyle w:val="95"/>
        <w:spacing w:line="480" w:lineRule="exact"/>
        <w:ind w:firstLine="480"/>
        <w:rPr>
          <w:rFonts w:ascii="Times New Roman" w:cs="Times New Roman"/>
          <w:color w:val="000000"/>
          <w:szCs w:val="24"/>
        </w:rPr>
      </w:pPr>
      <w:r>
        <w:rPr>
          <w:rFonts w:hint="eastAsia" w:ascii="Times New Roman" w:hAnsi="Times New Roman"/>
          <w:snapToGrid w:val="0"/>
          <w:szCs w:val="24"/>
        </w:rPr>
        <w:t>本项目对地下水的主要污染途径为废水渗透，在认真采取以上措施的基础上，一旦水泥硬化层发生断裂，由于防渗层的保护作用，废水不会对地下水源造成影响。</w:t>
      </w:r>
    </w:p>
    <w:p>
      <w:pPr>
        <w:pStyle w:val="3"/>
        <w:spacing w:before="0" w:after="0" w:line="480" w:lineRule="exact"/>
        <w:rPr>
          <w:sz w:val="24"/>
          <w:szCs w:val="24"/>
        </w:rPr>
      </w:pPr>
      <w:r>
        <w:rPr>
          <w:rFonts w:hint="eastAsia"/>
          <w:sz w:val="24"/>
          <w:szCs w:val="24"/>
        </w:rPr>
        <w:t>5.2.4固体废物环境影响分析</w:t>
      </w:r>
    </w:p>
    <w:p>
      <w:pPr>
        <w:pStyle w:val="85"/>
        <w:adjustRightInd w:val="0"/>
        <w:spacing w:line="480" w:lineRule="exact"/>
        <w:ind w:firstLine="480"/>
        <w:rPr>
          <w:rFonts w:ascii="Times New Roman" w:hAnsi="Times New Roman" w:cs="Times New Roman"/>
          <w:bCs/>
          <w:sz w:val="24"/>
          <w:szCs w:val="24"/>
        </w:rPr>
      </w:pPr>
      <w:r>
        <w:rPr>
          <w:rFonts w:hint="eastAsia"/>
          <w:bCs/>
          <w:sz w:val="24"/>
          <w:szCs w:val="24"/>
        </w:rPr>
        <w:t>本项目生产过程中产生的固体废物主要为鸡粪，饲料残渣，病死鸡尸体，废弃包装袋，疾病防疫、消毒产生的医疗废物、消毒废物，污水处理站污泥，</w:t>
      </w:r>
      <w:r>
        <w:rPr>
          <w:rFonts w:hint="eastAsia"/>
          <w:sz w:val="24"/>
          <w:szCs w:val="24"/>
        </w:rPr>
        <w:t>以及生活办公产生的</w:t>
      </w:r>
      <w:r>
        <w:rPr>
          <w:rFonts w:hint="eastAsia"/>
          <w:bCs/>
          <w:sz w:val="24"/>
          <w:szCs w:val="24"/>
        </w:rPr>
        <w:t>生活垃圾等</w:t>
      </w:r>
      <w:r>
        <w:rPr>
          <w:bCs/>
          <w:sz w:val="24"/>
          <w:szCs w:val="24"/>
        </w:rPr>
        <w:t>。</w:t>
      </w:r>
    </w:p>
    <w:p>
      <w:pPr>
        <w:spacing w:line="480" w:lineRule="exact"/>
        <w:rPr>
          <w:b/>
          <w:bCs/>
          <w:sz w:val="24"/>
        </w:rPr>
      </w:pPr>
      <w:r>
        <w:rPr>
          <w:b/>
          <w:bCs/>
          <w:spacing w:val="6"/>
          <w:sz w:val="24"/>
        </w:rPr>
        <w:t>1</w:t>
      </w:r>
      <w:r>
        <w:rPr>
          <w:rFonts w:hint="eastAsia"/>
          <w:b/>
          <w:bCs/>
          <w:spacing w:val="6"/>
          <w:sz w:val="24"/>
        </w:rPr>
        <w:t>、</w:t>
      </w:r>
      <w:r>
        <w:rPr>
          <w:rFonts w:hint="eastAsia"/>
          <w:b/>
          <w:sz w:val="24"/>
          <w:szCs w:val="24"/>
        </w:rPr>
        <w:t>鸡粪</w:t>
      </w:r>
    </w:p>
    <w:p>
      <w:pPr>
        <w:pStyle w:val="85"/>
        <w:adjustRightInd w:val="0"/>
        <w:spacing w:line="480" w:lineRule="exact"/>
        <w:ind w:firstLine="480"/>
        <w:rPr>
          <w:rFonts w:ascii="Times New Roman" w:cs="Times New Roman"/>
          <w:bCs/>
          <w:sz w:val="24"/>
          <w:szCs w:val="24"/>
        </w:rPr>
      </w:pPr>
      <w:r>
        <w:rPr>
          <w:rFonts w:hint="eastAsia" w:ascii="Times New Roman" w:cs="Times New Roman"/>
          <w:bCs/>
          <w:sz w:val="24"/>
          <w:szCs w:val="24"/>
        </w:rPr>
        <w:t>根据《排污许可申请与核发技术规范 畜禽养殖行业》（H</w:t>
      </w:r>
      <w:r>
        <w:rPr>
          <w:rFonts w:ascii="Times New Roman" w:cs="Times New Roman"/>
          <w:bCs/>
          <w:sz w:val="24"/>
          <w:szCs w:val="24"/>
        </w:rPr>
        <w:t>J1029-2019</w:t>
      </w:r>
      <w:r>
        <w:rPr>
          <w:rFonts w:hint="eastAsia" w:ascii="Times New Roman" w:cs="Times New Roman"/>
          <w:bCs/>
          <w:sz w:val="24"/>
          <w:szCs w:val="24"/>
        </w:rPr>
        <w:t>）中表9各类畜禽污染物产生量中肉鸡粪便产生量为0</w:t>
      </w:r>
      <w:r>
        <w:rPr>
          <w:rFonts w:ascii="Times New Roman" w:cs="Times New Roman"/>
          <w:bCs/>
          <w:sz w:val="24"/>
          <w:szCs w:val="24"/>
        </w:rPr>
        <w:t>.11</w:t>
      </w:r>
      <w:r>
        <w:rPr>
          <w:rFonts w:hint="eastAsia" w:ascii="Times New Roman" w:cs="Times New Roman"/>
          <w:bCs/>
          <w:sz w:val="24"/>
          <w:szCs w:val="24"/>
        </w:rPr>
        <w:t>kg</w:t>
      </w:r>
      <w:r>
        <w:rPr>
          <w:rFonts w:ascii="Times New Roman" w:cs="Times New Roman"/>
          <w:bCs/>
          <w:sz w:val="24"/>
          <w:szCs w:val="24"/>
        </w:rPr>
        <w:t>/d</w:t>
      </w:r>
      <w:r>
        <w:rPr>
          <w:rFonts w:hint="eastAsia" w:ascii="Times New Roman" w:cs="Times New Roman"/>
          <w:bCs/>
          <w:sz w:val="24"/>
          <w:szCs w:val="24"/>
        </w:rPr>
        <w:t>·只。本项目</w:t>
      </w:r>
      <w:r>
        <w:rPr>
          <w:rFonts w:ascii="Times New Roman" w:cs="Times New Roman"/>
          <w:bCs/>
          <w:sz w:val="24"/>
          <w:szCs w:val="24"/>
        </w:rPr>
        <w:t>每栋鸡舍每批次可养殖肉鸡</w:t>
      </w:r>
      <w:r>
        <w:rPr>
          <w:rFonts w:hint="eastAsia" w:ascii="Times New Roman" w:cs="Times New Roman"/>
          <w:bCs/>
          <w:sz w:val="24"/>
          <w:szCs w:val="24"/>
        </w:rPr>
        <w:t>约3</w:t>
      </w:r>
      <w:r>
        <w:rPr>
          <w:rFonts w:ascii="Times New Roman" w:cs="Times New Roman"/>
          <w:bCs/>
          <w:sz w:val="24"/>
          <w:szCs w:val="24"/>
        </w:rPr>
        <w:t>.</w:t>
      </w:r>
      <w:r>
        <w:rPr>
          <w:rFonts w:hint="eastAsia" w:ascii="Times New Roman" w:cs="Times New Roman"/>
          <w:bCs/>
          <w:sz w:val="24"/>
          <w:szCs w:val="24"/>
        </w:rPr>
        <w:t>4</w:t>
      </w:r>
      <w:r>
        <w:rPr>
          <w:rFonts w:ascii="Times New Roman" w:cs="Times New Roman"/>
          <w:bCs/>
          <w:sz w:val="24"/>
          <w:szCs w:val="24"/>
        </w:rPr>
        <w:t>万只，</w:t>
      </w:r>
      <w:r>
        <w:rPr>
          <w:rFonts w:hint="eastAsia" w:ascii="Times New Roman" w:cs="Times New Roman"/>
          <w:bCs/>
          <w:sz w:val="24"/>
          <w:szCs w:val="24"/>
        </w:rPr>
        <w:t>项目达产后可年出栏</w:t>
      </w:r>
      <w:r>
        <w:rPr>
          <w:rFonts w:ascii="Times New Roman" w:cs="Times New Roman"/>
          <w:bCs/>
          <w:sz w:val="24"/>
          <w:szCs w:val="24"/>
        </w:rPr>
        <w:t>6</w:t>
      </w:r>
      <w:r>
        <w:rPr>
          <w:rFonts w:hint="eastAsia" w:ascii="Times New Roman" w:cs="Times New Roman"/>
          <w:bCs/>
          <w:sz w:val="24"/>
          <w:szCs w:val="24"/>
        </w:rPr>
        <w:t>个批次，每批次饲养4</w:t>
      </w:r>
      <w:r>
        <w:rPr>
          <w:rFonts w:ascii="Times New Roman" w:cs="Times New Roman"/>
          <w:bCs/>
          <w:sz w:val="24"/>
          <w:szCs w:val="24"/>
        </w:rPr>
        <w:t>5</w:t>
      </w:r>
      <w:r>
        <w:rPr>
          <w:rFonts w:hint="eastAsia" w:ascii="Times New Roman" w:cs="Times New Roman"/>
          <w:bCs/>
          <w:sz w:val="24"/>
          <w:szCs w:val="24"/>
        </w:rPr>
        <w:t>d，年出栏肉鸡约</w:t>
      </w:r>
      <w:r>
        <w:rPr>
          <w:rFonts w:ascii="Times New Roman" w:cs="Times New Roman"/>
          <w:bCs/>
          <w:sz w:val="24"/>
          <w:szCs w:val="24"/>
        </w:rPr>
        <w:t>140</w:t>
      </w:r>
      <w:r>
        <w:rPr>
          <w:rFonts w:hint="eastAsia" w:ascii="Times New Roman" w:cs="Times New Roman"/>
          <w:bCs/>
          <w:sz w:val="24"/>
          <w:szCs w:val="24"/>
        </w:rPr>
        <w:t>万羽。则本项目粪便产生量为</w:t>
      </w:r>
      <w:r>
        <w:rPr>
          <w:rFonts w:ascii="Times New Roman" w:cs="Times New Roman"/>
          <w:bCs/>
          <w:sz w:val="24"/>
          <w:szCs w:val="24"/>
        </w:rPr>
        <w:t>6930t/a</w:t>
      </w:r>
      <w:r>
        <w:rPr>
          <w:rFonts w:hint="eastAsia" w:ascii="Times New Roman" w:cs="Times New Roman"/>
          <w:bCs/>
          <w:sz w:val="24"/>
          <w:szCs w:val="24"/>
        </w:rPr>
        <w:t>。本项目鸡粪日产日清，经发酵罐熟化后外运有机肥厂进一步处理以综合利用。</w:t>
      </w:r>
    </w:p>
    <w:p>
      <w:pPr>
        <w:spacing w:line="480" w:lineRule="exact"/>
        <w:rPr>
          <w:b/>
          <w:bCs/>
          <w:sz w:val="24"/>
        </w:rPr>
      </w:pPr>
      <w:r>
        <w:rPr>
          <w:rFonts w:hint="eastAsia"/>
          <w:b/>
          <w:bCs/>
          <w:spacing w:val="6"/>
          <w:sz w:val="24"/>
        </w:rPr>
        <w:t>2、</w:t>
      </w:r>
      <w:r>
        <w:rPr>
          <w:rFonts w:hint="eastAsia"/>
          <w:b/>
          <w:bCs/>
          <w:kern w:val="0"/>
          <w:sz w:val="24"/>
          <w:szCs w:val="24"/>
        </w:rPr>
        <w:t>饲料残渣</w:t>
      </w:r>
    </w:p>
    <w:p>
      <w:pPr>
        <w:pStyle w:val="85"/>
        <w:adjustRightInd w:val="0"/>
        <w:spacing w:line="480" w:lineRule="exact"/>
        <w:ind w:firstLine="480"/>
        <w:rPr>
          <w:rFonts w:ascii="Times New Roman" w:cs="Times New Roman"/>
          <w:bCs/>
          <w:sz w:val="24"/>
          <w:szCs w:val="24"/>
        </w:rPr>
      </w:pPr>
      <w:r>
        <w:rPr>
          <w:rFonts w:hint="eastAsia" w:ascii="Times New Roman" w:cs="Times New Roman"/>
          <w:bCs/>
          <w:sz w:val="24"/>
          <w:szCs w:val="24"/>
        </w:rPr>
        <w:t>本项目饲养的肉鸡饲料用量约为5.65kg/只，年出栏商品肉鸡约为140万只，则饲料总用量为7910t/a，在对牲畜进行喂食过程中产生的食物残渣约占饲料用量的0.5%，产生的饲料残渣量约为40t/a。饲料残渣与鸡粪同时外运有机肥厂，用作有机肥料，综合利用。</w:t>
      </w:r>
    </w:p>
    <w:p>
      <w:pPr>
        <w:spacing w:line="480" w:lineRule="exact"/>
        <w:rPr>
          <w:b/>
          <w:bCs/>
          <w:sz w:val="24"/>
        </w:rPr>
      </w:pPr>
      <w:r>
        <w:rPr>
          <w:b/>
          <w:bCs/>
          <w:spacing w:val="6"/>
          <w:sz w:val="24"/>
        </w:rPr>
        <w:t>3</w:t>
      </w:r>
      <w:r>
        <w:rPr>
          <w:rFonts w:hint="eastAsia"/>
          <w:b/>
          <w:bCs/>
          <w:spacing w:val="6"/>
          <w:sz w:val="24"/>
        </w:rPr>
        <w:t>、</w:t>
      </w:r>
      <w:r>
        <w:rPr>
          <w:rFonts w:hint="eastAsia"/>
          <w:b/>
          <w:bCs/>
          <w:sz w:val="24"/>
          <w:szCs w:val="24"/>
        </w:rPr>
        <w:t>病死鸡尸体</w:t>
      </w:r>
    </w:p>
    <w:p>
      <w:pPr>
        <w:pStyle w:val="85"/>
        <w:adjustRightInd w:val="0"/>
        <w:spacing w:line="48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规模化养鸡场病死鸡控制在0.1%~0.2%，由于项目采用科学化管理与养殖，病死鸡产生量较小，本项目取0.1%，本项目年出栏140万只肉鸡，则每年病死鸡约有1400只。本项目鸡拟培育体重为2.6kg（平均），则病死鸡年产生量为3.64t/a。</w:t>
      </w:r>
    </w:p>
    <w:p>
      <w:pPr>
        <w:pStyle w:val="85"/>
        <w:adjustRightInd w:val="0"/>
        <w:spacing w:line="480" w:lineRule="exact"/>
        <w:ind w:firstLine="480"/>
        <w:rPr>
          <w:rFonts w:ascii="Times New Roman" w:hAnsi="Times New Roman" w:cs="Times New Roman"/>
          <w:bCs/>
          <w:sz w:val="24"/>
          <w:szCs w:val="24"/>
        </w:rPr>
      </w:pPr>
      <w:r>
        <w:rPr>
          <w:rFonts w:hint="eastAsia" w:ascii="Times New Roman" w:hAnsi="Times New Roman" w:cs="Times New Roman"/>
          <w:kern w:val="0"/>
          <w:sz w:val="24"/>
          <w:szCs w:val="24"/>
        </w:rPr>
        <w:t>本项目设置两个安全填埋井，填埋井为混凝土结构，深度大于6m，直径4m，井口加盖密封。进行填埋时，在每次投入畜禽尸体后，覆盖一层厚度大于10cm的熟石灰，井填满后，用粘土填埋压实并封口。</w:t>
      </w:r>
    </w:p>
    <w:p>
      <w:pPr>
        <w:spacing w:line="480" w:lineRule="exact"/>
        <w:rPr>
          <w:b/>
          <w:bCs/>
          <w:sz w:val="24"/>
        </w:rPr>
      </w:pPr>
      <w:r>
        <w:rPr>
          <w:b/>
          <w:bCs/>
          <w:spacing w:val="6"/>
          <w:sz w:val="24"/>
        </w:rPr>
        <w:t>4</w:t>
      </w:r>
      <w:r>
        <w:rPr>
          <w:rFonts w:hint="eastAsia"/>
          <w:b/>
          <w:bCs/>
          <w:spacing w:val="6"/>
          <w:sz w:val="24"/>
        </w:rPr>
        <w:t>、</w:t>
      </w:r>
      <w:r>
        <w:rPr>
          <w:rFonts w:hint="eastAsia"/>
          <w:b/>
          <w:bCs/>
          <w:sz w:val="24"/>
          <w:szCs w:val="24"/>
        </w:rPr>
        <w:t>废弃包装袋</w:t>
      </w:r>
    </w:p>
    <w:p>
      <w:pPr>
        <w:pStyle w:val="85"/>
        <w:adjustRightInd w:val="0"/>
        <w:spacing w:line="480" w:lineRule="exact"/>
        <w:ind w:firstLine="480"/>
        <w:rPr>
          <w:rFonts w:ascii="Times New Roman" w:hAnsi="Times New Roman" w:cs="Times New Roman"/>
          <w:bCs/>
          <w:kern w:val="0"/>
          <w:sz w:val="24"/>
          <w:szCs w:val="24"/>
        </w:rPr>
      </w:pPr>
      <w:r>
        <w:rPr>
          <w:rFonts w:ascii="Times New Roman" w:cs="Times New Roman"/>
          <w:kern w:val="0"/>
          <w:sz w:val="24"/>
          <w:szCs w:val="24"/>
        </w:rPr>
        <w:t>废弃包装袋、防疫药、消毒药外包装产生量约为</w:t>
      </w:r>
      <w:r>
        <w:rPr>
          <w:rFonts w:ascii="Times New Roman" w:hAnsi="Times New Roman" w:cs="Times New Roman"/>
          <w:kern w:val="0"/>
          <w:sz w:val="24"/>
          <w:szCs w:val="24"/>
        </w:rPr>
        <w:t>2t/a</w:t>
      </w:r>
      <w:r>
        <w:rPr>
          <w:rFonts w:ascii="Times New Roman" w:cs="Times New Roman"/>
          <w:kern w:val="0"/>
          <w:sz w:val="24"/>
          <w:szCs w:val="24"/>
        </w:rPr>
        <w:t>；废弃包装袋</w:t>
      </w:r>
      <w:r>
        <w:rPr>
          <w:rFonts w:ascii="Times New Roman" w:cs="Times New Roman"/>
          <w:bCs/>
          <w:kern w:val="0"/>
          <w:sz w:val="24"/>
          <w:szCs w:val="24"/>
        </w:rPr>
        <w:t>收集后外售或返回厂家回收利用。</w:t>
      </w:r>
    </w:p>
    <w:p>
      <w:pPr>
        <w:spacing w:line="480" w:lineRule="exact"/>
        <w:rPr>
          <w:b/>
          <w:bCs/>
          <w:sz w:val="24"/>
        </w:rPr>
      </w:pPr>
      <w:r>
        <w:rPr>
          <w:b/>
          <w:bCs/>
          <w:sz w:val="24"/>
        </w:rPr>
        <w:t>5</w:t>
      </w:r>
      <w:r>
        <w:rPr>
          <w:rFonts w:hint="eastAsia"/>
          <w:b/>
          <w:bCs/>
          <w:sz w:val="24"/>
        </w:rPr>
        <w:t>、</w:t>
      </w:r>
      <w:r>
        <w:rPr>
          <w:rFonts w:hint="eastAsia"/>
          <w:b/>
          <w:bCs/>
          <w:sz w:val="24"/>
          <w:szCs w:val="24"/>
        </w:rPr>
        <w:t>疾病防疫、消毒产生的医疗废物、消毒废物</w:t>
      </w:r>
    </w:p>
    <w:p>
      <w:pPr>
        <w:pStyle w:val="85"/>
        <w:adjustRightInd w:val="0"/>
        <w:spacing w:line="480" w:lineRule="exact"/>
        <w:ind w:firstLine="480"/>
        <w:rPr>
          <w:rFonts w:ascii="Times New Roman" w:hAnsi="Times New Roman" w:cs="Times New Roman"/>
          <w:bCs/>
          <w:kern w:val="0"/>
          <w:sz w:val="24"/>
          <w:szCs w:val="24"/>
        </w:rPr>
      </w:pPr>
      <w:r>
        <w:rPr>
          <w:rFonts w:ascii="Times New Roman" w:cs="Times New Roman"/>
          <w:bCs/>
          <w:kern w:val="0"/>
          <w:sz w:val="24"/>
          <w:szCs w:val="24"/>
        </w:rPr>
        <w:t>医疗废物废物总产生量约为</w:t>
      </w:r>
      <w:r>
        <w:rPr>
          <w:rFonts w:ascii="Times New Roman" w:hAnsi="Times New Roman" w:cs="Times New Roman"/>
          <w:bCs/>
          <w:kern w:val="0"/>
          <w:sz w:val="24"/>
          <w:szCs w:val="24"/>
        </w:rPr>
        <w:t>0.14t/a</w:t>
      </w:r>
      <w:r>
        <w:rPr>
          <w:rFonts w:hint="eastAsia" w:ascii="Times New Roman" w:cs="Times New Roman"/>
          <w:bCs/>
          <w:kern w:val="0"/>
          <w:sz w:val="24"/>
          <w:szCs w:val="24"/>
        </w:rPr>
        <w:t>，消毒废物产生量为</w:t>
      </w:r>
      <w:r>
        <w:rPr>
          <w:rFonts w:ascii="Times New Roman" w:cs="Times New Roman"/>
          <w:bCs/>
          <w:kern w:val="0"/>
          <w:sz w:val="24"/>
          <w:szCs w:val="24"/>
        </w:rPr>
        <w:t>0.02t/a</w:t>
      </w:r>
      <w:r>
        <w:rPr>
          <w:rFonts w:hint="eastAsia" w:ascii="Times New Roman" w:cs="Times New Roman"/>
          <w:bCs/>
          <w:kern w:val="0"/>
          <w:sz w:val="24"/>
          <w:szCs w:val="24"/>
        </w:rPr>
        <w:t>。</w:t>
      </w:r>
      <w:r>
        <w:rPr>
          <w:rFonts w:hint="eastAsia"/>
          <w:kern w:val="0"/>
          <w:sz w:val="24"/>
          <w:szCs w:val="24"/>
        </w:rPr>
        <w:t>企业拟在检疫室内建危废暂存间，为单独隔间，地面防渗处理，同时制定危险废物管理制度，医疗废物、消毒废物交由有资质单位处置。</w:t>
      </w:r>
    </w:p>
    <w:p>
      <w:pPr>
        <w:spacing w:line="480" w:lineRule="exact"/>
        <w:rPr>
          <w:b/>
          <w:bCs/>
          <w:sz w:val="24"/>
        </w:rPr>
      </w:pPr>
      <w:r>
        <w:rPr>
          <w:b/>
          <w:bCs/>
          <w:sz w:val="24"/>
        </w:rPr>
        <w:t>6</w:t>
      </w:r>
      <w:r>
        <w:rPr>
          <w:rFonts w:hint="eastAsia"/>
          <w:b/>
          <w:bCs/>
          <w:sz w:val="24"/>
        </w:rPr>
        <w:t>、污泥</w:t>
      </w:r>
    </w:p>
    <w:p>
      <w:pPr>
        <w:pStyle w:val="85"/>
        <w:adjustRightInd w:val="0"/>
        <w:spacing w:line="480" w:lineRule="exact"/>
        <w:ind w:firstLine="480"/>
        <w:rPr>
          <w:rFonts w:ascii="Times New Roman" w:hAnsi="Times New Roman" w:cs="Times New Roman"/>
          <w:bCs/>
          <w:kern w:val="0"/>
          <w:sz w:val="24"/>
          <w:szCs w:val="24"/>
        </w:rPr>
      </w:pPr>
      <w:r>
        <w:rPr>
          <w:rFonts w:ascii="Times New Roman" w:cs="Times New Roman"/>
          <w:bCs/>
          <w:kern w:val="0"/>
          <w:sz w:val="24"/>
          <w:szCs w:val="24"/>
        </w:rPr>
        <w:t>项目运行后污泥产生量约为</w:t>
      </w:r>
      <w:r>
        <w:rPr>
          <w:rFonts w:ascii="Times New Roman" w:hAnsi="Times New Roman" w:cs="Times New Roman"/>
          <w:bCs/>
          <w:kern w:val="0"/>
          <w:sz w:val="24"/>
          <w:szCs w:val="24"/>
        </w:rPr>
        <w:t>2.3t/a</w:t>
      </w:r>
      <w:r>
        <w:rPr>
          <w:rFonts w:ascii="Times New Roman" w:cs="Times New Roman"/>
          <w:bCs/>
          <w:kern w:val="0"/>
          <w:sz w:val="24"/>
          <w:szCs w:val="24"/>
        </w:rPr>
        <w:t>，污泥固化消毒后与鸡粪同时外运有机肥厂，用作有机肥料，综合利用。</w:t>
      </w:r>
    </w:p>
    <w:p>
      <w:pPr>
        <w:spacing w:line="480" w:lineRule="exact"/>
        <w:rPr>
          <w:b/>
          <w:bCs/>
          <w:sz w:val="24"/>
        </w:rPr>
      </w:pPr>
      <w:r>
        <w:rPr>
          <w:b/>
          <w:bCs/>
          <w:sz w:val="24"/>
        </w:rPr>
        <w:t>7</w:t>
      </w:r>
      <w:r>
        <w:rPr>
          <w:rFonts w:hint="eastAsia"/>
          <w:b/>
          <w:bCs/>
          <w:sz w:val="24"/>
        </w:rPr>
        <w:t>、生活垃圾</w:t>
      </w:r>
    </w:p>
    <w:p>
      <w:pPr>
        <w:pStyle w:val="85"/>
        <w:adjustRightInd w:val="0"/>
        <w:spacing w:line="480" w:lineRule="exact"/>
        <w:ind w:firstLine="480"/>
        <w:rPr>
          <w:rFonts w:ascii="Times New Roman" w:hAnsi="Times New Roman" w:cs="Times New Roman"/>
          <w:bCs/>
          <w:sz w:val="24"/>
          <w:szCs w:val="24"/>
        </w:rPr>
      </w:pPr>
      <w:r>
        <w:rPr>
          <w:rFonts w:ascii="Times New Roman" w:cs="Times New Roman"/>
          <w:bCs/>
          <w:kern w:val="0"/>
          <w:sz w:val="24"/>
        </w:rPr>
        <w:t>项目运营期间的生活垃圾产生系数为按</w:t>
      </w:r>
      <w:r>
        <w:rPr>
          <w:rFonts w:ascii="Times New Roman" w:hAnsi="Times New Roman" w:cs="Times New Roman"/>
          <w:bCs/>
          <w:kern w:val="0"/>
          <w:sz w:val="24"/>
        </w:rPr>
        <w:t>0.5kg/</w:t>
      </w:r>
      <w:r>
        <w:rPr>
          <w:rFonts w:ascii="Times New Roman" w:cs="Times New Roman"/>
          <w:bCs/>
          <w:kern w:val="0"/>
          <w:sz w:val="24"/>
        </w:rPr>
        <w:t>（</w:t>
      </w:r>
      <w:r>
        <w:rPr>
          <w:rFonts w:ascii="Times New Roman" w:hAnsi="Times New Roman" w:cs="Times New Roman"/>
          <w:bCs/>
          <w:kern w:val="0"/>
          <w:sz w:val="24"/>
        </w:rPr>
        <w:t>d•</w:t>
      </w:r>
      <w:r>
        <w:rPr>
          <w:rFonts w:ascii="Times New Roman" w:cs="Times New Roman"/>
          <w:bCs/>
          <w:kern w:val="0"/>
          <w:sz w:val="24"/>
        </w:rPr>
        <w:t>人）计，项目劳动定员</w:t>
      </w:r>
      <w:r>
        <w:rPr>
          <w:rFonts w:hint="eastAsia" w:ascii="Times New Roman" w:hAnsi="Times New Roman" w:cs="Times New Roman"/>
          <w:bCs/>
          <w:kern w:val="0"/>
          <w:sz w:val="24"/>
        </w:rPr>
        <w:t>15</w:t>
      </w:r>
      <w:r>
        <w:rPr>
          <w:rFonts w:ascii="Times New Roman" w:cs="Times New Roman"/>
          <w:bCs/>
          <w:kern w:val="0"/>
          <w:sz w:val="24"/>
        </w:rPr>
        <w:t>人，则生活垃圾产生量为</w:t>
      </w:r>
      <w:r>
        <w:rPr>
          <w:rFonts w:hint="eastAsia" w:ascii="Times New Roman" w:hAnsi="Times New Roman" w:cs="Times New Roman"/>
          <w:bCs/>
          <w:kern w:val="0"/>
          <w:sz w:val="24"/>
        </w:rPr>
        <w:t>2.7</w:t>
      </w:r>
      <w:r>
        <w:rPr>
          <w:rFonts w:ascii="Times New Roman" w:hAnsi="Times New Roman" w:cs="Times New Roman"/>
          <w:bCs/>
          <w:kern w:val="0"/>
          <w:sz w:val="24"/>
        </w:rPr>
        <w:t>/a</w:t>
      </w:r>
      <w:r>
        <w:rPr>
          <w:rFonts w:ascii="Times New Roman" w:cs="Times New Roman"/>
          <w:bCs/>
          <w:kern w:val="0"/>
          <w:sz w:val="24"/>
        </w:rPr>
        <w:t>。本项目在车间内、办公区均设置垃圾筒，垃圾经收集后运至市政部门指定的地点统一处理；垃圾在运输过程中应注意遮盖、封闭，防止造成二次污染。</w:t>
      </w:r>
    </w:p>
    <w:p>
      <w:pPr>
        <w:pStyle w:val="85"/>
        <w:adjustRightInd w:val="0"/>
        <w:spacing w:line="480" w:lineRule="exact"/>
        <w:ind w:firstLine="480"/>
        <w:rPr>
          <w:rFonts w:ascii="Times New Roman" w:hAnsi="Times New Roman" w:cs="Times New Roman"/>
          <w:sz w:val="24"/>
          <w:szCs w:val="24"/>
        </w:rPr>
      </w:pPr>
      <w:r>
        <w:rPr>
          <w:rFonts w:ascii="Times New Roman" w:hAnsi="Times New Roman" w:cs="Times New Roman"/>
          <w:bCs/>
          <w:sz w:val="24"/>
          <w:szCs w:val="24"/>
        </w:rPr>
        <w:t>通过以上措施，建设项目产生的固体废物均得到了妥善处置和合理利用，符合《畜禽养殖业污染治理工程技术规范》（HJ497-2009）和《畜禽养殖业污染防治技术规范》（HJ/T81-2001）的要求，不向环境排放，并能给企业创造良好经济效益，并对改善区域农业生态环境产生积极影响，因此项目产生的固废均可得到有效的处置和利用，不会产生二次污染，对项目周围环境不会产生明显不良影响。</w:t>
      </w:r>
    </w:p>
    <w:p>
      <w:pPr>
        <w:pStyle w:val="3"/>
        <w:spacing w:before="0" w:after="0" w:line="480" w:lineRule="exact"/>
        <w:rPr>
          <w:sz w:val="24"/>
          <w:szCs w:val="24"/>
        </w:rPr>
      </w:pPr>
      <w:r>
        <w:rPr>
          <w:rFonts w:hint="eastAsia"/>
          <w:sz w:val="24"/>
          <w:szCs w:val="24"/>
        </w:rPr>
        <w:t>5.2.5声环境影响预测与评价</w:t>
      </w:r>
    </w:p>
    <w:p>
      <w:pPr>
        <w:pStyle w:val="57"/>
        <w:keepNext/>
        <w:keepLines/>
        <w:spacing w:before="0" w:after="0" w:line="480" w:lineRule="exact"/>
        <w:ind w:firstLine="0" w:firstLineChars="0"/>
        <w:outlineLvl w:val="3"/>
        <w:rPr>
          <w:b/>
        </w:rPr>
      </w:pPr>
      <w:r>
        <w:rPr>
          <w:rFonts w:hint="eastAsia"/>
          <w:b/>
        </w:rPr>
        <w:t>5.2.5.1</w:t>
      </w:r>
      <w:r>
        <w:rPr>
          <w:rFonts w:hint="eastAsia" w:ascii="宋体" w:hAnsi="宋体"/>
          <w:b/>
        </w:rPr>
        <w:t>源强</w:t>
      </w:r>
    </w:p>
    <w:p>
      <w:pPr>
        <w:spacing w:line="480" w:lineRule="exact"/>
        <w:ind w:firstLine="480" w:firstLineChars="200"/>
        <w:rPr>
          <w:sz w:val="24"/>
          <w:szCs w:val="24"/>
        </w:rPr>
      </w:pPr>
      <w:r>
        <w:rPr>
          <w:rFonts w:hint="eastAsia"/>
          <w:bCs/>
          <w:sz w:val="24"/>
        </w:rPr>
        <w:t>噪声源主要为水泵、风机、鸡叫等，噪声源强为</w:t>
      </w:r>
      <w:r>
        <w:rPr>
          <w:bCs/>
          <w:sz w:val="24"/>
        </w:rPr>
        <w:t>60~80dB</w:t>
      </w:r>
      <w:r>
        <w:rPr>
          <w:rFonts w:hint="eastAsia"/>
          <w:bCs/>
          <w:sz w:val="24"/>
        </w:rPr>
        <w:t>（</w:t>
      </w:r>
      <w:r>
        <w:rPr>
          <w:bCs/>
          <w:sz w:val="24"/>
        </w:rPr>
        <w:t>A</w:t>
      </w:r>
      <w:r>
        <w:rPr>
          <w:rFonts w:hint="eastAsia"/>
          <w:bCs/>
          <w:sz w:val="24"/>
        </w:rPr>
        <w:t>），详见下表。</w:t>
      </w:r>
    </w:p>
    <w:p>
      <w:pPr>
        <w:pStyle w:val="78"/>
        <w:spacing w:line="480" w:lineRule="exact"/>
        <w:rPr>
          <w:rFonts w:ascii="黑体" w:hAnsi="黑体" w:eastAsia="黑体" w:cs="Times New Roman"/>
          <w:szCs w:val="21"/>
        </w:rPr>
      </w:pPr>
      <w:r>
        <w:rPr>
          <w:rFonts w:ascii="黑体" w:hAnsi="黑体" w:eastAsia="黑体" w:cs="Times New Roman"/>
          <w:szCs w:val="21"/>
        </w:rPr>
        <w:t>表</w:t>
      </w:r>
      <w:r>
        <w:rPr>
          <w:rFonts w:hint="eastAsia" w:ascii="黑体" w:hAnsi="黑体" w:eastAsia="黑体" w:cs="Times New Roman"/>
          <w:szCs w:val="21"/>
        </w:rPr>
        <w:t xml:space="preserve">5.2-18  </w:t>
      </w:r>
      <w:r>
        <w:rPr>
          <w:rFonts w:ascii="黑体" w:hAnsi="黑体" w:eastAsia="黑体" w:cs="Times New Roman"/>
          <w:szCs w:val="21"/>
        </w:rPr>
        <w:t>主要</w:t>
      </w:r>
      <w:r>
        <w:rPr>
          <w:rFonts w:hint="eastAsia" w:ascii="黑体" w:hAnsi="黑体" w:eastAsia="黑体" w:cs="Times New Roman"/>
          <w:szCs w:val="21"/>
        </w:rPr>
        <w:t>设备</w:t>
      </w:r>
      <w:r>
        <w:rPr>
          <w:rFonts w:ascii="黑体" w:hAnsi="黑体" w:eastAsia="黑体" w:cs="Times New Roman"/>
          <w:szCs w:val="21"/>
        </w:rPr>
        <w:t>噪声源</w:t>
      </w:r>
      <w:r>
        <w:rPr>
          <w:rFonts w:hint="eastAsia" w:ascii="黑体" w:hAnsi="黑体" w:eastAsia="黑体" w:cs="Times New Roman"/>
          <w:szCs w:val="21"/>
        </w:rPr>
        <w:t>及处理措施</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009"/>
        <w:gridCol w:w="574"/>
        <w:gridCol w:w="718"/>
        <w:gridCol w:w="718"/>
        <w:gridCol w:w="1147"/>
        <w:gridCol w:w="1006"/>
        <w:gridCol w:w="719"/>
        <w:gridCol w:w="718"/>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pct"/>
            <w:vMerge w:val="restart"/>
            <w:vAlign w:val="center"/>
          </w:tcPr>
          <w:p>
            <w:pPr>
              <w:jc w:val="center"/>
              <w:rPr>
                <w:szCs w:val="21"/>
              </w:rPr>
            </w:pPr>
            <w:r>
              <w:rPr>
                <w:szCs w:val="21"/>
              </w:rPr>
              <w:t>噪声源</w:t>
            </w:r>
          </w:p>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位置</w:t>
            </w:r>
          </w:p>
        </w:tc>
        <w:tc>
          <w:tcPr>
            <w:tcW w:w="557" w:type="pct"/>
            <w:vMerge w:val="restart"/>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kern w:val="0"/>
                <w:sz w:val="21"/>
                <w:szCs w:val="21"/>
              </w:rPr>
              <w:t>噪声源</w:t>
            </w:r>
          </w:p>
        </w:tc>
        <w:tc>
          <w:tcPr>
            <w:tcW w:w="1109" w:type="pct"/>
            <w:gridSpan w:val="3"/>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坐标（m）</w:t>
            </w:r>
          </w:p>
        </w:tc>
        <w:tc>
          <w:tcPr>
            <w:tcW w:w="1188" w:type="pct"/>
            <w:gridSpan w:val="2"/>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主要设备最大噪声级（dB(A)）</w:t>
            </w:r>
          </w:p>
        </w:tc>
        <w:tc>
          <w:tcPr>
            <w:tcW w:w="397" w:type="pct"/>
            <w:vMerge w:val="restart"/>
            <w:vAlign w:val="center"/>
          </w:tcPr>
          <w:p>
            <w:pPr>
              <w:jc w:val="center"/>
              <w:rPr>
                <w:szCs w:val="21"/>
              </w:rPr>
            </w:pPr>
            <w:r>
              <w:rPr>
                <w:szCs w:val="21"/>
              </w:rPr>
              <w:t>运行</w:t>
            </w:r>
          </w:p>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台数</w:t>
            </w:r>
          </w:p>
        </w:tc>
        <w:tc>
          <w:tcPr>
            <w:tcW w:w="396" w:type="pct"/>
            <w:vMerge w:val="restart"/>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声学特性</w:t>
            </w:r>
          </w:p>
        </w:tc>
        <w:tc>
          <w:tcPr>
            <w:tcW w:w="820" w:type="pct"/>
            <w:vMerge w:val="restart"/>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pct"/>
            <w:vMerge w:val="continue"/>
            <w:vAlign w:val="center"/>
          </w:tcPr>
          <w:p>
            <w:pPr>
              <w:pStyle w:val="78"/>
              <w:widowControl w:val="0"/>
              <w:snapToGrid/>
              <w:spacing w:line="240" w:lineRule="auto"/>
              <w:rPr>
                <w:rFonts w:ascii="Times New Roman" w:hAnsi="Times New Roman" w:cs="Times New Roman"/>
                <w:sz w:val="21"/>
                <w:szCs w:val="21"/>
              </w:rPr>
            </w:pPr>
          </w:p>
        </w:tc>
        <w:tc>
          <w:tcPr>
            <w:tcW w:w="557" w:type="pct"/>
            <w:vMerge w:val="continue"/>
            <w:vAlign w:val="center"/>
          </w:tcPr>
          <w:p>
            <w:pPr>
              <w:pStyle w:val="78"/>
              <w:widowControl w:val="0"/>
              <w:snapToGrid/>
              <w:spacing w:line="240" w:lineRule="auto"/>
              <w:rPr>
                <w:rFonts w:ascii="Times New Roman" w:hAnsi="Times New Roman" w:cs="Times New Roman"/>
                <w:sz w:val="21"/>
                <w:szCs w:val="21"/>
              </w:rPr>
            </w:pPr>
          </w:p>
        </w:tc>
        <w:tc>
          <w:tcPr>
            <w:tcW w:w="317" w:type="pct"/>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X</w:t>
            </w:r>
          </w:p>
        </w:tc>
        <w:tc>
          <w:tcPr>
            <w:tcW w:w="396" w:type="pct"/>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Y</w:t>
            </w:r>
          </w:p>
        </w:tc>
        <w:tc>
          <w:tcPr>
            <w:tcW w:w="396" w:type="pct"/>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Z</w:t>
            </w:r>
          </w:p>
        </w:tc>
        <w:tc>
          <w:tcPr>
            <w:tcW w:w="633" w:type="pct"/>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治理前</w:t>
            </w:r>
          </w:p>
        </w:tc>
        <w:tc>
          <w:tcPr>
            <w:tcW w:w="555" w:type="pct"/>
            <w:vAlign w:val="center"/>
          </w:tcPr>
          <w:p>
            <w:pPr>
              <w:pStyle w:val="78"/>
              <w:widowControl w:val="0"/>
              <w:snapToGrid/>
              <w:spacing w:line="240" w:lineRule="auto"/>
              <w:rPr>
                <w:rFonts w:ascii="Times New Roman" w:hAnsi="Times New Roman" w:cs="Times New Roman"/>
                <w:sz w:val="21"/>
                <w:szCs w:val="21"/>
              </w:rPr>
            </w:pPr>
            <w:r>
              <w:rPr>
                <w:rFonts w:ascii="Times New Roman" w:hAnsi="Times New Roman" w:cs="Times New Roman"/>
                <w:sz w:val="21"/>
                <w:szCs w:val="21"/>
              </w:rPr>
              <w:t>治理后</w:t>
            </w:r>
          </w:p>
        </w:tc>
        <w:tc>
          <w:tcPr>
            <w:tcW w:w="397" w:type="pct"/>
            <w:vMerge w:val="continue"/>
            <w:vAlign w:val="center"/>
          </w:tcPr>
          <w:p>
            <w:pPr>
              <w:pStyle w:val="78"/>
              <w:widowControl w:val="0"/>
              <w:snapToGrid/>
              <w:spacing w:line="240" w:lineRule="auto"/>
              <w:rPr>
                <w:rFonts w:ascii="Times New Roman" w:hAnsi="Times New Roman" w:cs="Times New Roman"/>
                <w:sz w:val="21"/>
                <w:szCs w:val="21"/>
              </w:rPr>
            </w:pPr>
          </w:p>
        </w:tc>
        <w:tc>
          <w:tcPr>
            <w:tcW w:w="396" w:type="pct"/>
            <w:vMerge w:val="continue"/>
            <w:vAlign w:val="center"/>
          </w:tcPr>
          <w:p>
            <w:pPr>
              <w:pStyle w:val="78"/>
              <w:widowControl w:val="0"/>
              <w:snapToGrid/>
              <w:spacing w:line="240" w:lineRule="auto"/>
              <w:rPr>
                <w:rFonts w:ascii="Times New Roman" w:hAnsi="Times New Roman" w:cs="Times New Roman"/>
                <w:sz w:val="21"/>
                <w:szCs w:val="21"/>
              </w:rPr>
            </w:pPr>
          </w:p>
        </w:tc>
        <w:tc>
          <w:tcPr>
            <w:tcW w:w="820" w:type="pct"/>
            <w:vMerge w:val="continue"/>
            <w:vAlign w:val="center"/>
          </w:tcPr>
          <w:p>
            <w:pPr>
              <w:pStyle w:val="78"/>
              <w:widowControl w:val="0"/>
              <w:snapToGrid/>
              <w:spacing w:line="240" w:lineRule="auto"/>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pct"/>
            <w:vMerge w:val="restart"/>
            <w:vAlign w:val="center"/>
          </w:tcPr>
          <w:p>
            <w:pPr>
              <w:pStyle w:val="78"/>
              <w:widowControl w:val="0"/>
              <w:snapToGrid/>
              <w:spacing w:line="240" w:lineRule="auto"/>
              <w:rPr>
                <w:rFonts w:ascii="Times New Roman" w:hAnsi="Times New Roman" w:eastAsia="宋体" w:cs="Times New Roman"/>
                <w:sz w:val="21"/>
                <w:szCs w:val="21"/>
              </w:rPr>
            </w:pPr>
            <w:r>
              <w:rPr>
                <w:rFonts w:ascii="Times New Roman" w:eastAsia="宋体" w:cs="Times New Roman"/>
                <w:sz w:val="21"/>
                <w:szCs w:val="21"/>
              </w:rPr>
              <w:t>生产区</w:t>
            </w:r>
          </w:p>
        </w:tc>
        <w:tc>
          <w:tcPr>
            <w:tcW w:w="557" w:type="pct"/>
            <w:vAlign w:val="center"/>
          </w:tcPr>
          <w:p>
            <w:pPr>
              <w:pStyle w:val="128"/>
              <w:rPr>
                <w:rFonts w:ascii="Times New Roman" w:hAnsi="Times New Roman"/>
                <w:snapToGrid w:val="0"/>
              </w:rPr>
            </w:pPr>
            <w:r>
              <w:rPr>
                <w:rFonts w:hint="eastAsia" w:ascii="Times New Roman" w:hAnsi="Times New Roman"/>
                <w:snapToGrid w:val="0"/>
              </w:rPr>
              <w:t>水泵</w:t>
            </w:r>
          </w:p>
        </w:tc>
        <w:tc>
          <w:tcPr>
            <w:tcW w:w="317" w:type="pct"/>
            <w:vAlign w:val="center"/>
          </w:tcPr>
          <w:p>
            <w:pPr>
              <w:jc w:val="center"/>
              <w:rPr>
                <w:kern w:val="0"/>
                <w:szCs w:val="21"/>
              </w:rPr>
            </w:pPr>
            <w:r>
              <w:rPr>
                <w:rFonts w:hint="eastAsia"/>
                <w:kern w:val="0"/>
                <w:szCs w:val="21"/>
              </w:rPr>
              <w:t>65</w:t>
            </w:r>
          </w:p>
        </w:tc>
        <w:tc>
          <w:tcPr>
            <w:tcW w:w="396" w:type="pct"/>
            <w:vAlign w:val="center"/>
          </w:tcPr>
          <w:p>
            <w:pPr>
              <w:jc w:val="center"/>
              <w:rPr>
                <w:kern w:val="0"/>
                <w:szCs w:val="21"/>
              </w:rPr>
            </w:pPr>
            <w:r>
              <w:rPr>
                <w:rFonts w:hint="eastAsia"/>
                <w:kern w:val="0"/>
                <w:szCs w:val="21"/>
              </w:rPr>
              <w:t>50</w:t>
            </w:r>
          </w:p>
        </w:tc>
        <w:tc>
          <w:tcPr>
            <w:tcW w:w="396" w:type="pct"/>
            <w:vAlign w:val="center"/>
          </w:tcPr>
          <w:p>
            <w:pPr>
              <w:jc w:val="center"/>
              <w:rPr>
                <w:kern w:val="0"/>
                <w:szCs w:val="21"/>
              </w:rPr>
            </w:pPr>
            <w:r>
              <w:rPr>
                <w:kern w:val="0"/>
                <w:szCs w:val="21"/>
              </w:rPr>
              <w:t>1.5</w:t>
            </w:r>
          </w:p>
        </w:tc>
        <w:tc>
          <w:tcPr>
            <w:tcW w:w="633" w:type="pct"/>
            <w:vAlign w:val="center"/>
          </w:tcPr>
          <w:p>
            <w:pPr>
              <w:widowControl/>
              <w:jc w:val="center"/>
              <w:rPr>
                <w:kern w:val="0"/>
                <w:szCs w:val="21"/>
              </w:rPr>
            </w:pPr>
            <w:r>
              <w:rPr>
                <w:rFonts w:hint="eastAsia"/>
                <w:kern w:val="0"/>
                <w:szCs w:val="21"/>
              </w:rPr>
              <w:t>60</w:t>
            </w:r>
            <w:r>
              <w:rPr>
                <w:kern w:val="0"/>
                <w:szCs w:val="21"/>
              </w:rPr>
              <w:t>~8</w:t>
            </w:r>
            <w:r>
              <w:rPr>
                <w:rFonts w:hint="eastAsia"/>
                <w:kern w:val="0"/>
                <w:szCs w:val="21"/>
              </w:rPr>
              <w:t>0</w:t>
            </w:r>
          </w:p>
        </w:tc>
        <w:tc>
          <w:tcPr>
            <w:tcW w:w="555" w:type="pct"/>
            <w:vAlign w:val="center"/>
          </w:tcPr>
          <w:p>
            <w:pPr>
              <w:jc w:val="center"/>
              <w:rPr>
                <w:kern w:val="0"/>
                <w:szCs w:val="21"/>
              </w:rPr>
            </w:pPr>
            <w:r>
              <w:rPr>
                <w:rFonts w:hint="eastAsia"/>
                <w:kern w:val="0"/>
                <w:szCs w:val="21"/>
              </w:rPr>
              <w:t>55~75</w:t>
            </w:r>
          </w:p>
        </w:tc>
        <w:tc>
          <w:tcPr>
            <w:tcW w:w="397" w:type="pct"/>
            <w:vAlign w:val="center"/>
          </w:tcPr>
          <w:p>
            <w:pPr>
              <w:pStyle w:val="78"/>
              <w:widowControl w:val="0"/>
              <w:snapToGrid/>
              <w:spacing w:line="240" w:lineRule="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3</w:t>
            </w:r>
          </w:p>
        </w:tc>
        <w:tc>
          <w:tcPr>
            <w:tcW w:w="396" w:type="pct"/>
            <w:vAlign w:val="center"/>
          </w:tcPr>
          <w:p>
            <w:pPr>
              <w:pStyle w:val="78"/>
              <w:widowControl w:val="0"/>
              <w:snapToGrid/>
              <w:spacing w:line="240" w:lineRule="auto"/>
              <w:rPr>
                <w:rFonts w:ascii="Times New Roman" w:hAnsi="Times New Roman" w:cs="Times New Roman"/>
                <w:sz w:val="21"/>
                <w:szCs w:val="21"/>
              </w:rPr>
            </w:pPr>
            <w:r>
              <w:rPr>
                <w:rFonts w:hint="eastAsia" w:ascii="宋体" w:hAnsi="宋体" w:eastAsia="宋体" w:cs="宋体"/>
                <w:sz w:val="21"/>
                <w:szCs w:val="21"/>
              </w:rPr>
              <w:t>连续</w:t>
            </w:r>
          </w:p>
        </w:tc>
        <w:tc>
          <w:tcPr>
            <w:tcW w:w="820" w:type="pct"/>
            <w:vMerge w:val="restart"/>
            <w:vAlign w:val="center"/>
          </w:tcPr>
          <w:p>
            <w:pPr>
              <w:pStyle w:val="78"/>
              <w:widowControl w:val="0"/>
              <w:snapToGrid/>
              <w:spacing w:line="240" w:lineRule="auto"/>
              <w:rPr>
                <w:rFonts w:ascii="Times New Roman" w:hAnsi="Times New Roman" w:cs="Times New Roman"/>
                <w:sz w:val="21"/>
                <w:szCs w:val="21"/>
              </w:rPr>
            </w:pPr>
            <w:r>
              <w:rPr>
                <w:rFonts w:hint="eastAsia" w:ascii="Times New Roman" w:hAnsi="宋体" w:eastAsia="宋体" w:cs="Times New Roman"/>
                <w:sz w:val="21"/>
                <w:szCs w:val="21"/>
              </w:rPr>
              <w:t>建筑物隔声、基础减振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pct"/>
            <w:vMerge w:val="continue"/>
            <w:vAlign w:val="center"/>
          </w:tcPr>
          <w:p>
            <w:pPr>
              <w:pStyle w:val="78"/>
              <w:widowControl w:val="0"/>
              <w:snapToGrid/>
              <w:spacing w:line="240" w:lineRule="auto"/>
              <w:rPr>
                <w:rFonts w:ascii="Times New Roman" w:hAnsi="Times New Roman" w:eastAsia="宋体" w:cs="Times New Roman"/>
                <w:sz w:val="21"/>
                <w:szCs w:val="21"/>
              </w:rPr>
            </w:pPr>
          </w:p>
        </w:tc>
        <w:tc>
          <w:tcPr>
            <w:tcW w:w="557" w:type="pct"/>
            <w:vAlign w:val="center"/>
          </w:tcPr>
          <w:p>
            <w:pPr>
              <w:pStyle w:val="128"/>
              <w:rPr>
                <w:rFonts w:ascii="Times New Roman" w:hAnsi="Times New Roman"/>
                <w:snapToGrid w:val="0"/>
              </w:rPr>
            </w:pPr>
            <w:r>
              <w:rPr>
                <w:rFonts w:hint="eastAsia" w:ascii="Times New Roman" w:hAnsi="Times New Roman"/>
                <w:snapToGrid w:val="0"/>
              </w:rPr>
              <w:t>风机</w:t>
            </w:r>
          </w:p>
        </w:tc>
        <w:tc>
          <w:tcPr>
            <w:tcW w:w="317" w:type="pct"/>
            <w:vAlign w:val="center"/>
          </w:tcPr>
          <w:p>
            <w:pPr>
              <w:jc w:val="center"/>
              <w:rPr>
                <w:kern w:val="0"/>
                <w:szCs w:val="21"/>
              </w:rPr>
            </w:pPr>
            <w:r>
              <w:rPr>
                <w:rFonts w:hint="eastAsia"/>
                <w:kern w:val="0"/>
                <w:szCs w:val="21"/>
              </w:rPr>
              <w:t>40</w:t>
            </w:r>
          </w:p>
        </w:tc>
        <w:tc>
          <w:tcPr>
            <w:tcW w:w="396" w:type="pct"/>
            <w:vAlign w:val="center"/>
          </w:tcPr>
          <w:p>
            <w:pPr>
              <w:jc w:val="center"/>
              <w:rPr>
                <w:kern w:val="0"/>
                <w:szCs w:val="21"/>
              </w:rPr>
            </w:pPr>
            <w:r>
              <w:rPr>
                <w:rFonts w:hint="eastAsia"/>
                <w:kern w:val="0"/>
                <w:szCs w:val="21"/>
              </w:rPr>
              <w:t>35</w:t>
            </w:r>
          </w:p>
        </w:tc>
        <w:tc>
          <w:tcPr>
            <w:tcW w:w="396" w:type="pct"/>
            <w:vAlign w:val="center"/>
          </w:tcPr>
          <w:p>
            <w:pPr>
              <w:jc w:val="center"/>
              <w:rPr>
                <w:kern w:val="0"/>
                <w:szCs w:val="21"/>
              </w:rPr>
            </w:pPr>
            <w:r>
              <w:rPr>
                <w:kern w:val="0"/>
                <w:szCs w:val="21"/>
              </w:rPr>
              <w:t>1.5</w:t>
            </w:r>
          </w:p>
        </w:tc>
        <w:tc>
          <w:tcPr>
            <w:tcW w:w="633" w:type="pct"/>
            <w:vAlign w:val="center"/>
          </w:tcPr>
          <w:p>
            <w:pPr>
              <w:jc w:val="center"/>
              <w:rPr>
                <w:kern w:val="0"/>
                <w:szCs w:val="21"/>
              </w:rPr>
            </w:pPr>
            <w:r>
              <w:rPr>
                <w:snapToGrid w:val="0"/>
                <w:kern w:val="0"/>
              </w:rPr>
              <w:t>75~80</w:t>
            </w:r>
          </w:p>
        </w:tc>
        <w:tc>
          <w:tcPr>
            <w:tcW w:w="555" w:type="pct"/>
            <w:vAlign w:val="center"/>
          </w:tcPr>
          <w:p>
            <w:pPr>
              <w:jc w:val="center"/>
              <w:rPr>
                <w:kern w:val="0"/>
                <w:szCs w:val="21"/>
              </w:rPr>
            </w:pPr>
            <w:r>
              <w:rPr>
                <w:rFonts w:hint="eastAsia"/>
                <w:kern w:val="0"/>
                <w:szCs w:val="21"/>
              </w:rPr>
              <w:t>70~75</w:t>
            </w:r>
          </w:p>
        </w:tc>
        <w:tc>
          <w:tcPr>
            <w:tcW w:w="397" w:type="pct"/>
            <w:vAlign w:val="center"/>
          </w:tcPr>
          <w:p>
            <w:pPr>
              <w:pStyle w:val="78"/>
              <w:widowControl w:val="0"/>
              <w:snapToGrid/>
              <w:spacing w:line="240" w:lineRule="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38</w:t>
            </w:r>
          </w:p>
        </w:tc>
        <w:tc>
          <w:tcPr>
            <w:tcW w:w="396" w:type="pct"/>
            <w:vAlign w:val="center"/>
          </w:tcPr>
          <w:p>
            <w:pPr>
              <w:pStyle w:val="78"/>
              <w:widowControl w:val="0"/>
              <w:snapToGrid/>
              <w:spacing w:line="240" w:lineRule="auto"/>
              <w:rPr>
                <w:rFonts w:ascii="Times New Roman" w:hAnsi="Times New Roman" w:cs="Times New Roman"/>
                <w:sz w:val="21"/>
                <w:szCs w:val="21"/>
              </w:rPr>
            </w:pPr>
            <w:r>
              <w:rPr>
                <w:rFonts w:hint="eastAsia" w:ascii="宋体" w:hAnsi="宋体" w:eastAsia="宋体" w:cs="宋体"/>
                <w:sz w:val="21"/>
                <w:szCs w:val="21"/>
              </w:rPr>
              <w:t>连续</w:t>
            </w:r>
          </w:p>
        </w:tc>
        <w:tc>
          <w:tcPr>
            <w:tcW w:w="820" w:type="pct"/>
            <w:vMerge w:val="continue"/>
            <w:vAlign w:val="center"/>
          </w:tcPr>
          <w:p>
            <w:pPr>
              <w:pStyle w:val="78"/>
              <w:widowControl w:val="0"/>
              <w:snapToGrid/>
              <w:spacing w:line="240" w:lineRule="auto"/>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pct"/>
            <w:vMerge w:val="continue"/>
            <w:vAlign w:val="center"/>
          </w:tcPr>
          <w:p>
            <w:pPr>
              <w:pStyle w:val="78"/>
              <w:widowControl w:val="0"/>
              <w:snapToGrid/>
              <w:spacing w:line="240" w:lineRule="auto"/>
              <w:rPr>
                <w:rFonts w:ascii="Times New Roman" w:hAnsi="Times New Roman" w:eastAsia="宋体" w:cs="Times New Roman"/>
                <w:sz w:val="21"/>
                <w:szCs w:val="21"/>
              </w:rPr>
            </w:pPr>
          </w:p>
        </w:tc>
        <w:tc>
          <w:tcPr>
            <w:tcW w:w="557" w:type="pct"/>
            <w:vAlign w:val="center"/>
          </w:tcPr>
          <w:p>
            <w:pPr>
              <w:pStyle w:val="128"/>
              <w:rPr>
                <w:rFonts w:ascii="Times New Roman" w:hAnsi="Times New Roman"/>
                <w:snapToGrid w:val="0"/>
              </w:rPr>
            </w:pPr>
            <w:r>
              <w:rPr>
                <w:rFonts w:hint="eastAsia" w:ascii="Times New Roman" w:hAnsi="Times New Roman"/>
                <w:snapToGrid w:val="0"/>
              </w:rPr>
              <w:t>鸡叫声</w:t>
            </w:r>
          </w:p>
        </w:tc>
        <w:tc>
          <w:tcPr>
            <w:tcW w:w="317" w:type="pct"/>
            <w:vAlign w:val="center"/>
          </w:tcPr>
          <w:p>
            <w:pPr>
              <w:jc w:val="center"/>
              <w:rPr>
                <w:kern w:val="0"/>
                <w:szCs w:val="21"/>
              </w:rPr>
            </w:pPr>
            <w:r>
              <w:rPr>
                <w:rFonts w:hint="eastAsia"/>
                <w:kern w:val="0"/>
                <w:szCs w:val="21"/>
              </w:rPr>
              <w:t>35</w:t>
            </w:r>
          </w:p>
        </w:tc>
        <w:tc>
          <w:tcPr>
            <w:tcW w:w="396" w:type="pct"/>
            <w:vAlign w:val="center"/>
          </w:tcPr>
          <w:p>
            <w:pPr>
              <w:jc w:val="center"/>
              <w:rPr>
                <w:kern w:val="0"/>
                <w:szCs w:val="21"/>
              </w:rPr>
            </w:pPr>
            <w:r>
              <w:rPr>
                <w:rFonts w:hint="eastAsia"/>
                <w:kern w:val="0"/>
                <w:szCs w:val="21"/>
              </w:rPr>
              <w:t>20</w:t>
            </w:r>
          </w:p>
        </w:tc>
        <w:tc>
          <w:tcPr>
            <w:tcW w:w="396" w:type="pct"/>
            <w:vAlign w:val="center"/>
          </w:tcPr>
          <w:p>
            <w:pPr>
              <w:jc w:val="center"/>
              <w:rPr>
                <w:kern w:val="0"/>
                <w:szCs w:val="21"/>
              </w:rPr>
            </w:pPr>
            <w:r>
              <w:rPr>
                <w:kern w:val="0"/>
                <w:szCs w:val="21"/>
              </w:rPr>
              <w:t>1.5</w:t>
            </w:r>
          </w:p>
        </w:tc>
        <w:tc>
          <w:tcPr>
            <w:tcW w:w="633" w:type="pct"/>
            <w:vAlign w:val="center"/>
          </w:tcPr>
          <w:p>
            <w:pPr>
              <w:widowControl/>
              <w:jc w:val="center"/>
              <w:rPr>
                <w:kern w:val="0"/>
                <w:szCs w:val="21"/>
              </w:rPr>
            </w:pPr>
            <w:r>
              <w:rPr>
                <w:snapToGrid w:val="0"/>
                <w:kern w:val="0"/>
              </w:rPr>
              <w:t>70</w:t>
            </w:r>
            <w:r>
              <w:rPr>
                <w:rFonts w:hint="eastAsia"/>
                <w:snapToGrid w:val="0"/>
                <w:kern w:val="0"/>
              </w:rPr>
              <w:t>～</w:t>
            </w:r>
            <w:r>
              <w:rPr>
                <w:snapToGrid w:val="0"/>
                <w:kern w:val="0"/>
              </w:rPr>
              <w:t>75</w:t>
            </w:r>
          </w:p>
        </w:tc>
        <w:tc>
          <w:tcPr>
            <w:tcW w:w="555" w:type="pct"/>
            <w:vAlign w:val="center"/>
          </w:tcPr>
          <w:p>
            <w:pPr>
              <w:jc w:val="center"/>
              <w:rPr>
                <w:kern w:val="0"/>
                <w:szCs w:val="21"/>
              </w:rPr>
            </w:pPr>
            <w:r>
              <w:rPr>
                <w:rFonts w:hint="eastAsia"/>
                <w:kern w:val="0"/>
                <w:szCs w:val="21"/>
              </w:rPr>
              <w:t>65~70</w:t>
            </w:r>
          </w:p>
        </w:tc>
        <w:tc>
          <w:tcPr>
            <w:tcW w:w="397" w:type="pct"/>
            <w:vAlign w:val="center"/>
          </w:tcPr>
          <w:p>
            <w:pPr>
              <w:pStyle w:val="78"/>
              <w:widowControl w:val="0"/>
              <w:snapToGrid/>
              <w:spacing w:line="240" w:lineRule="auto"/>
              <w:rPr>
                <w:rFonts w:ascii="Times New Roman" w:hAnsi="Times New Roman" w:cs="Times New Roman" w:eastAsiaTheme="minorEastAsia"/>
                <w:sz w:val="21"/>
                <w:szCs w:val="21"/>
              </w:rPr>
            </w:pPr>
            <w:r>
              <w:rPr>
                <w:snapToGrid w:val="0"/>
                <w:kern w:val="0"/>
              </w:rPr>
              <w:t>/</w:t>
            </w:r>
          </w:p>
        </w:tc>
        <w:tc>
          <w:tcPr>
            <w:tcW w:w="396" w:type="pct"/>
            <w:vAlign w:val="center"/>
          </w:tcPr>
          <w:p>
            <w:pPr>
              <w:pStyle w:val="78"/>
              <w:widowControl w:val="0"/>
              <w:snapToGrid/>
              <w:spacing w:line="240" w:lineRule="auto"/>
              <w:rPr>
                <w:rFonts w:ascii="Times New Roman" w:hAnsi="Times New Roman" w:cs="Times New Roman"/>
                <w:sz w:val="21"/>
                <w:szCs w:val="21"/>
              </w:rPr>
            </w:pPr>
            <w:r>
              <w:rPr>
                <w:rFonts w:ascii="Times New Roman" w:hAnsi="宋体" w:eastAsia="宋体" w:cs="Times New Roman"/>
                <w:sz w:val="21"/>
                <w:szCs w:val="21"/>
              </w:rPr>
              <w:t>连续</w:t>
            </w:r>
          </w:p>
        </w:tc>
        <w:tc>
          <w:tcPr>
            <w:tcW w:w="820" w:type="pct"/>
            <w:vAlign w:val="center"/>
          </w:tcPr>
          <w:p>
            <w:pPr>
              <w:pStyle w:val="78"/>
              <w:widowControl w:val="0"/>
              <w:snapToGrid/>
              <w:spacing w:line="240" w:lineRule="auto"/>
              <w:rPr>
                <w:rFonts w:ascii="Times New Roman" w:hAnsi="Times New Roman" w:cs="Times New Roman"/>
                <w:sz w:val="21"/>
                <w:szCs w:val="21"/>
              </w:rPr>
            </w:pPr>
            <w:r>
              <w:rPr>
                <w:rFonts w:hint="eastAsia" w:ascii="Times New Roman" w:hAnsi="宋体" w:eastAsia="宋体" w:cs="Times New Roman"/>
                <w:sz w:val="21"/>
                <w:szCs w:val="21"/>
              </w:rPr>
              <w:t>建筑物隔声</w:t>
            </w:r>
          </w:p>
        </w:tc>
      </w:tr>
    </w:tbl>
    <w:p>
      <w:pPr>
        <w:pStyle w:val="57"/>
        <w:keepNext/>
        <w:keepLines/>
        <w:spacing w:before="0" w:after="0" w:line="480" w:lineRule="exact"/>
        <w:ind w:firstLine="0" w:firstLineChars="0"/>
        <w:outlineLvl w:val="3"/>
        <w:rPr>
          <w:b/>
        </w:rPr>
      </w:pPr>
      <w:r>
        <w:rPr>
          <w:rFonts w:hint="eastAsia"/>
          <w:b/>
        </w:rPr>
        <w:t>5.2.5.2</w:t>
      </w:r>
      <w:r>
        <w:rPr>
          <w:rFonts w:hint="eastAsia" w:ascii="宋体" w:hAnsi="宋体"/>
          <w:b/>
        </w:rPr>
        <w:t>声环境影响预测</w:t>
      </w:r>
    </w:p>
    <w:p>
      <w:pPr>
        <w:spacing w:line="480" w:lineRule="exact"/>
        <w:ind w:firstLine="480" w:firstLineChars="200"/>
        <w:rPr>
          <w:sz w:val="24"/>
          <w:szCs w:val="24"/>
        </w:rPr>
      </w:pPr>
      <w:r>
        <w:rPr>
          <w:sz w:val="24"/>
          <w:szCs w:val="24"/>
        </w:rPr>
        <w:t>本次评价采用《环境影响评价技术导则—声环境》（HJ/T2.4—2009）中推荐的工业噪声预测计算模式，具体如下：</w:t>
      </w:r>
    </w:p>
    <w:p>
      <w:pPr>
        <w:spacing w:line="480" w:lineRule="exact"/>
        <w:ind w:firstLine="480" w:firstLineChars="200"/>
        <w:rPr>
          <w:sz w:val="24"/>
          <w:szCs w:val="24"/>
        </w:rPr>
      </w:pPr>
      <w:r>
        <w:rPr>
          <w:rFonts w:hint="eastAsia"/>
          <w:sz w:val="24"/>
          <w:szCs w:val="24"/>
        </w:rPr>
        <w:t>①室外点声源在预测点产生的声级计算公式</w:t>
      </w:r>
    </w:p>
    <w:p>
      <w:pPr>
        <w:spacing w:line="480" w:lineRule="exact"/>
        <w:ind w:firstLine="480" w:firstLineChars="200"/>
        <w:rPr>
          <w:sz w:val="24"/>
          <w:szCs w:val="24"/>
        </w:rPr>
      </w:pPr>
      <w:r>
        <w:rPr>
          <w:rFonts w:hint="eastAsia"/>
          <w:sz w:val="24"/>
          <w:szCs w:val="24"/>
        </w:rPr>
        <w:t>已知声源的倍频带声功率级，预测点位置的倍频带声压级L</w:t>
      </w:r>
      <w:r>
        <w:rPr>
          <w:sz w:val="24"/>
          <w:szCs w:val="24"/>
          <w:vertAlign w:val="subscript"/>
        </w:rPr>
        <w:t>p</w:t>
      </w:r>
      <w:r>
        <w:rPr>
          <w:sz w:val="24"/>
          <w:szCs w:val="24"/>
        </w:rPr>
        <w:t>(r)</w:t>
      </w:r>
      <w:r>
        <w:rPr>
          <w:rFonts w:hint="eastAsia"/>
          <w:sz w:val="24"/>
          <w:szCs w:val="24"/>
        </w:rPr>
        <w:t>可按下式计算：</w:t>
      </w:r>
    </w:p>
    <w:p>
      <w:pPr>
        <w:spacing w:line="480" w:lineRule="exact"/>
        <w:ind w:firstLine="480" w:firstLineChars="200"/>
        <w:rPr>
          <w:sz w:val="24"/>
          <w:szCs w:val="24"/>
        </w:rPr>
      </w:pPr>
      <w:r>
        <w:rPr>
          <w:rFonts w:hint="eastAsia"/>
          <w:sz w:val="24"/>
          <w:szCs w:val="24"/>
        </w:rPr>
        <w:t>L</w:t>
      </w:r>
      <w:r>
        <w:rPr>
          <w:sz w:val="24"/>
          <w:szCs w:val="24"/>
          <w:vertAlign w:val="subscript"/>
        </w:rPr>
        <w:t>p</w:t>
      </w:r>
      <w:r>
        <w:rPr>
          <w:sz w:val="24"/>
          <w:szCs w:val="24"/>
        </w:rPr>
        <w:t>(r)</w:t>
      </w:r>
      <w:r>
        <w:rPr>
          <w:rFonts w:hint="eastAsia"/>
          <w:sz w:val="24"/>
          <w:szCs w:val="24"/>
        </w:rPr>
        <w:t>= L</w:t>
      </w:r>
      <w:r>
        <w:rPr>
          <w:sz w:val="24"/>
          <w:szCs w:val="24"/>
          <w:vertAlign w:val="subscript"/>
        </w:rPr>
        <w:t xml:space="preserve">w </w:t>
      </w:r>
      <w:r>
        <w:rPr>
          <w:rFonts w:hint="eastAsia"/>
          <w:sz w:val="24"/>
          <w:szCs w:val="24"/>
        </w:rPr>
        <w:t>+</w:t>
      </w:r>
      <w:r>
        <w:rPr>
          <w:sz w:val="24"/>
          <w:szCs w:val="24"/>
        </w:rPr>
        <w:t xml:space="preserve"> D</w:t>
      </w:r>
      <w:r>
        <w:rPr>
          <w:sz w:val="24"/>
          <w:szCs w:val="24"/>
          <w:vertAlign w:val="subscript"/>
        </w:rPr>
        <w:t>c</w:t>
      </w:r>
      <w:r>
        <w:rPr>
          <w:sz w:val="24"/>
          <w:szCs w:val="24"/>
        </w:rPr>
        <w:t>－(A</w:t>
      </w:r>
      <w:r>
        <w:rPr>
          <w:rFonts w:hint="eastAsia"/>
          <w:sz w:val="24"/>
          <w:szCs w:val="24"/>
          <w:vertAlign w:val="subscript"/>
        </w:rPr>
        <w:t>div</w:t>
      </w:r>
      <w:r>
        <w:rPr>
          <w:sz w:val="24"/>
          <w:szCs w:val="24"/>
        </w:rPr>
        <w:t>+A</w:t>
      </w:r>
      <w:r>
        <w:rPr>
          <w:sz w:val="24"/>
          <w:szCs w:val="24"/>
          <w:vertAlign w:val="subscript"/>
        </w:rPr>
        <w:t>atm</w:t>
      </w:r>
      <w:r>
        <w:rPr>
          <w:sz w:val="24"/>
          <w:szCs w:val="24"/>
        </w:rPr>
        <w:t>+A</w:t>
      </w:r>
      <w:r>
        <w:rPr>
          <w:sz w:val="24"/>
          <w:szCs w:val="24"/>
          <w:vertAlign w:val="subscript"/>
        </w:rPr>
        <w:t>gr</w:t>
      </w:r>
      <w:r>
        <w:rPr>
          <w:sz w:val="24"/>
          <w:szCs w:val="24"/>
        </w:rPr>
        <w:t>+A</w:t>
      </w:r>
      <w:r>
        <w:rPr>
          <w:sz w:val="24"/>
          <w:szCs w:val="24"/>
          <w:vertAlign w:val="subscript"/>
        </w:rPr>
        <w:t>bar</w:t>
      </w:r>
      <w:r>
        <w:rPr>
          <w:sz w:val="24"/>
          <w:szCs w:val="24"/>
        </w:rPr>
        <w:t>+A</w:t>
      </w:r>
      <w:r>
        <w:rPr>
          <w:sz w:val="24"/>
          <w:szCs w:val="24"/>
          <w:vertAlign w:val="subscript"/>
        </w:rPr>
        <w:t>misc</w:t>
      </w:r>
      <w:r>
        <w:rPr>
          <w:sz w:val="24"/>
          <w:szCs w:val="24"/>
        </w:rPr>
        <w:t>)</w:t>
      </w:r>
    </w:p>
    <w:p>
      <w:pPr>
        <w:spacing w:line="480" w:lineRule="exact"/>
        <w:ind w:firstLine="480" w:firstLineChars="200"/>
        <w:rPr>
          <w:sz w:val="24"/>
          <w:szCs w:val="24"/>
        </w:rPr>
      </w:pPr>
      <w:r>
        <w:rPr>
          <w:sz w:val="24"/>
          <w:szCs w:val="24"/>
        </w:rPr>
        <w:t>A</w:t>
      </w:r>
      <w:r>
        <w:rPr>
          <w:rFonts w:hint="eastAsia"/>
          <w:sz w:val="24"/>
          <w:szCs w:val="24"/>
          <w:vertAlign w:val="subscript"/>
        </w:rPr>
        <w:t>div</w:t>
      </w:r>
      <w:r>
        <w:rPr>
          <w:rFonts w:hint="eastAsia"/>
          <w:sz w:val="24"/>
          <w:szCs w:val="24"/>
        </w:rPr>
        <w:t>——几何发散引起的倍频带衰减，d</w:t>
      </w:r>
      <w:r>
        <w:rPr>
          <w:sz w:val="24"/>
          <w:szCs w:val="24"/>
        </w:rPr>
        <w:t>B</w:t>
      </w:r>
      <w:r>
        <w:rPr>
          <w:rFonts w:hint="eastAsia"/>
          <w:sz w:val="24"/>
          <w:szCs w:val="24"/>
        </w:rPr>
        <w:t>；</w:t>
      </w:r>
    </w:p>
    <w:p>
      <w:pPr>
        <w:spacing w:line="480" w:lineRule="exact"/>
        <w:ind w:firstLine="480" w:firstLineChars="200"/>
        <w:rPr>
          <w:sz w:val="24"/>
          <w:szCs w:val="24"/>
        </w:rPr>
      </w:pPr>
      <w:r>
        <w:rPr>
          <w:sz w:val="24"/>
          <w:szCs w:val="24"/>
        </w:rPr>
        <w:t>A</w:t>
      </w:r>
      <w:r>
        <w:rPr>
          <w:sz w:val="24"/>
          <w:szCs w:val="24"/>
          <w:vertAlign w:val="subscript"/>
        </w:rPr>
        <w:t>atm</w:t>
      </w:r>
      <w:r>
        <w:rPr>
          <w:rFonts w:hint="eastAsia"/>
          <w:sz w:val="24"/>
          <w:szCs w:val="24"/>
        </w:rPr>
        <w:t>——大气吸收引起的倍频带衰减，d</w:t>
      </w:r>
      <w:r>
        <w:rPr>
          <w:sz w:val="24"/>
          <w:szCs w:val="24"/>
        </w:rPr>
        <w:t>B</w:t>
      </w:r>
      <w:r>
        <w:rPr>
          <w:rFonts w:hint="eastAsia"/>
          <w:sz w:val="24"/>
          <w:szCs w:val="24"/>
        </w:rPr>
        <w:t>；</w:t>
      </w:r>
    </w:p>
    <w:p>
      <w:pPr>
        <w:spacing w:line="480" w:lineRule="exact"/>
        <w:ind w:firstLine="480" w:firstLineChars="200"/>
        <w:rPr>
          <w:sz w:val="24"/>
          <w:szCs w:val="24"/>
        </w:rPr>
      </w:pPr>
      <w:r>
        <w:rPr>
          <w:sz w:val="24"/>
          <w:szCs w:val="24"/>
        </w:rPr>
        <w:t>A</w:t>
      </w:r>
      <w:r>
        <w:rPr>
          <w:sz w:val="24"/>
          <w:szCs w:val="24"/>
          <w:vertAlign w:val="subscript"/>
        </w:rPr>
        <w:t>g</w:t>
      </w:r>
      <w:r>
        <w:rPr>
          <w:rFonts w:hint="eastAsia"/>
          <w:sz w:val="24"/>
          <w:szCs w:val="24"/>
        </w:rPr>
        <w:t>——地面效应引起的倍频带衰减，d</w:t>
      </w:r>
      <w:r>
        <w:rPr>
          <w:sz w:val="24"/>
          <w:szCs w:val="24"/>
        </w:rPr>
        <w:t>B</w:t>
      </w:r>
      <w:r>
        <w:rPr>
          <w:rFonts w:hint="eastAsia"/>
          <w:sz w:val="24"/>
          <w:szCs w:val="24"/>
        </w:rPr>
        <w:t>；</w:t>
      </w:r>
    </w:p>
    <w:p>
      <w:pPr>
        <w:spacing w:line="480" w:lineRule="exact"/>
        <w:ind w:firstLine="480" w:firstLineChars="200"/>
        <w:rPr>
          <w:sz w:val="24"/>
          <w:szCs w:val="24"/>
        </w:rPr>
      </w:pPr>
      <w:r>
        <w:rPr>
          <w:sz w:val="24"/>
          <w:szCs w:val="24"/>
        </w:rPr>
        <w:t>A</w:t>
      </w:r>
      <w:r>
        <w:rPr>
          <w:sz w:val="24"/>
          <w:szCs w:val="24"/>
          <w:vertAlign w:val="subscript"/>
        </w:rPr>
        <w:t>bar</w:t>
      </w:r>
      <w:r>
        <w:rPr>
          <w:rFonts w:hint="eastAsia"/>
          <w:sz w:val="24"/>
          <w:szCs w:val="24"/>
        </w:rPr>
        <w:t>——声屏障引起的倍频带衰减，d</w:t>
      </w:r>
      <w:r>
        <w:rPr>
          <w:sz w:val="24"/>
          <w:szCs w:val="24"/>
        </w:rPr>
        <w:t>B</w:t>
      </w:r>
      <w:r>
        <w:rPr>
          <w:rFonts w:hint="eastAsia"/>
          <w:sz w:val="24"/>
          <w:szCs w:val="24"/>
        </w:rPr>
        <w:t>；</w:t>
      </w:r>
    </w:p>
    <w:p>
      <w:pPr>
        <w:spacing w:line="480" w:lineRule="exact"/>
        <w:ind w:firstLine="480" w:firstLineChars="200"/>
        <w:rPr>
          <w:sz w:val="24"/>
          <w:szCs w:val="24"/>
        </w:rPr>
      </w:pPr>
      <w:r>
        <w:rPr>
          <w:sz w:val="24"/>
          <w:szCs w:val="24"/>
        </w:rPr>
        <w:t>A</w:t>
      </w:r>
      <w:r>
        <w:rPr>
          <w:sz w:val="24"/>
          <w:szCs w:val="24"/>
          <w:vertAlign w:val="subscript"/>
        </w:rPr>
        <w:t>misc</w:t>
      </w:r>
      <w:r>
        <w:rPr>
          <w:rFonts w:hint="eastAsia"/>
          <w:sz w:val="24"/>
          <w:szCs w:val="24"/>
        </w:rPr>
        <w:t>——其他多方面效应引起的倍频带衰减，d</w:t>
      </w:r>
      <w:r>
        <w:rPr>
          <w:sz w:val="24"/>
          <w:szCs w:val="24"/>
        </w:rPr>
        <w:t>B</w:t>
      </w:r>
      <w:r>
        <w:rPr>
          <w:rFonts w:hint="eastAsia"/>
          <w:sz w:val="24"/>
          <w:szCs w:val="24"/>
        </w:rPr>
        <w:t>；</w:t>
      </w:r>
    </w:p>
    <w:p>
      <w:pPr>
        <w:spacing w:line="480" w:lineRule="exact"/>
        <w:ind w:firstLine="480" w:firstLineChars="200"/>
        <w:rPr>
          <w:sz w:val="24"/>
          <w:szCs w:val="24"/>
        </w:rPr>
      </w:pPr>
      <w:r>
        <w:rPr>
          <w:rFonts w:hint="eastAsia"/>
          <w:sz w:val="24"/>
          <w:szCs w:val="24"/>
        </w:rPr>
        <w:t>预测点的A声级L</w:t>
      </w:r>
      <w:r>
        <w:rPr>
          <w:sz w:val="24"/>
          <w:szCs w:val="24"/>
          <w:vertAlign w:val="subscript"/>
        </w:rPr>
        <w:t>A</w:t>
      </w:r>
      <w:r>
        <w:rPr>
          <w:sz w:val="24"/>
          <w:szCs w:val="24"/>
        </w:rPr>
        <w:t>(r)</w:t>
      </w:r>
      <w:r>
        <w:rPr>
          <w:rFonts w:hint="eastAsia"/>
          <w:sz w:val="24"/>
          <w:szCs w:val="24"/>
        </w:rPr>
        <w:t>可利用8个倍频带的声压级按下式计算：</w:t>
      </w:r>
    </w:p>
    <w:p>
      <w:pPr>
        <w:spacing w:line="480" w:lineRule="exact"/>
        <w:ind w:firstLine="480" w:firstLineChars="200"/>
        <w:rPr>
          <w:sz w:val="24"/>
          <w:szCs w:val="24"/>
        </w:rPr>
      </w:pPr>
      <w:r>
        <w:rPr>
          <w:rFonts w:hint="eastAsia"/>
          <w:sz w:val="24"/>
          <w:szCs w:val="24"/>
        </w:rPr>
        <w:t>L</w:t>
      </w:r>
      <w:r>
        <w:rPr>
          <w:sz w:val="24"/>
          <w:szCs w:val="24"/>
          <w:vertAlign w:val="subscript"/>
        </w:rPr>
        <w:t>A</w:t>
      </w:r>
      <w:r>
        <w:rPr>
          <w:sz w:val="24"/>
          <w:szCs w:val="24"/>
        </w:rPr>
        <w:t>(r)</w:t>
      </w:r>
      <w:r>
        <w:rPr>
          <w:rFonts w:hint="eastAsia"/>
          <w:sz w:val="24"/>
          <w:szCs w:val="24"/>
        </w:rPr>
        <w:t>=</w:t>
      </w:r>
      <w:r>
        <w:rPr>
          <w:sz w:val="24"/>
          <w:szCs w:val="24"/>
        </w:rPr>
        <w:t>10lg</w:t>
      </w:r>
      <w:r>
        <w:rPr>
          <w:rFonts w:hint="eastAsia"/>
          <w:sz w:val="24"/>
          <w:szCs w:val="24"/>
        </w:rPr>
        <w:t>（</w:t>
      </w:r>
      <w:r>
        <w:rPr>
          <w:sz w:val="24"/>
          <w:szCs w:val="24"/>
        </w:rPr>
        <w:t>∑10</w:t>
      </w:r>
      <w:r>
        <w:rPr>
          <w:sz w:val="24"/>
          <w:szCs w:val="24"/>
          <w:vertAlign w:val="superscript"/>
        </w:rPr>
        <w:t>0.1Lpi(r)-</w:t>
      </w:r>
      <w:r>
        <w:rPr>
          <w:sz w:val="24"/>
          <w:szCs w:val="24"/>
        </w:rPr>
        <w:t xml:space="preserve"> </w:t>
      </w:r>
      <w:r>
        <w:rPr>
          <w:rFonts w:hint="eastAsia" w:ascii="微软雅黑" w:hAnsi="微软雅黑" w:eastAsia="微软雅黑" w:cs="微软雅黑"/>
          <w:sz w:val="24"/>
          <w:szCs w:val="24"/>
          <w:vertAlign w:val="superscript"/>
        </w:rPr>
        <w:t>∆</w:t>
      </w:r>
      <w:r>
        <w:rPr>
          <w:sz w:val="24"/>
          <w:szCs w:val="24"/>
          <w:vertAlign w:val="superscript"/>
        </w:rPr>
        <w:t>Li</w:t>
      </w:r>
      <w:r>
        <w:rPr>
          <w:rFonts w:hint="eastAsia"/>
          <w:sz w:val="24"/>
          <w:szCs w:val="24"/>
        </w:rPr>
        <w:t>）</w:t>
      </w:r>
    </w:p>
    <w:p>
      <w:pPr>
        <w:spacing w:line="480" w:lineRule="exact"/>
        <w:ind w:firstLine="480" w:firstLineChars="200"/>
        <w:rPr>
          <w:sz w:val="24"/>
          <w:szCs w:val="24"/>
        </w:rPr>
      </w:pPr>
      <w:r>
        <w:rPr>
          <w:rFonts w:hint="eastAsia"/>
          <w:sz w:val="24"/>
          <w:szCs w:val="24"/>
        </w:rPr>
        <w:t>③</w:t>
      </w:r>
      <w:r>
        <w:rPr>
          <w:sz w:val="24"/>
          <w:szCs w:val="24"/>
        </w:rPr>
        <w:t>噪声贡献值计算</w:t>
      </w:r>
    </w:p>
    <w:p>
      <w:pPr>
        <w:spacing w:line="480" w:lineRule="exact"/>
        <w:ind w:firstLine="480" w:firstLineChars="200"/>
        <w:rPr>
          <w:sz w:val="24"/>
          <w:szCs w:val="24"/>
        </w:rPr>
      </w:pPr>
      <w:r>
        <w:rPr>
          <w:sz w:val="24"/>
          <w:szCs w:val="24"/>
        </w:rPr>
        <w:t>设第i个室外声源在预测点产生的A声级为L</w:t>
      </w:r>
      <w:r>
        <w:rPr>
          <w:sz w:val="24"/>
          <w:szCs w:val="24"/>
          <w:vertAlign w:val="subscript"/>
        </w:rPr>
        <w:t>Ai</w:t>
      </w:r>
      <w:r>
        <w:rPr>
          <w:sz w:val="24"/>
          <w:szCs w:val="24"/>
        </w:rPr>
        <w:t>，在T时间内该声源工作时间为t</w:t>
      </w:r>
      <w:r>
        <w:rPr>
          <w:sz w:val="24"/>
          <w:szCs w:val="24"/>
          <w:vertAlign w:val="subscript"/>
        </w:rPr>
        <w:t>i</w:t>
      </w:r>
      <w:r>
        <w:rPr>
          <w:sz w:val="24"/>
          <w:szCs w:val="24"/>
        </w:rPr>
        <w:t>；第j个等效室外声源在预测点产生的A声级为L</w:t>
      </w:r>
      <w:r>
        <w:rPr>
          <w:sz w:val="24"/>
          <w:szCs w:val="24"/>
          <w:vertAlign w:val="subscript"/>
        </w:rPr>
        <w:t>Aj</w:t>
      </w:r>
      <w:r>
        <w:rPr>
          <w:sz w:val="24"/>
          <w:szCs w:val="24"/>
        </w:rPr>
        <w:t>，在T时间内该声源工作时间为t</w:t>
      </w:r>
      <w:r>
        <w:rPr>
          <w:sz w:val="24"/>
          <w:szCs w:val="24"/>
          <w:vertAlign w:val="subscript"/>
        </w:rPr>
        <w:t>j</w:t>
      </w:r>
      <w:r>
        <w:rPr>
          <w:sz w:val="24"/>
          <w:szCs w:val="24"/>
        </w:rPr>
        <w:t>，则拟建工程声源对预测点产生的贡献值（L</w:t>
      </w:r>
      <w:r>
        <w:rPr>
          <w:sz w:val="24"/>
          <w:szCs w:val="24"/>
          <w:vertAlign w:val="subscript"/>
        </w:rPr>
        <w:t>eqg</w:t>
      </w:r>
      <w:r>
        <w:rPr>
          <w:sz w:val="24"/>
          <w:szCs w:val="24"/>
        </w:rPr>
        <w:t>）为：</w:t>
      </w:r>
    </w:p>
    <w:p>
      <w:pPr>
        <w:spacing w:line="480" w:lineRule="exact"/>
        <w:ind w:firstLine="480" w:firstLineChars="200"/>
        <w:rPr>
          <w:sz w:val="24"/>
          <w:szCs w:val="24"/>
        </w:rPr>
      </w:pPr>
      <w:r>
        <w:rPr>
          <w:sz w:val="24"/>
          <w:szCs w:val="24"/>
        </w:rPr>
        <w:t>L</w:t>
      </w:r>
      <w:r>
        <w:rPr>
          <w:sz w:val="24"/>
          <w:szCs w:val="24"/>
          <w:vertAlign w:val="subscript"/>
        </w:rPr>
        <w:t>eqg</w:t>
      </w:r>
      <w:r>
        <w:rPr>
          <w:sz w:val="24"/>
          <w:szCs w:val="24"/>
        </w:rPr>
        <w:t>=10lg[1/T（∑t</w:t>
      </w:r>
      <w:r>
        <w:rPr>
          <w:sz w:val="24"/>
          <w:szCs w:val="24"/>
          <w:vertAlign w:val="subscript"/>
        </w:rPr>
        <w:t>i</w:t>
      </w:r>
      <w:r>
        <w:rPr>
          <w:sz w:val="24"/>
          <w:szCs w:val="24"/>
        </w:rPr>
        <w:t>10</w:t>
      </w:r>
      <w:r>
        <w:rPr>
          <w:sz w:val="24"/>
          <w:szCs w:val="24"/>
          <w:vertAlign w:val="superscript"/>
        </w:rPr>
        <w:t>0.1LAi</w:t>
      </w:r>
      <w:r>
        <w:rPr>
          <w:sz w:val="24"/>
          <w:szCs w:val="24"/>
        </w:rPr>
        <w:t>+∑t</w:t>
      </w:r>
      <w:r>
        <w:rPr>
          <w:sz w:val="24"/>
          <w:szCs w:val="24"/>
          <w:vertAlign w:val="subscript"/>
        </w:rPr>
        <w:t>j</w:t>
      </w:r>
      <w:r>
        <w:rPr>
          <w:sz w:val="24"/>
          <w:szCs w:val="24"/>
        </w:rPr>
        <w:t>10</w:t>
      </w:r>
      <w:r>
        <w:rPr>
          <w:sz w:val="24"/>
          <w:szCs w:val="24"/>
          <w:vertAlign w:val="superscript"/>
        </w:rPr>
        <w:t>0.1LAj</w:t>
      </w:r>
      <w:r>
        <w:rPr>
          <w:sz w:val="24"/>
          <w:szCs w:val="24"/>
        </w:rPr>
        <w:t>）]</w:t>
      </w:r>
    </w:p>
    <w:p>
      <w:pPr>
        <w:spacing w:line="480" w:lineRule="exact"/>
        <w:ind w:firstLine="480" w:firstLineChars="200"/>
        <w:rPr>
          <w:sz w:val="24"/>
          <w:szCs w:val="24"/>
        </w:rPr>
      </w:pPr>
      <w:r>
        <w:rPr>
          <w:sz w:val="24"/>
          <w:szCs w:val="24"/>
        </w:rPr>
        <w:t>式中：t</w:t>
      </w:r>
      <w:r>
        <w:rPr>
          <w:sz w:val="24"/>
          <w:szCs w:val="24"/>
          <w:vertAlign w:val="subscript"/>
        </w:rPr>
        <w:t>j</w:t>
      </w:r>
      <w:r>
        <w:rPr>
          <w:sz w:val="24"/>
          <w:szCs w:val="24"/>
        </w:rPr>
        <w:t>——在T时间内j声源工作时间，s；</w:t>
      </w:r>
    </w:p>
    <w:p>
      <w:pPr>
        <w:spacing w:line="480" w:lineRule="exact"/>
        <w:ind w:firstLine="480" w:firstLineChars="200"/>
        <w:rPr>
          <w:sz w:val="24"/>
          <w:szCs w:val="24"/>
        </w:rPr>
      </w:pPr>
      <w:r>
        <w:rPr>
          <w:sz w:val="24"/>
          <w:szCs w:val="24"/>
        </w:rPr>
        <w:t xml:space="preserve">      t</w:t>
      </w:r>
      <w:r>
        <w:rPr>
          <w:sz w:val="24"/>
          <w:szCs w:val="24"/>
          <w:vertAlign w:val="subscript"/>
        </w:rPr>
        <w:t>i</w:t>
      </w:r>
      <w:r>
        <w:rPr>
          <w:sz w:val="24"/>
          <w:szCs w:val="24"/>
        </w:rPr>
        <w:t>——在T时间内i声源工作时间，s；</w:t>
      </w:r>
    </w:p>
    <w:p>
      <w:pPr>
        <w:spacing w:line="480" w:lineRule="exact"/>
        <w:ind w:firstLine="480" w:firstLineChars="200"/>
        <w:rPr>
          <w:sz w:val="24"/>
          <w:szCs w:val="24"/>
        </w:rPr>
      </w:pPr>
      <w:r>
        <w:rPr>
          <w:sz w:val="24"/>
          <w:szCs w:val="24"/>
        </w:rPr>
        <w:t xml:space="preserve">      T——用于计算等效声级的时间，s；</w:t>
      </w:r>
    </w:p>
    <w:p>
      <w:pPr>
        <w:spacing w:line="480" w:lineRule="exact"/>
        <w:ind w:firstLine="480" w:firstLineChars="200"/>
        <w:rPr>
          <w:sz w:val="24"/>
          <w:szCs w:val="24"/>
        </w:rPr>
      </w:pPr>
      <w:r>
        <w:rPr>
          <w:sz w:val="24"/>
          <w:szCs w:val="24"/>
        </w:rPr>
        <w:t xml:space="preserve">      N——室外声源个数；</w:t>
      </w:r>
    </w:p>
    <w:p>
      <w:pPr>
        <w:spacing w:line="480" w:lineRule="exact"/>
        <w:ind w:firstLine="480" w:firstLineChars="200"/>
        <w:rPr>
          <w:sz w:val="24"/>
          <w:szCs w:val="24"/>
        </w:rPr>
      </w:pPr>
      <w:r>
        <w:rPr>
          <w:sz w:val="24"/>
          <w:szCs w:val="24"/>
        </w:rPr>
        <w:t xml:space="preserve">      M——等效室外声源个数。</w:t>
      </w:r>
    </w:p>
    <w:p>
      <w:pPr>
        <w:spacing w:line="480" w:lineRule="exact"/>
        <w:ind w:firstLine="480" w:firstLineChars="200"/>
        <w:rPr>
          <w:sz w:val="24"/>
          <w:szCs w:val="24"/>
        </w:rPr>
      </w:pPr>
      <w:r>
        <w:rPr>
          <w:rFonts w:hint="eastAsia"/>
          <w:sz w:val="24"/>
          <w:szCs w:val="24"/>
        </w:rPr>
        <w:t>根据本项目工程噪声源的分布，对厂区四周边界噪声排放量进行了预测计算，预测结果见下表：</w:t>
      </w:r>
    </w:p>
    <w:p>
      <w:pPr>
        <w:spacing w:line="480" w:lineRule="exact"/>
        <w:ind w:firstLine="480" w:firstLineChars="200"/>
        <w:rPr>
          <w:sz w:val="24"/>
          <w:szCs w:val="24"/>
        </w:rPr>
      </w:pPr>
      <w:r>
        <w:rPr>
          <w:rFonts w:hint="eastAsia"/>
          <w:sz w:val="24"/>
          <w:szCs w:val="24"/>
        </w:rPr>
        <w:t>④</w:t>
      </w:r>
      <w:r>
        <w:rPr>
          <w:sz w:val="24"/>
          <w:szCs w:val="24"/>
        </w:rPr>
        <w:t>预测点的预测等效声级计算公式</w:t>
      </w:r>
    </w:p>
    <w:p>
      <w:pPr>
        <w:jc w:val="center"/>
        <w:rPr>
          <w:sz w:val="24"/>
          <w:szCs w:val="24"/>
        </w:rPr>
      </w:pPr>
      <w:r>
        <w:rPr>
          <w:sz w:val="24"/>
          <w:szCs w:val="24"/>
        </w:rPr>
        <w:object>
          <v:shape id="_x0000_i1029" o:spt="75" type="#_x0000_t75" style="height:21.75pt;width:158.25pt;" o:ole="t" filled="f" coordsize="21600,21600">
            <v:path/>
            <v:fill on="f" focussize="0,0"/>
            <v:stroke/>
            <v:imagedata r:id="rId41" o:title=""/>
            <o:lock v:ext="edit" aspectratio="t"/>
            <w10:wrap type="none"/>
            <w10:anchorlock/>
          </v:shape>
          <o:OLEObject Type="Embed" ProgID="Equation.DSMT4" ShapeID="_x0000_i1029" DrawAspect="Content" ObjectID="_1468075729" r:id="rId40">
            <o:LockedField>false</o:LockedField>
          </o:OLEObject>
        </w:object>
      </w:r>
    </w:p>
    <w:p>
      <w:pPr>
        <w:spacing w:line="480" w:lineRule="exact"/>
        <w:ind w:firstLine="480" w:firstLineChars="200"/>
        <w:rPr>
          <w:sz w:val="24"/>
          <w:szCs w:val="24"/>
        </w:rPr>
      </w:pPr>
      <w:r>
        <w:rPr>
          <w:sz w:val="24"/>
          <w:szCs w:val="24"/>
        </w:rPr>
        <w:t>式中：L</w:t>
      </w:r>
      <w:r>
        <w:rPr>
          <w:sz w:val="24"/>
          <w:szCs w:val="24"/>
          <w:vertAlign w:val="subscript"/>
        </w:rPr>
        <w:t>eqg</w:t>
      </w:r>
      <w:r>
        <w:rPr>
          <w:sz w:val="24"/>
          <w:szCs w:val="24"/>
        </w:rPr>
        <w:t>——建设项目声源在预测点的等效声级贡献值，dB（A）；</w:t>
      </w:r>
    </w:p>
    <w:p>
      <w:pPr>
        <w:spacing w:line="480" w:lineRule="exact"/>
        <w:ind w:firstLine="480" w:firstLineChars="200"/>
        <w:rPr>
          <w:sz w:val="24"/>
          <w:szCs w:val="24"/>
        </w:rPr>
      </w:pPr>
      <w:r>
        <w:rPr>
          <w:sz w:val="24"/>
          <w:szCs w:val="24"/>
        </w:rPr>
        <w:t xml:space="preserve"> </w:t>
      </w:r>
      <w:r>
        <w:rPr>
          <w:rFonts w:hint="eastAsia"/>
          <w:sz w:val="24"/>
          <w:szCs w:val="24"/>
        </w:rPr>
        <w:t xml:space="preserve">     </w:t>
      </w:r>
      <w:r>
        <w:rPr>
          <w:sz w:val="24"/>
          <w:szCs w:val="24"/>
        </w:rPr>
        <w:t>L</w:t>
      </w:r>
      <w:r>
        <w:rPr>
          <w:sz w:val="24"/>
          <w:szCs w:val="24"/>
          <w:vertAlign w:val="subscript"/>
        </w:rPr>
        <w:t>eq</w:t>
      </w:r>
      <w:r>
        <w:rPr>
          <w:rFonts w:hint="eastAsia"/>
          <w:sz w:val="24"/>
          <w:szCs w:val="24"/>
          <w:vertAlign w:val="subscript"/>
        </w:rPr>
        <w:t>b</w:t>
      </w:r>
      <w:r>
        <w:rPr>
          <w:sz w:val="24"/>
          <w:szCs w:val="24"/>
        </w:rPr>
        <w:t>——预测点的背景值，dB（A）</w:t>
      </w:r>
    </w:p>
    <w:p>
      <w:pPr>
        <w:spacing w:line="480" w:lineRule="exact"/>
        <w:ind w:firstLine="480" w:firstLineChars="200"/>
        <w:rPr>
          <w:sz w:val="24"/>
          <w:szCs w:val="24"/>
        </w:rPr>
      </w:pPr>
      <w:r>
        <w:rPr>
          <w:rFonts w:hint="eastAsia"/>
          <w:sz w:val="24"/>
          <w:szCs w:val="24"/>
        </w:rPr>
        <w:t>⑤</w:t>
      </w:r>
      <w:r>
        <w:rPr>
          <w:sz w:val="24"/>
          <w:szCs w:val="24"/>
        </w:rPr>
        <w:t>预测</w:t>
      </w:r>
      <w:r>
        <w:rPr>
          <w:rFonts w:hint="eastAsia"/>
          <w:sz w:val="24"/>
          <w:szCs w:val="24"/>
        </w:rPr>
        <w:t>结果</w:t>
      </w:r>
    </w:p>
    <w:p>
      <w:pPr>
        <w:spacing w:line="480" w:lineRule="exact"/>
        <w:ind w:firstLine="480" w:firstLineChars="200"/>
        <w:rPr>
          <w:sz w:val="24"/>
          <w:szCs w:val="24"/>
        </w:rPr>
      </w:pPr>
      <w:r>
        <w:rPr>
          <w:rFonts w:hint="eastAsia"/>
          <w:sz w:val="24"/>
          <w:szCs w:val="24"/>
        </w:rPr>
        <w:t>根据本工程投产后厂内主要噪声源的位置、声功率级值以及所采取的噪声防治措施，结合噪声现状情况，按上述噪声衰减模式对评价区域内噪声源对厂界及噪声影响关心点的影响进行预测。各预测受声点的噪声预测值为该预测受声点的新增噪声值的声能量。</w:t>
      </w:r>
    </w:p>
    <w:p>
      <w:pPr>
        <w:spacing w:line="480" w:lineRule="exact"/>
        <w:ind w:firstLine="480" w:firstLineChars="200"/>
        <w:rPr>
          <w:sz w:val="24"/>
          <w:szCs w:val="24"/>
        </w:rPr>
      </w:pPr>
      <w:r>
        <w:rPr>
          <w:rFonts w:hint="eastAsia"/>
          <w:sz w:val="24"/>
          <w:szCs w:val="24"/>
        </w:rPr>
        <w:t>由此计算出工程实施后各噪声预测点的噪声预测值见表5.2-19，噪声贡献等值线图见图5.2-</w:t>
      </w:r>
      <w:r>
        <w:rPr>
          <w:sz w:val="24"/>
          <w:szCs w:val="24"/>
        </w:rPr>
        <w:t>4</w:t>
      </w:r>
      <w:r>
        <w:rPr>
          <w:rFonts w:hint="eastAsia"/>
          <w:sz w:val="24"/>
          <w:szCs w:val="24"/>
        </w:rPr>
        <w:t>。</w:t>
      </w:r>
    </w:p>
    <w:p>
      <w:pPr>
        <w:jc w:val="center"/>
        <w:rPr>
          <w:sz w:val="24"/>
          <w:szCs w:val="24"/>
        </w:rPr>
      </w:pPr>
      <w:r>
        <w:rPr>
          <w:sz w:val="24"/>
          <w:szCs w:val="24"/>
        </w:rPr>
        <w:drawing>
          <wp:inline distT="0" distB="0" distL="0" distR="0">
            <wp:extent cx="5372100" cy="5448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extLst>
                        <a:ext uri="{28A0092B-C50C-407E-A947-70E740481C1C}">
                          <a14:useLocalDpi xmlns:a14="http://schemas.microsoft.com/office/drawing/2010/main" val="0"/>
                        </a:ext>
                      </a:extLst>
                    </a:blip>
                    <a:srcRect t="4016" r="3093" b="7621"/>
                    <a:stretch>
                      <a:fillRect/>
                    </a:stretch>
                  </pic:blipFill>
                  <pic:spPr>
                    <a:xfrm>
                      <a:off x="0" y="0"/>
                      <a:ext cx="5372100" cy="5448300"/>
                    </a:xfrm>
                    <a:prstGeom prst="rect">
                      <a:avLst/>
                    </a:prstGeom>
                    <a:ln>
                      <a:noFill/>
                    </a:ln>
                  </pic:spPr>
                </pic:pic>
              </a:graphicData>
            </a:graphic>
          </wp:inline>
        </w:drawing>
      </w:r>
    </w:p>
    <w:p>
      <w:pPr>
        <w:spacing w:line="480" w:lineRule="exact"/>
        <w:jc w:val="center"/>
        <w:rPr>
          <w:rFonts w:ascii="黑体" w:hAnsi="黑体" w:eastAsia="黑体"/>
          <w:sz w:val="24"/>
          <w:szCs w:val="24"/>
        </w:rPr>
      </w:pPr>
      <w:r>
        <w:rPr>
          <w:rFonts w:hint="eastAsia" w:ascii="黑体" w:hAnsi="黑体" w:eastAsia="黑体"/>
          <w:sz w:val="24"/>
          <w:szCs w:val="24"/>
        </w:rPr>
        <w:t>图5.2-</w:t>
      </w:r>
      <w:r>
        <w:rPr>
          <w:rFonts w:ascii="黑体" w:hAnsi="黑体" w:eastAsia="黑体"/>
          <w:sz w:val="24"/>
          <w:szCs w:val="24"/>
        </w:rPr>
        <w:t>4</w:t>
      </w:r>
      <w:r>
        <w:rPr>
          <w:rFonts w:hint="eastAsia" w:ascii="黑体" w:hAnsi="黑体" w:eastAsia="黑体"/>
          <w:sz w:val="24"/>
          <w:szCs w:val="24"/>
        </w:rPr>
        <w:t xml:space="preserve">  噪声贡献等值线图</w:t>
      </w:r>
    </w:p>
    <w:p>
      <w:pPr>
        <w:spacing w:line="440" w:lineRule="exact"/>
        <w:jc w:val="center"/>
        <w:rPr>
          <w:rFonts w:ascii="黑体" w:hAnsi="黑体" w:eastAsia="黑体"/>
          <w:sz w:val="24"/>
          <w:szCs w:val="21"/>
        </w:rPr>
      </w:pPr>
      <w:r>
        <w:rPr>
          <w:rFonts w:ascii="黑体" w:hAnsi="黑体" w:eastAsia="黑体"/>
          <w:sz w:val="24"/>
          <w:szCs w:val="21"/>
        </w:rPr>
        <w:t>表</w:t>
      </w:r>
      <w:r>
        <w:rPr>
          <w:rFonts w:hint="eastAsia" w:ascii="黑体" w:hAnsi="黑体" w:eastAsia="黑体"/>
          <w:sz w:val="24"/>
          <w:szCs w:val="21"/>
        </w:rPr>
        <w:t xml:space="preserve">5.2-19 </w:t>
      </w:r>
      <w:r>
        <w:rPr>
          <w:rFonts w:ascii="黑体" w:hAnsi="黑体" w:eastAsia="黑体"/>
          <w:sz w:val="24"/>
          <w:szCs w:val="21"/>
        </w:rPr>
        <w:t xml:space="preserve"> 项目运营期噪声预测  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12"/>
        <w:gridCol w:w="1812"/>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jc w:val="center"/>
              <w:rPr>
                <w:szCs w:val="21"/>
              </w:rPr>
            </w:pPr>
            <w:bookmarkStart w:id="104" w:name="OLE_LINK34"/>
            <w:r>
              <w:rPr>
                <w:szCs w:val="21"/>
              </w:rPr>
              <w:t>时间</w:t>
            </w:r>
          </w:p>
        </w:tc>
        <w:tc>
          <w:tcPr>
            <w:tcW w:w="1000" w:type="pct"/>
            <w:vAlign w:val="center"/>
          </w:tcPr>
          <w:p>
            <w:pPr>
              <w:jc w:val="center"/>
              <w:rPr>
                <w:szCs w:val="21"/>
              </w:rPr>
            </w:pPr>
            <w:r>
              <w:rPr>
                <w:szCs w:val="21"/>
              </w:rPr>
              <w:t>位置</w:t>
            </w:r>
          </w:p>
        </w:tc>
        <w:tc>
          <w:tcPr>
            <w:tcW w:w="1000" w:type="pct"/>
            <w:vAlign w:val="center"/>
          </w:tcPr>
          <w:p>
            <w:pPr>
              <w:jc w:val="center"/>
              <w:rPr>
                <w:szCs w:val="21"/>
              </w:rPr>
            </w:pPr>
            <w:r>
              <w:rPr>
                <w:szCs w:val="21"/>
              </w:rPr>
              <w:t>贡献值</w:t>
            </w:r>
          </w:p>
        </w:tc>
        <w:tc>
          <w:tcPr>
            <w:tcW w:w="1000" w:type="pct"/>
            <w:vAlign w:val="center"/>
          </w:tcPr>
          <w:p>
            <w:pPr>
              <w:jc w:val="center"/>
              <w:rPr>
                <w:szCs w:val="21"/>
              </w:rPr>
            </w:pPr>
            <w:r>
              <w:rPr>
                <w:szCs w:val="21"/>
              </w:rPr>
              <w:t>标准值</w:t>
            </w:r>
          </w:p>
        </w:tc>
        <w:tc>
          <w:tcPr>
            <w:tcW w:w="1000" w:type="pct"/>
            <w:vAlign w:val="center"/>
          </w:tcPr>
          <w:p>
            <w:pPr>
              <w:jc w:val="center"/>
              <w:rPr>
                <w:szCs w:val="21"/>
              </w:rPr>
            </w:pPr>
            <w:r>
              <w:rPr>
                <w:szCs w:val="21"/>
              </w:rPr>
              <w:t>超标情况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restart"/>
            <w:vAlign w:val="center"/>
          </w:tcPr>
          <w:p>
            <w:pPr>
              <w:jc w:val="center"/>
              <w:rPr>
                <w:szCs w:val="21"/>
              </w:rPr>
            </w:pPr>
            <w:bookmarkStart w:id="105" w:name="_Hlk295928331"/>
            <w:r>
              <w:rPr>
                <w:szCs w:val="21"/>
              </w:rPr>
              <w:t>昼间</w:t>
            </w:r>
          </w:p>
        </w:tc>
        <w:tc>
          <w:tcPr>
            <w:tcW w:w="1000" w:type="pct"/>
            <w:vAlign w:val="center"/>
          </w:tcPr>
          <w:p>
            <w:pPr>
              <w:jc w:val="center"/>
              <w:rPr>
                <w:szCs w:val="21"/>
              </w:rPr>
            </w:pPr>
            <w:r>
              <w:rPr>
                <w:szCs w:val="21"/>
              </w:rPr>
              <w:t>1</w:t>
            </w:r>
            <w:r>
              <w:rPr>
                <w:szCs w:val="21"/>
                <w:vertAlign w:val="superscript"/>
              </w:rPr>
              <w:t>#</w:t>
            </w:r>
          </w:p>
        </w:tc>
        <w:tc>
          <w:tcPr>
            <w:tcW w:w="1000" w:type="pct"/>
            <w:vAlign w:val="center"/>
          </w:tcPr>
          <w:p>
            <w:pPr>
              <w:jc w:val="center"/>
              <w:rPr>
                <w:szCs w:val="21"/>
              </w:rPr>
            </w:pPr>
            <w:r>
              <w:rPr>
                <w:szCs w:val="21"/>
              </w:rPr>
              <w:t>33.5</w:t>
            </w:r>
          </w:p>
        </w:tc>
        <w:tc>
          <w:tcPr>
            <w:tcW w:w="1000" w:type="pct"/>
            <w:vMerge w:val="restart"/>
            <w:vAlign w:val="center"/>
          </w:tcPr>
          <w:p>
            <w:pPr>
              <w:jc w:val="center"/>
              <w:rPr>
                <w:szCs w:val="21"/>
              </w:rPr>
            </w:pPr>
            <w:r>
              <w:rPr>
                <w:rFonts w:hint="eastAsia"/>
                <w:szCs w:val="21"/>
              </w:rPr>
              <w:t>60</w:t>
            </w:r>
          </w:p>
        </w:tc>
        <w:tc>
          <w:tcPr>
            <w:tcW w:w="1000" w:type="pct"/>
            <w:vAlign w:val="center"/>
          </w:tcPr>
          <w:p>
            <w:pPr>
              <w:jc w:val="center"/>
              <w:rPr>
                <w:szCs w:val="21"/>
              </w:rPr>
            </w:pPr>
            <w:r>
              <w:rPr>
                <w:szCs w:val="21"/>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vAlign w:val="center"/>
          </w:tcPr>
          <w:p>
            <w:pPr>
              <w:jc w:val="center"/>
              <w:rPr>
                <w:szCs w:val="21"/>
              </w:rPr>
            </w:pPr>
          </w:p>
        </w:tc>
        <w:tc>
          <w:tcPr>
            <w:tcW w:w="1000" w:type="pct"/>
            <w:vAlign w:val="center"/>
          </w:tcPr>
          <w:p>
            <w:pPr>
              <w:jc w:val="center"/>
              <w:rPr>
                <w:szCs w:val="21"/>
              </w:rPr>
            </w:pPr>
            <w:r>
              <w:rPr>
                <w:szCs w:val="21"/>
              </w:rPr>
              <w:t>2</w:t>
            </w:r>
            <w:r>
              <w:rPr>
                <w:szCs w:val="21"/>
                <w:vertAlign w:val="superscript"/>
              </w:rPr>
              <w:t>#</w:t>
            </w:r>
          </w:p>
        </w:tc>
        <w:tc>
          <w:tcPr>
            <w:tcW w:w="1000" w:type="pct"/>
            <w:vAlign w:val="center"/>
          </w:tcPr>
          <w:p>
            <w:pPr>
              <w:jc w:val="center"/>
              <w:rPr>
                <w:szCs w:val="21"/>
              </w:rPr>
            </w:pPr>
            <w:r>
              <w:rPr>
                <w:szCs w:val="21"/>
              </w:rPr>
              <w:t>26.3</w:t>
            </w:r>
          </w:p>
        </w:tc>
        <w:tc>
          <w:tcPr>
            <w:tcW w:w="1000" w:type="pct"/>
            <w:vMerge w:val="continue"/>
            <w:vAlign w:val="center"/>
          </w:tcPr>
          <w:p>
            <w:pPr>
              <w:jc w:val="center"/>
              <w:rPr>
                <w:szCs w:val="21"/>
              </w:rPr>
            </w:pPr>
          </w:p>
        </w:tc>
        <w:tc>
          <w:tcPr>
            <w:tcW w:w="1000" w:type="pct"/>
            <w:vAlign w:val="center"/>
          </w:tcPr>
          <w:p>
            <w:pPr>
              <w:jc w:val="center"/>
              <w:rPr>
                <w:szCs w:val="21"/>
              </w:rPr>
            </w:pPr>
            <w:r>
              <w:rPr>
                <w:szCs w:val="21"/>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vAlign w:val="center"/>
          </w:tcPr>
          <w:p>
            <w:pPr>
              <w:jc w:val="center"/>
              <w:rPr>
                <w:szCs w:val="21"/>
              </w:rPr>
            </w:pPr>
          </w:p>
        </w:tc>
        <w:tc>
          <w:tcPr>
            <w:tcW w:w="1000" w:type="pct"/>
            <w:vAlign w:val="center"/>
          </w:tcPr>
          <w:p>
            <w:pPr>
              <w:jc w:val="center"/>
              <w:rPr>
                <w:szCs w:val="21"/>
              </w:rPr>
            </w:pPr>
            <w:r>
              <w:rPr>
                <w:szCs w:val="21"/>
              </w:rPr>
              <w:t>3</w:t>
            </w:r>
            <w:r>
              <w:rPr>
                <w:szCs w:val="21"/>
                <w:vertAlign w:val="superscript"/>
              </w:rPr>
              <w:t>#</w:t>
            </w:r>
          </w:p>
        </w:tc>
        <w:tc>
          <w:tcPr>
            <w:tcW w:w="1000" w:type="pct"/>
            <w:vAlign w:val="center"/>
          </w:tcPr>
          <w:p>
            <w:pPr>
              <w:jc w:val="center"/>
              <w:rPr>
                <w:szCs w:val="21"/>
              </w:rPr>
            </w:pPr>
            <w:r>
              <w:rPr>
                <w:szCs w:val="21"/>
              </w:rPr>
              <w:t>29.5</w:t>
            </w:r>
          </w:p>
        </w:tc>
        <w:tc>
          <w:tcPr>
            <w:tcW w:w="1000" w:type="pct"/>
            <w:vMerge w:val="continue"/>
            <w:vAlign w:val="center"/>
          </w:tcPr>
          <w:p>
            <w:pPr>
              <w:jc w:val="center"/>
              <w:rPr>
                <w:szCs w:val="21"/>
              </w:rPr>
            </w:pPr>
          </w:p>
        </w:tc>
        <w:tc>
          <w:tcPr>
            <w:tcW w:w="1000" w:type="pct"/>
            <w:vAlign w:val="center"/>
          </w:tcPr>
          <w:p>
            <w:pPr>
              <w:jc w:val="center"/>
              <w:rPr>
                <w:szCs w:val="21"/>
              </w:rPr>
            </w:pPr>
            <w:r>
              <w:rPr>
                <w:szCs w:val="21"/>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vAlign w:val="center"/>
          </w:tcPr>
          <w:p>
            <w:pPr>
              <w:jc w:val="center"/>
              <w:rPr>
                <w:szCs w:val="21"/>
              </w:rPr>
            </w:pPr>
          </w:p>
        </w:tc>
        <w:tc>
          <w:tcPr>
            <w:tcW w:w="1000" w:type="pct"/>
            <w:vAlign w:val="center"/>
          </w:tcPr>
          <w:p>
            <w:pPr>
              <w:jc w:val="center"/>
              <w:rPr>
                <w:szCs w:val="21"/>
              </w:rPr>
            </w:pPr>
            <w:r>
              <w:rPr>
                <w:szCs w:val="21"/>
              </w:rPr>
              <w:t>4</w:t>
            </w:r>
            <w:r>
              <w:rPr>
                <w:szCs w:val="21"/>
                <w:vertAlign w:val="superscript"/>
              </w:rPr>
              <w:t>#</w:t>
            </w:r>
          </w:p>
        </w:tc>
        <w:tc>
          <w:tcPr>
            <w:tcW w:w="1000" w:type="pct"/>
            <w:vAlign w:val="center"/>
          </w:tcPr>
          <w:p>
            <w:pPr>
              <w:jc w:val="center"/>
              <w:rPr>
                <w:szCs w:val="21"/>
              </w:rPr>
            </w:pPr>
            <w:r>
              <w:rPr>
                <w:szCs w:val="21"/>
              </w:rPr>
              <w:t>43.2</w:t>
            </w:r>
          </w:p>
        </w:tc>
        <w:tc>
          <w:tcPr>
            <w:tcW w:w="1000" w:type="pct"/>
            <w:vMerge w:val="continue"/>
            <w:vAlign w:val="center"/>
          </w:tcPr>
          <w:p>
            <w:pPr>
              <w:jc w:val="center"/>
              <w:rPr>
                <w:szCs w:val="21"/>
              </w:rPr>
            </w:pPr>
          </w:p>
        </w:tc>
        <w:tc>
          <w:tcPr>
            <w:tcW w:w="1000" w:type="pct"/>
            <w:vAlign w:val="center"/>
          </w:tcPr>
          <w:p>
            <w:pPr>
              <w:jc w:val="center"/>
              <w:rPr>
                <w:szCs w:val="21"/>
              </w:rPr>
            </w:pPr>
            <w:r>
              <w:rPr>
                <w:szCs w:val="21"/>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vAlign w:val="center"/>
          </w:tcPr>
          <w:p>
            <w:pPr>
              <w:jc w:val="center"/>
              <w:rPr>
                <w:szCs w:val="21"/>
              </w:rPr>
            </w:pPr>
          </w:p>
        </w:tc>
        <w:tc>
          <w:tcPr>
            <w:tcW w:w="1000" w:type="pct"/>
            <w:vAlign w:val="center"/>
          </w:tcPr>
          <w:p>
            <w:pPr>
              <w:jc w:val="center"/>
              <w:rPr>
                <w:szCs w:val="21"/>
              </w:rPr>
            </w:pPr>
            <w:r>
              <w:rPr>
                <w:rFonts w:hint="eastAsia"/>
                <w:szCs w:val="21"/>
              </w:rPr>
              <w:t>5</w:t>
            </w:r>
            <w:r>
              <w:rPr>
                <w:szCs w:val="21"/>
                <w:vertAlign w:val="superscript"/>
              </w:rPr>
              <w:t>#</w:t>
            </w:r>
          </w:p>
        </w:tc>
        <w:tc>
          <w:tcPr>
            <w:tcW w:w="1000" w:type="pct"/>
            <w:vAlign w:val="center"/>
          </w:tcPr>
          <w:p>
            <w:pPr>
              <w:jc w:val="center"/>
              <w:rPr>
                <w:szCs w:val="21"/>
              </w:rPr>
            </w:pPr>
            <w:r>
              <w:rPr>
                <w:szCs w:val="21"/>
              </w:rPr>
              <w:t>34.2</w:t>
            </w:r>
          </w:p>
        </w:tc>
        <w:tc>
          <w:tcPr>
            <w:tcW w:w="1000" w:type="pct"/>
            <w:vMerge w:val="continue"/>
            <w:vAlign w:val="center"/>
          </w:tcPr>
          <w:p>
            <w:pPr>
              <w:jc w:val="center"/>
              <w:rPr>
                <w:szCs w:val="21"/>
              </w:rPr>
            </w:pPr>
          </w:p>
        </w:tc>
        <w:tc>
          <w:tcPr>
            <w:tcW w:w="1000" w:type="pct"/>
            <w:vAlign w:val="center"/>
          </w:tcPr>
          <w:p>
            <w:pPr>
              <w:jc w:val="center"/>
              <w:rPr>
                <w:szCs w:val="21"/>
              </w:rPr>
            </w:pPr>
            <w:r>
              <w:rPr>
                <w:szCs w:val="21"/>
              </w:rPr>
              <w:t>未超标</w:t>
            </w:r>
          </w:p>
        </w:tc>
      </w:tr>
      <w:bookmarkEnd w:id="1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restart"/>
            <w:vAlign w:val="center"/>
          </w:tcPr>
          <w:p>
            <w:pPr>
              <w:jc w:val="center"/>
              <w:rPr>
                <w:szCs w:val="21"/>
              </w:rPr>
            </w:pPr>
            <w:r>
              <w:rPr>
                <w:szCs w:val="21"/>
              </w:rPr>
              <w:t>夜间</w:t>
            </w:r>
          </w:p>
        </w:tc>
        <w:tc>
          <w:tcPr>
            <w:tcW w:w="1000" w:type="pct"/>
            <w:vAlign w:val="center"/>
          </w:tcPr>
          <w:p>
            <w:pPr>
              <w:jc w:val="center"/>
              <w:rPr>
                <w:szCs w:val="21"/>
              </w:rPr>
            </w:pPr>
            <w:r>
              <w:rPr>
                <w:szCs w:val="21"/>
              </w:rPr>
              <w:t>1</w:t>
            </w:r>
            <w:r>
              <w:rPr>
                <w:szCs w:val="21"/>
                <w:vertAlign w:val="superscript"/>
              </w:rPr>
              <w:t>#</w:t>
            </w:r>
          </w:p>
        </w:tc>
        <w:tc>
          <w:tcPr>
            <w:tcW w:w="1000" w:type="pct"/>
            <w:vAlign w:val="center"/>
          </w:tcPr>
          <w:p>
            <w:pPr>
              <w:jc w:val="center"/>
              <w:rPr>
                <w:szCs w:val="21"/>
              </w:rPr>
            </w:pPr>
            <w:r>
              <w:rPr>
                <w:szCs w:val="21"/>
              </w:rPr>
              <w:t>33.5</w:t>
            </w:r>
          </w:p>
        </w:tc>
        <w:tc>
          <w:tcPr>
            <w:tcW w:w="1000" w:type="pct"/>
            <w:vMerge w:val="restart"/>
            <w:vAlign w:val="center"/>
          </w:tcPr>
          <w:p>
            <w:pPr>
              <w:jc w:val="center"/>
              <w:rPr>
                <w:szCs w:val="21"/>
              </w:rPr>
            </w:pPr>
            <w:r>
              <w:rPr>
                <w:rFonts w:hint="eastAsia"/>
                <w:szCs w:val="21"/>
              </w:rPr>
              <w:t>50</w:t>
            </w:r>
          </w:p>
        </w:tc>
        <w:tc>
          <w:tcPr>
            <w:tcW w:w="1000" w:type="pct"/>
            <w:vAlign w:val="center"/>
          </w:tcPr>
          <w:p>
            <w:pPr>
              <w:jc w:val="center"/>
              <w:rPr>
                <w:szCs w:val="21"/>
              </w:rPr>
            </w:pPr>
            <w:r>
              <w:rPr>
                <w:szCs w:val="21"/>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vAlign w:val="center"/>
          </w:tcPr>
          <w:p>
            <w:pPr>
              <w:jc w:val="center"/>
              <w:rPr>
                <w:szCs w:val="21"/>
                <w:highlight w:val="yellow"/>
              </w:rPr>
            </w:pPr>
          </w:p>
        </w:tc>
        <w:tc>
          <w:tcPr>
            <w:tcW w:w="1000" w:type="pct"/>
            <w:vAlign w:val="center"/>
          </w:tcPr>
          <w:p>
            <w:pPr>
              <w:jc w:val="center"/>
              <w:rPr>
                <w:szCs w:val="21"/>
              </w:rPr>
            </w:pPr>
            <w:r>
              <w:rPr>
                <w:szCs w:val="21"/>
              </w:rPr>
              <w:t>2</w:t>
            </w:r>
            <w:r>
              <w:rPr>
                <w:szCs w:val="21"/>
                <w:vertAlign w:val="superscript"/>
              </w:rPr>
              <w:t>#</w:t>
            </w:r>
          </w:p>
        </w:tc>
        <w:tc>
          <w:tcPr>
            <w:tcW w:w="1000" w:type="pct"/>
            <w:vAlign w:val="center"/>
          </w:tcPr>
          <w:p>
            <w:pPr>
              <w:jc w:val="center"/>
              <w:rPr>
                <w:szCs w:val="21"/>
              </w:rPr>
            </w:pPr>
            <w:r>
              <w:rPr>
                <w:szCs w:val="21"/>
              </w:rPr>
              <w:t>26.3</w:t>
            </w:r>
          </w:p>
        </w:tc>
        <w:tc>
          <w:tcPr>
            <w:tcW w:w="1000" w:type="pct"/>
            <w:vMerge w:val="continue"/>
            <w:vAlign w:val="center"/>
          </w:tcPr>
          <w:p>
            <w:pPr>
              <w:jc w:val="center"/>
              <w:rPr>
                <w:szCs w:val="21"/>
              </w:rPr>
            </w:pPr>
          </w:p>
        </w:tc>
        <w:tc>
          <w:tcPr>
            <w:tcW w:w="1000" w:type="pct"/>
            <w:vAlign w:val="center"/>
          </w:tcPr>
          <w:p>
            <w:pPr>
              <w:jc w:val="center"/>
              <w:rPr>
                <w:szCs w:val="21"/>
              </w:rPr>
            </w:pPr>
            <w:r>
              <w:rPr>
                <w:szCs w:val="21"/>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vAlign w:val="center"/>
          </w:tcPr>
          <w:p>
            <w:pPr>
              <w:jc w:val="center"/>
              <w:rPr>
                <w:szCs w:val="21"/>
                <w:highlight w:val="yellow"/>
              </w:rPr>
            </w:pPr>
          </w:p>
        </w:tc>
        <w:tc>
          <w:tcPr>
            <w:tcW w:w="1000" w:type="pct"/>
            <w:vAlign w:val="center"/>
          </w:tcPr>
          <w:p>
            <w:pPr>
              <w:jc w:val="center"/>
              <w:rPr>
                <w:szCs w:val="21"/>
              </w:rPr>
            </w:pPr>
            <w:r>
              <w:rPr>
                <w:szCs w:val="21"/>
              </w:rPr>
              <w:t>3</w:t>
            </w:r>
            <w:r>
              <w:rPr>
                <w:szCs w:val="21"/>
                <w:vertAlign w:val="superscript"/>
              </w:rPr>
              <w:t>#</w:t>
            </w:r>
          </w:p>
        </w:tc>
        <w:tc>
          <w:tcPr>
            <w:tcW w:w="1000" w:type="pct"/>
            <w:vAlign w:val="center"/>
          </w:tcPr>
          <w:p>
            <w:pPr>
              <w:jc w:val="center"/>
              <w:rPr>
                <w:szCs w:val="21"/>
              </w:rPr>
            </w:pPr>
            <w:r>
              <w:rPr>
                <w:szCs w:val="21"/>
              </w:rPr>
              <w:t>29.5</w:t>
            </w:r>
          </w:p>
        </w:tc>
        <w:tc>
          <w:tcPr>
            <w:tcW w:w="1000" w:type="pct"/>
            <w:vMerge w:val="continue"/>
            <w:vAlign w:val="center"/>
          </w:tcPr>
          <w:p>
            <w:pPr>
              <w:jc w:val="center"/>
              <w:rPr>
                <w:szCs w:val="21"/>
              </w:rPr>
            </w:pPr>
          </w:p>
        </w:tc>
        <w:tc>
          <w:tcPr>
            <w:tcW w:w="1000" w:type="pct"/>
            <w:vAlign w:val="center"/>
          </w:tcPr>
          <w:p>
            <w:pPr>
              <w:jc w:val="center"/>
              <w:rPr>
                <w:szCs w:val="21"/>
              </w:rPr>
            </w:pPr>
            <w:r>
              <w:rPr>
                <w:szCs w:val="21"/>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vAlign w:val="center"/>
          </w:tcPr>
          <w:p>
            <w:pPr>
              <w:jc w:val="center"/>
              <w:rPr>
                <w:szCs w:val="21"/>
                <w:highlight w:val="yellow"/>
              </w:rPr>
            </w:pPr>
          </w:p>
        </w:tc>
        <w:tc>
          <w:tcPr>
            <w:tcW w:w="1000" w:type="pct"/>
            <w:vAlign w:val="center"/>
          </w:tcPr>
          <w:p>
            <w:pPr>
              <w:jc w:val="center"/>
              <w:rPr>
                <w:szCs w:val="21"/>
              </w:rPr>
            </w:pPr>
            <w:r>
              <w:rPr>
                <w:szCs w:val="21"/>
              </w:rPr>
              <w:t>4</w:t>
            </w:r>
            <w:r>
              <w:rPr>
                <w:szCs w:val="21"/>
                <w:vertAlign w:val="superscript"/>
              </w:rPr>
              <w:t>#</w:t>
            </w:r>
          </w:p>
        </w:tc>
        <w:tc>
          <w:tcPr>
            <w:tcW w:w="1000" w:type="pct"/>
            <w:vAlign w:val="center"/>
          </w:tcPr>
          <w:p>
            <w:pPr>
              <w:jc w:val="center"/>
              <w:rPr>
                <w:szCs w:val="21"/>
              </w:rPr>
            </w:pPr>
            <w:r>
              <w:rPr>
                <w:szCs w:val="21"/>
              </w:rPr>
              <w:t>43.2</w:t>
            </w:r>
          </w:p>
        </w:tc>
        <w:tc>
          <w:tcPr>
            <w:tcW w:w="1000" w:type="pct"/>
            <w:vMerge w:val="continue"/>
            <w:vAlign w:val="center"/>
          </w:tcPr>
          <w:p>
            <w:pPr>
              <w:jc w:val="center"/>
              <w:rPr>
                <w:szCs w:val="21"/>
              </w:rPr>
            </w:pPr>
          </w:p>
        </w:tc>
        <w:tc>
          <w:tcPr>
            <w:tcW w:w="1000" w:type="pct"/>
            <w:vAlign w:val="center"/>
          </w:tcPr>
          <w:p>
            <w:pPr>
              <w:jc w:val="center"/>
              <w:rPr>
                <w:szCs w:val="21"/>
              </w:rPr>
            </w:pPr>
            <w:r>
              <w:rPr>
                <w:szCs w:val="21"/>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vAlign w:val="center"/>
          </w:tcPr>
          <w:p>
            <w:pPr>
              <w:jc w:val="center"/>
              <w:rPr>
                <w:szCs w:val="21"/>
                <w:highlight w:val="yellow"/>
              </w:rPr>
            </w:pPr>
          </w:p>
        </w:tc>
        <w:tc>
          <w:tcPr>
            <w:tcW w:w="1000" w:type="pct"/>
            <w:vAlign w:val="center"/>
          </w:tcPr>
          <w:p>
            <w:pPr>
              <w:jc w:val="center"/>
              <w:rPr>
                <w:szCs w:val="21"/>
              </w:rPr>
            </w:pPr>
            <w:r>
              <w:rPr>
                <w:rFonts w:hint="eastAsia"/>
                <w:szCs w:val="21"/>
              </w:rPr>
              <w:t>5</w:t>
            </w:r>
            <w:r>
              <w:rPr>
                <w:szCs w:val="21"/>
                <w:vertAlign w:val="superscript"/>
              </w:rPr>
              <w:t>#</w:t>
            </w:r>
          </w:p>
        </w:tc>
        <w:tc>
          <w:tcPr>
            <w:tcW w:w="1000" w:type="pct"/>
            <w:vAlign w:val="center"/>
          </w:tcPr>
          <w:p>
            <w:pPr>
              <w:jc w:val="center"/>
              <w:rPr>
                <w:szCs w:val="21"/>
              </w:rPr>
            </w:pPr>
            <w:r>
              <w:rPr>
                <w:szCs w:val="21"/>
              </w:rPr>
              <w:t>34.2</w:t>
            </w:r>
          </w:p>
        </w:tc>
        <w:tc>
          <w:tcPr>
            <w:tcW w:w="1000" w:type="pct"/>
            <w:vMerge w:val="continue"/>
            <w:vAlign w:val="center"/>
          </w:tcPr>
          <w:p>
            <w:pPr>
              <w:jc w:val="center"/>
              <w:rPr>
                <w:szCs w:val="21"/>
              </w:rPr>
            </w:pPr>
          </w:p>
        </w:tc>
        <w:tc>
          <w:tcPr>
            <w:tcW w:w="1000" w:type="pct"/>
            <w:vAlign w:val="center"/>
          </w:tcPr>
          <w:p>
            <w:pPr>
              <w:jc w:val="center"/>
              <w:rPr>
                <w:szCs w:val="21"/>
              </w:rPr>
            </w:pPr>
            <w:r>
              <w:rPr>
                <w:szCs w:val="21"/>
              </w:rPr>
              <w:t>未超标</w:t>
            </w:r>
          </w:p>
        </w:tc>
      </w:tr>
      <w:bookmarkEnd w:id="104"/>
    </w:tbl>
    <w:p>
      <w:pPr>
        <w:spacing w:line="480" w:lineRule="exact"/>
        <w:ind w:firstLine="482"/>
        <w:rPr>
          <w:rFonts w:ascii="宋体" w:hAnsi="宋体"/>
          <w:bCs/>
          <w:sz w:val="24"/>
          <w:szCs w:val="24"/>
        </w:rPr>
      </w:pPr>
      <w:r>
        <w:rPr>
          <w:rFonts w:hint="eastAsia"/>
          <w:sz w:val="24"/>
          <w:szCs w:val="24"/>
        </w:rPr>
        <w:t>由</w:t>
      </w:r>
      <w:r>
        <w:rPr>
          <w:sz w:val="24"/>
          <w:szCs w:val="24"/>
        </w:rPr>
        <w:t>表</w:t>
      </w:r>
      <w:r>
        <w:rPr>
          <w:rFonts w:hint="eastAsia"/>
          <w:sz w:val="24"/>
          <w:szCs w:val="24"/>
        </w:rPr>
        <w:t>5.2-19</w:t>
      </w:r>
      <w:r>
        <w:rPr>
          <w:sz w:val="24"/>
          <w:szCs w:val="24"/>
        </w:rPr>
        <w:t>中噪声预测结果</w:t>
      </w:r>
      <w:r>
        <w:rPr>
          <w:rFonts w:hint="eastAsia"/>
          <w:sz w:val="24"/>
          <w:szCs w:val="24"/>
        </w:rPr>
        <w:t>可知</w:t>
      </w:r>
      <w:r>
        <w:rPr>
          <w:sz w:val="24"/>
          <w:szCs w:val="24"/>
        </w:rPr>
        <w:t>：</w:t>
      </w:r>
      <w:bookmarkStart w:id="106" w:name="OLE_LINK10"/>
      <w:bookmarkStart w:id="107" w:name="OLE_LINK9"/>
      <w:r>
        <w:rPr>
          <w:sz w:val="24"/>
          <w:szCs w:val="24"/>
        </w:rPr>
        <w:t>厂界贡献值范围在26.3～43.2dB(A)，</w:t>
      </w:r>
      <w:bookmarkEnd w:id="106"/>
      <w:bookmarkEnd w:id="107"/>
      <w:r>
        <w:rPr>
          <w:rFonts w:hint="eastAsia"/>
          <w:kern w:val="0"/>
          <w:sz w:val="24"/>
          <w:szCs w:val="24"/>
        </w:rPr>
        <w:t>厂界噪声贡献值均未超过《工业企业厂界环境噪声排放标准》</w:t>
      </w:r>
      <w:r>
        <w:rPr>
          <w:kern w:val="0"/>
          <w:sz w:val="24"/>
          <w:szCs w:val="24"/>
        </w:rPr>
        <w:t>(GB12348-2008)</w:t>
      </w:r>
      <w:r>
        <w:rPr>
          <w:rFonts w:hint="eastAsia"/>
          <w:kern w:val="0"/>
          <w:sz w:val="24"/>
          <w:szCs w:val="24"/>
        </w:rPr>
        <w:t>中</w:t>
      </w:r>
      <w:r>
        <w:rPr>
          <w:kern w:val="0"/>
          <w:sz w:val="24"/>
          <w:szCs w:val="24"/>
        </w:rPr>
        <w:t>2</w:t>
      </w:r>
      <w:r>
        <w:rPr>
          <w:rFonts w:hint="eastAsia"/>
          <w:kern w:val="0"/>
          <w:sz w:val="24"/>
          <w:szCs w:val="24"/>
        </w:rPr>
        <w:t>类标准值；</w:t>
      </w:r>
      <w:r>
        <w:rPr>
          <w:rFonts w:hint="eastAsia"/>
          <w:sz w:val="24"/>
          <w:szCs w:val="24"/>
        </w:rPr>
        <w:t>因此，本项目</w:t>
      </w:r>
      <w:r>
        <w:rPr>
          <w:sz w:val="24"/>
          <w:szCs w:val="24"/>
        </w:rPr>
        <w:t>在采取环评规定的噪声治理措施后，</w:t>
      </w:r>
      <w:r>
        <w:rPr>
          <w:rFonts w:hint="eastAsia"/>
          <w:sz w:val="24"/>
          <w:szCs w:val="24"/>
        </w:rPr>
        <w:t>对厂界声环境影响较小</w:t>
      </w:r>
      <w:r>
        <w:rPr>
          <w:rFonts w:hint="eastAsia" w:ascii="宋体" w:hAnsi="宋体"/>
          <w:bCs/>
          <w:sz w:val="24"/>
          <w:szCs w:val="24"/>
        </w:rPr>
        <w:t>。</w:t>
      </w:r>
    </w:p>
    <w:p>
      <w:pPr>
        <w:pStyle w:val="3"/>
        <w:spacing w:before="0" w:after="0" w:line="480" w:lineRule="exact"/>
        <w:rPr>
          <w:sz w:val="24"/>
          <w:szCs w:val="24"/>
        </w:rPr>
      </w:pPr>
      <w:r>
        <w:rPr>
          <w:rFonts w:hint="eastAsia"/>
          <w:sz w:val="24"/>
          <w:szCs w:val="24"/>
        </w:rPr>
        <w:t>5.2.6土壤环境影响预测与评价</w:t>
      </w:r>
    </w:p>
    <w:p>
      <w:pPr>
        <w:pStyle w:val="57"/>
        <w:keepNext/>
        <w:keepLines/>
        <w:spacing w:before="0" w:after="0" w:line="480" w:lineRule="exact"/>
        <w:ind w:firstLine="0" w:firstLineChars="0"/>
        <w:outlineLvl w:val="3"/>
        <w:rPr>
          <w:b/>
        </w:rPr>
      </w:pPr>
      <w:r>
        <w:rPr>
          <w:rFonts w:hint="eastAsia"/>
          <w:b/>
        </w:rPr>
        <w:t>5.2.6.1</w:t>
      </w:r>
      <w:r>
        <w:rPr>
          <w:rFonts w:hint="eastAsia" w:ascii="宋体" w:hAnsi="宋体"/>
          <w:b/>
        </w:rPr>
        <w:t>土壤环境影响识别</w:t>
      </w:r>
    </w:p>
    <w:p>
      <w:pPr>
        <w:spacing w:line="480" w:lineRule="exact"/>
        <w:rPr>
          <w:b/>
          <w:bCs/>
          <w:sz w:val="24"/>
          <w:szCs w:val="24"/>
        </w:rPr>
      </w:pPr>
      <w:r>
        <w:rPr>
          <w:rFonts w:hint="eastAsia"/>
          <w:b/>
          <w:bCs/>
          <w:sz w:val="24"/>
          <w:szCs w:val="24"/>
        </w:rPr>
        <w:t>1、土壤环境影响评价项目类别识别</w:t>
      </w:r>
    </w:p>
    <w:p>
      <w:pPr>
        <w:spacing w:line="480" w:lineRule="exact"/>
        <w:ind w:firstLine="482"/>
        <w:rPr>
          <w:bCs/>
          <w:sz w:val="24"/>
          <w:szCs w:val="24"/>
        </w:rPr>
      </w:pPr>
      <w:r>
        <w:rPr>
          <w:bCs/>
          <w:sz w:val="24"/>
          <w:szCs w:val="24"/>
        </w:rPr>
        <w:t>本项目所属的行业类别为农林牧渔业，本项目年出栏肉鸡140万只，折算猪约为23333头，属于土壤环境影响评价项目类别的Ⅲ</w:t>
      </w:r>
      <w:r>
        <w:rPr>
          <w:rFonts w:hint="eastAsia"/>
          <w:bCs/>
          <w:sz w:val="24"/>
          <w:szCs w:val="24"/>
        </w:rPr>
        <w:t>类项目。</w:t>
      </w:r>
    </w:p>
    <w:p>
      <w:pPr>
        <w:spacing w:line="480" w:lineRule="exact"/>
        <w:rPr>
          <w:b/>
          <w:bCs/>
          <w:sz w:val="24"/>
          <w:szCs w:val="24"/>
        </w:rPr>
      </w:pPr>
      <w:r>
        <w:rPr>
          <w:rFonts w:hint="eastAsia"/>
          <w:b/>
          <w:bCs/>
          <w:sz w:val="24"/>
          <w:szCs w:val="24"/>
        </w:rPr>
        <w:t>2、土壤环境影响类型与影响途经识别</w:t>
      </w:r>
    </w:p>
    <w:p>
      <w:pPr>
        <w:spacing w:line="480" w:lineRule="exact"/>
        <w:ind w:firstLine="482"/>
        <w:rPr>
          <w:bCs/>
          <w:sz w:val="24"/>
          <w:szCs w:val="24"/>
        </w:rPr>
      </w:pPr>
      <w:r>
        <w:rPr>
          <w:rFonts w:hint="eastAsia" w:ascii="宋体" w:hAnsi="宋体"/>
          <w:bCs/>
          <w:sz w:val="24"/>
          <w:szCs w:val="24"/>
        </w:rPr>
        <w:t>本项目</w:t>
      </w:r>
      <w:r>
        <w:rPr>
          <w:rFonts w:hint="eastAsia"/>
          <w:bCs/>
          <w:sz w:val="24"/>
          <w:szCs w:val="24"/>
        </w:rPr>
        <w:t>土壤环境影响类型与影响途经识别见下表。</w:t>
      </w:r>
    </w:p>
    <w:p>
      <w:pPr>
        <w:spacing w:line="480" w:lineRule="exact"/>
        <w:jc w:val="center"/>
        <w:rPr>
          <w:rFonts w:ascii="黑体" w:hAnsi="黑体" w:eastAsia="黑体"/>
          <w:bCs/>
          <w:sz w:val="24"/>
          <w:szCs w:val="24"/>
        </w:rPr>
      </w:pPr>
      <w:r>
        <w:rPr>
          <w:rFonts w:hint="eastAsia" w:ascii="黑体" w:hAnsi="黑体" w:eastAsia="黑体"/>
          <w:bCs/>
          <w:sz w:val="24"/>
          <w:szCs w:val="24"/>
        </w:rPr>
        <w:t>表5.2-20  本项目土壤环境影响类型与影响途经识别表</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89"/>
        <w:gridCol w:w="1789"/>
        <w:gridCol w:w="1789"/>
        <w:gridCol w:w="1789"/>
        <w:gridCol w:w="179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vMerge w:val="restart"/>
            <w:vAlign w:val="center"/>
          </w:tcPr>
          <w:p>
            <w:pPr>
              <w:jc w:val="center"/>
              <w:rPr>
                <w:rFonts w:ascii="宋体" w:hAnsi="宋体"/>
                <w:bCs/>
                <w:szCs w:val="24"/>
              </w:rPr>
            </w:pPr>
            <w:r>
              <w:rPr>
                <w:rFonts w:hint="eastAsia" w:ascii="宋体" w:hAnsi="宋体"/>
                <w:bCs/>
                <w:szCs w:val="24"/>
              </w:rPr>
              <w:t>不同时段</w:t>
            </w:r>
          </w:p>
        </w:tc>
        <w:tc>
          <w:tcPr>
            <w:tcW w:w="7157" w:type="dxa"/>
            <w:gridSpan w:val="4"/>
            <w:vAlign w:val="center"/>
          </w:tcPr>
          <w:p>
            <w:pPr>
              <w:jc w:val="center"/>
              <w:rPr>
                <w:rFonts w:ascii="宋体" w:hAnsi="宋体"/>
                <w:bCs/>
                <w:szCs w:val="24"/>
              </w:rPr>
            </w:pPr>
            <w:r>
              <w:rPr>
                <w:rFonts w:hint="eastAsia" w:ascii="宋体" w:hAnsi="宋体"/>
                <w:bCs/>
                <w:szCs w:val="24"/>
              </w:rPr>
              <w:t>污染影响型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vMerge w:val="continue"/>
            <w:vAlign w:val="center"/>
          </w:tcPr>
          <w:p>
            <w:pPr>
              <w:jc w:val="center"/>
              <w:rPr>
                <w:rFonts w:ascii="宋体" w:hAnsi="宋体"/>
                <w:bCs/>
                <w:szCs w:val="24"/>
              </w:rPr>
            </w:pPr>
          </w:p>
        </w:tc>
        <w:tc>
          <w:tcPr>
            <w:tcW w:w="1789" w:type="dxa"/>
            <w:vAlign w:val="center"/>
          </w:tcPr>
          <w:p>
            <w:pPr>
              <w:jc w:val="center"/>
              <w:rPr>
                <w:rFonts w:ascii="宋体" w:hAnsi="宋体"/>
                <w:bCs/>
                <w:szCs w:val="24"/>
              </w:rPr>
            </w:pPr>
            <w:r>
              <w:rPr>
                <w:rFonts w:hint="eastAsia" w:ascii="宋体" w:hAnsi="宋体"/>
                <w:bCs/>
                <w:szCs w:val="24"/>
              </w:rPr>
              <w:t>大气沉降</w:t>
            </w:r>
          </w:p>
        </w:tc>
        <w:tc>
          <w:tcPr>
            <w:tcW w:w="1789" w:type="dxa"/>
            <w:vAlign w:val="center"/>
          </w:tcPr>
          <w:p>
            <w:pPr>
              <w:jc w:val="center"/>
              <w:rPr>
                <w:rFonts w:ascii="宋体" w:hAnsi="宋体"/>
                <w:bCs/>
                <w:szCs w:val="24"/>
              </w:rPr>
            </w:pPr>
            <w:r>
              <w:rPr>
                <w:rFonts w:hint="eastAsia" w:ascii="宋体" w:hAnsi="宋体"/>
                <w:bCs/>
                <w:szCs w:val="24"/>
              </w:rPr>
              <w:t>地面漫流</w:t>
            </w:r>
          </w:p>
        </w:tc>
        <w:tc>
          <w:tcPr>
            <w:tcW w:w="1789" w:type="dxa"/>
            <w:vAlign w:val="center"/>
          </w:tcPr>
          <w:p>
            <w:pPr>
              <w:jc w:val="center"/>
              <w:rPr>
                <w:rFonts w:ascii="宋体" w:hAnsi="宋体"/>
                <w:bCs/>
                <w:szCs w:val="24"/>
              </w:rPr>
            </w:pPr>
            <w:r>
              <w:rPr>
                <w:rFonts w:hint="eastAsia" w:ascii="宋体" w:hAnsi="宋体"/>
                <w:bCs/>
                <w:szCs w:val="24"/>
              </w:rPr>
              <w:t>垂直入渗</w:t>
            </w:r>
          </w:p>
        </w:tc>
        <w:tc>
          <w:tcPr>
            <w:tcW w:w="1790" w:type="dxa"/>
            <w:vAlign w:val="center"/>
          </w:tcPr>
          <w:p>
            <w:pPr>
              <w:jc w:val="center"/>
              <w:rPr>
                <w:rFonts w:ascii="宋体" w:hAnsi="宋体"/>
                <w:bCs/>
                <w:szCs w:val="24"/>
              </w:rPr>
            </w:pPr>
            <w:r>
              <w:rPr>
                <w:rFonts w:hint="eastAsia" w:ascii="宋体" w:hAnsi="宋体"/>
                <w:bCs/>
                <w:szCs w:val="24"/>
              </w:rPr>
              <w:t>其他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vAlign w:val="center"/>
          </w:tcPr>
          <w:p>
            <w:pPr>
              <w:jc w:val="center"/>
              <w:rPr>
                <w:rFonts w:ascii="宋体" w:hAnsi="宋体"/>
                <w:bCs/>
                <w:szCs w:val="24"/>
              </w:rPr>
            </w:pPr>
            <w:r>
              <w:rPr>
                <w:rFonts w:hint="eastAsia" w:ascii="宋体" w:hAnsi="宋体"/>
                <w:bCs/>
                <w:szCs w:val="24"/>
              </w:rPr>
              <w:t>建设期</w:t>
            </w:r>
          </w:p>
        </w:tc>
        <w:tc>
          <w:tcPr>
            <w:tcW w:w="1789" w:type="dxa"/>
            <w:vAlign w:val="center"/>
          </w:tcPr>
          <w:p>
            <w:pPr>
              <w:jc w:val="center"/>
              <w:rPr>
                <w:rFonts w:ascii="宋体" w:hAnsi="宋体"/>
                <w:bCs/>
                <w:szCs w:val="24"/>
              </w:rPr>
            </w:pPr>
            <w:r>
              <w:rPr>
                <w:rFonts w:hint="eastAsia" w:ascii="宋体" w:hAnsi="宋体"/>
                <w:bCs/>
                <w:szCs w:val="24"/>
              </w:rPr>
              <w:t>/</w:t>
            </w:r>
          </w:p>
        </w:tc>
        <w:tc>
          <w:tcPr>
            <w:tcW w:w="1789" w:type="dxa"/>
            <w:vAlign w:val="center"/>
          </w:tcPr>
          <w:p>
            <w:pPr>
              <w:jc w:val="center"/>
              <w:rPr>
                <w:rFonts w:ascii="宋体" w:hAnsi="宋体"/>
                <w:bCs/>
                <w:szCs w:val="24"/>
              </w:rPr>
            </w:pPr>
            <w:r>
              <w:rPr>
                <w:rFonts w:hint="eastAsia" w:ascii="宋体" w:hAnsi="宋体"/>
                <w:bCs/>
                <w:szCs w:val="24"/>
              </w:rPr>
              <w:t>/</w:t>
            </w:r>
          </w:p>
        </w:tc>
        <w:tc>
          <w:tcPr>
            <w:tcW w:w="1789" w:type="dxa"/>
            <w:vAlign w:val="center"/>
          </w:tcPr>
          <w:p>
            <w:pPr>
              <w:jc w:val="center"/>
              <w:rPr>
                <w:rFonts w:ascii="宋体" w:hAnsi="宋体"/>
                <w:bCs/>
                <w:szCs w:val="24"/>
              </w:rPr>
            </w:pPr>
            <w:r>
              <w:rPr>
                <w:rFonts w:hint="eastAsia" w:ascii="宋体" w:hAnsi="宋体"/>
                <w:bCs/>
                <w:szCs w:val="24"/>
              </w:rPr>
              <w:t>/</w:t>
            </w:r>
          </w:p>
        </w:tc>
        <w:tc>
          <w:tcPr>
            <w:tcW w:w="1790" w:type="dxa"/>
            <w:vAlign w:val="center"/>
          </w:tcPr>
          <w:p>
            <w:pPr>
              <w:jc w:val="center"/>
              <w:rPr>
                <w:rFonts w:ascii="宋体" w:hAnsi="宋体"/>
                <w:bCs/>
                <w:szCs w:val="24"/>
              </w:rPr>
            </w:pPr>
            <w:r>
              <w:rPr>
                <w:rFonts w:hint="eastAsia" w:ascii="宋体" w:hAnsi="宋体"/>
                <w:bCs/>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vAlign w:val="center"/>
          </w:tcPr>
          <w:p>
            <w:pPr>
              <w:jc w:val="center"/>
              <w:rPr>
                <w:rFonts w:ascii="宋体" w:hAnsi="宋体"/>
                <w:bCs/>
                <w:szCs w:val="24"/>
              </w:rPr>
            </w:pPr>
            <w:r>
              <w:rPr>
                <w:rFonts w:hint="eastAsia" w:ascii="宋体" w:hAnsi="宋体"/>
                <w:bCs/>
                <w:szCs w:val="24"/>
              </w:rPr>
              <w:t>运营期</w:t>
            </w:r>
          </w:p>
        </w:tc>
        <w:tc>
          <w:tcPr>
            <w:tcW w:w="1789" w:type="dxa"/>
            <w:vAlign w:val="center"/>
          </w:tcPr>
          <w:p>
            <w:pPr>
              <w:jc w:val="center"/>
              <w:rPr>
                <w:rFonts w:ascii="宋体" w:hAnsi="宋体"/>
                <w:bCs/>
                <w:szCs w:val="24"/>
              </w:rPr>
            </w:pPr>
            <w:r>
              <w:rPr>
                <w:rFonts w:hint="eastAsia" w:ascii="宋体" w:hAnsi="宋体"/>
                <w:bCs/>
                <w:szCs w:val="24"/>
              </w:rPr>
              <w:t>/</w:t>
            </w:r>
          </w:p>
        </w:tc>
        <w:tc>
          <w:tcPr>
            <w:tcW w:w="1789" w:type="dxa"/>
            <w:vAlign w:val="center"/>
          </w:tcPr>
          <w:p>
            <w:pPr>
              <w:jc w:val="center"/>
              <w:rPr>
                <w:rFonts w:ascii="宋体" w:hAnsi="宋体"/>
                <w:bCs/>
                <w:szCs w:val="24"/>
              </w:rPr>
            </w:pPr>
            <w:r>
              <w:rPr>
                <w:rFonts w:hint="eastAsia" w:ascii="宋体" w:hAnsi="宋体"/>
                <w:bCs/>
                <w:szCs w:val="24"/>
              </w:rPr>
              <w:t>/</w:t>
            </w:r>
          </w:p>
        </w:tc>
        <w:tc>
          <w:tcPr>
            <w:tcW w:w="1789" w:type="dxa"/>
            <w:vAlign w:val="center"/>
          </w:tcPr>
          <w:p>
            <w:pPr>
              <w:jc w:val="center"/>
              <w:rPr>
                <w:rFonts w:ascii="宋体" w:hAnsi="宋体"/>
                <w:bCs/>
                <w:szCs w:val="24"/>
              </w:rPr>
            </w:pPr>
            <w:r>
              <w:rPr>
                <w:rFonts w:hint="eastAsia" w:ascii="MS Mincho" w:hAnsi="MS Mincho" w:eastAsia="MS Mincho" w:cs="MS Mincho"/>
                <w:bCs/>
                <w:szCs w:val="24"/>
              </w:rPr>
              <w:t>✔</w:t>
            </w:r>
          </w:p>
        </w:tc>
        <w:tc>
          <w:tcPr>
            <w:tcW w:w="1790" w:type="dxa"/>
            <w:vAlign w:val="center"/>
          </w:tcPr>
          <w:p>
            <w:pPr>
              <w:jc w:val="center"/>
              <w:rPr>
                <w:rFonts w:ascii="宋体" w:hAnsi="宋体"/>
                <w:bCs/>
                <w:szCs w:val="24"/>
              </w:rPr>
            </w:pPr>
            <w:r>
              <w:rPr>
                <w:rFonts w:hint="eastAsia" w:ascii="宋体" w:hAnsi="宋体"/>
                <w:bCs/>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789" w:type="dxa"/>
            <w:vAlign w:val="center"/>
          </w:tcPr>
          <w:p>
            <w:pPr>
              <w:jc w:val="center"/>
              <w:rPr>
                <w:rFonts w:ascii="宋体" w:hAnsi="宋体"/>
                <w:bCs/>
                <w:szCs w:val="24"/>
              </w:rPr>
            </w:pPr>
            <w:r>
              <w:rPr>
                <w:rFonts w:hint="eastAsia" w:ascii="宋体" w:hAnsi="宋体"/>
                <w:bCs/>
                <w:szCs w:val="24"/>
              </w:rPr>
              <w:t>服务期满后</w:t>
            </w:r>
          </w:p>
        </w:tc>
        <w:tc>
          <w:tcPr>
            <w:tcW w:w="1789" w:type="dxa"/>
            <w:vAlign w:val="center"/>
          </w:tcPr>
          <w:p>
            <w:pPr>
              <w:jc w:val="center"/>
              <w:rPr>
                <w:rFonts w:ascii="宋体" w:hAnsi="宋体"/>
                <w:bCs/>
                <w:szCs w:val="24"/>
              </w:rPr>
            </w:pPr>
            <w:r>
              <w:rPr>
                <w:rFonts w:hint="eastAsia" w:ascii="宋体" w:hAnsi="宋体"/>
                <w:bCs/>
                <w:szCs w:val="24"/>
              </w:rPr>
              <w:t>/</w:t>
            </w:r>
          </w:p>
        </w:tc>
        <w:tc>
          <w:tcPr>
            <w:tcW w:w="1789" w:type="dxa"/>
            <w:vAlign w:val="center"/>
          </w:tcPr>
          <w:p>
            <w:pPr>
              <w:jc w:val="center"/>
              <w:rPr>
                <w:rFonts w:ascii="宋体" w:hAnsi="宋体"/>
                <w:bCs/>
                <w:szCs w:val="24"/>
              </w:rPr>
            </w:pPr>
            <w:r>
              <w:rPr>
                <w:rFonts w:hint="eastAsia" w:ascii="宋体" w:hAnsi="宋体"/>
                <w:bCs/>
                <w:szCs w:val="24"/>
              </w:rPr>
              <w:t>/</w:t>
            </w:r>
          </w:p>
        </w:tc>
        <w:tc>
          <w:tcPr>
            <w:tcW w:w="1789" w:type="dxa"/>
            <w:vAlign w:val="center"/>
          </w:tcPr>
          <w:p>
            <w:pPr>
              <w:jc w:val="center"/>
              <w:rPr>
                <w:rFonts w:ascii="宋体" w:hAnsi="宋体"/>
                <w:bCs/>
                <w:szCs w:val="24"/>
              </w:rPr>
            </w:pPr>
            <w:r>
              <w:rPr>
                <w:rFonts w:hint="eastAsia" w:ascii="宋体" w:hAnsi="宋体"/>
                <w:bCs/>
                <w:szCs w:val="24"/>
              </w:rPr>
              <w:t>/</w:t>
            </w:r>
          </w:p>
        </w:tc>
        <w:tc>
          <w:tcPr>
            <w:tcW w:w="1790" w:type="dxa"/>
            <w:vAlign w:val="center"/>
          </w:tcPr>
          <w:p>
            <w:pPr>
              <w:jc w:val="center"/>
              <w:rPr>
                <w:rFonts w:ascii="宋体" w:hAnsi="宋体"/>
                <w:bCs/>
                <w:szCs w:val="24"/>
              </w:rPr>
            </w:pPr>
            <w:r>
              <w:rPr>
                <w:rFonts w:hint="eastAsia" w:ascii="宋体" w:hAnsi="宋体"/>
                <w:bCs/>
                <w:szCs w:val="24"/>
              </w:rPr>
              <w:t>/</w:t>
            </w:r>
          </w:p>
        </w:tc>
      </w:tr>
    </w:tbl>
    <w:p>
      <w:pPr>
        <w:spacing w:line="480" w:lineRule="exact"/>
        <w:rPr>
          <w:b/>
          <w:bCs/>
          <w:sz w:val="24"/>
          <w:szCs w:val="24"/>
        </w:rPr>
      </w:pPr>
      <w:r>
        <w:rPr>
          <w:rFonts w:hint="eastAsia"/>
          <w:b/>
          <w:bCs/>
          <w:sz w:val="24"/>
          <w:szCs w:val="24"/>
        </w:rPr>
        <w:t>2、土壤环境影响源与影响因子识别</w:t>
      </w:r>
    </w:p>
    <w:p>
      <w:pPr>
        <w:spacing w:line="480" w:lineRule="exact"/>
        <w:ind w:firstLine="482"/>
        <w:rPr>
          <w:bCs/>
          <w:sz w:val="24"/>
          <w:szCs w:val="24"/>
        </w:rPr>
      </w:pPr>
      <w:r>
        <w:rPr>
          <w:rFonts w:hint="eastAsia" w:ascii="宋体" w:hAnsi="宋体"/>
          <w:bCs/>
          <w:sz w:val="24"/>
          <w:szCs w:val="24"/>
        </w:rPr>
        <w:t>本项目</w:t>
      </w:r>
      <w:r>
        <w:rPr>
          <w:rFonts w:hint="eastAsia"/>
          <w:bCs/>
          <w:sz w:val="24"/>
          <w:szCs w:val="24"/>
        </w:rPr>
        <w:t>土壤环境影响源与影响因子识别见下表。</w:t>
      </w:r>
    </w:p>
    <w:p>
      <w:pPr>
        <w:spacing w:line="480" w:lineRule="exact"/>
        <w:jc w:val="center"/>
        <w:rPr>
          <w:rFonts w:ascii="黑体" w:hAnsi="黑体" w:eastAsia="黑体"/>
          <w:bCs/>
          <w:sz w:val="24"/>
          <w:szCs w:val="24"/>
        </w:rPr>
      </w:pPr>
      <w:r>
        <w:rPr>
          <w:rFonts w:hint="eastAsia" w:ascii="黑体" w:hAnsi="黑体" w:eastAsia="黑体"/>
          <w:bCs/>
          <w:sz w:val="24"/>
          <w:szCs w:val="24"/>
        </w:rPr>
        <w:t>表5.2-21  本项目土壤环境影响源与影响因子识别表</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1843"/>
        <w:gridCol w:w="1276"/>
        <w:gridCol w:w="1842"/>
        <w:gridCol w:w="1276"/>
        <w:gridCol w:w="13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384" w:type="dxa"/>
            <w:vAlign w:val="center"/>
          </w:tcPr>
          <w:p>
            <w:pPr>
              <w:jc w:val="center"/>
              <w:rPr>
                <w:rFonts w:ascii="宋体" w:hAnsi="宋体"/>
                <w:bCs/>
                <w:szCs w:val="24"/>
              </w:rPr>
            </w:pPr>
            <w:r>
              <w:rPr>
                <w:rFonts w:hint="eastAsia" w:ascii="宋体" w:hAnsi="宋体"/>
                <w:bCs/>
                <w:szCs w:val="24"/>
              </w:rPr>
              <w:t>污染源</w:t>
            </w:r>
          </w:p>
        </w:tc>
        <w:tc>
          <w:tcPr>
            <w:tcW w:w="1843" w:type="dxa"/>
            <w:vAlign w:val="center"/>
          </w:tcPr>
          <w:p>
            <w:pPr>
              <w:jc w:val="center"/>
              <w:rPr>
                <w:rFonts w:ascii="宋体" w:hAnsi="宋体"/>
                <w:bCs/>
                <w:szCs w:val="24"/>
              </w:rPr>
            </w:pPr>
            <w:r>
              <w:rPr>
                <w:rFonts w:hint="eastAsia" w:ascii="宋体" w:hAnsi="宋体"/>
                <w:bCs/>
                <w:szCs w:val="24"/>
              </w:rPr>
              <w:t>工艺流程/节点</w:t>
            </w:r>
          </w:p>
        </w:tc>
        <w:tc>
          <w:tcPr>
            <w:tcW w:w="1276" w:type="dxa"/>
            <w:vAlign w:val="center"/>
          </w:tcPr>
          <w:p>
            <w:pPr>
              <w:jc w:val="center"/>
              <w:rPr>
                <w:rFonts w:ascii="宋体" w:hAnsi="宋体"/>
                <w:bCs/>
                <w:szCs w:val="24"/>
              </w:rPr>
            </w:pPr>
            <w:r>
              <w:rPr>
                <w:rFonts w:hint="eastAsia" w:ascii="宋体" w:hAnsi="宋体"/>
                <w:bCs/>
                <w:szCs w:val="24"/>
              </w:rPr>
              <w:t>污染途经</w:t>
            </w:r>
          </w:p>
        </w:tc>
        <w:tc>
          <w:tcPr>
            <w:tcW w:w="1842" w:type="dxa"/>
            <w:vAlign w:val="center"/>
          </w:tcPr>
          <w:p>
            <w:pPr>
              <w:jc w:val="center"/>
              <w:rPr>
                <w:rFonts w:ascii="宋体" w:hAnsi="宋体"/>
                <w:bCs/>
                <w:szCs w:val="24"/>
              </w:rPr>
            </w:pPr>
            <w:r>
              <w:rPr>
                <w:rFonts w:hint="eastAsia" w:ascii="宋体" w:hAnsi="宋体"/>
                <w:bCs/>
                <w:szCs w:val="24"/>
              </w:rPr>
              <w:t>全部污染物指标</w:t>
            </w:r>
          </w:p>
        </w:tc>
        <w:tc>
          <w:tcPr>
            <w:tcW w:w="1276" w:type="dxa"/>
            <w:vAlign w:val="center"/>
          </w:tcPr>
          <w:p>
            <w:pPr>
              <w:jc w:val="center"/>
              <w:rPr>
                <w:rFonts w:ascii="宋体" w:hAnsi="宋体"/>
                <w:bCs/>
                <w:szCs w:val="24"/>
              </w:rPr>
            </w:pPr>
            <w:r>
              <w:rPr>
                <w:rFonts w:hint="eastAsia" w:ascii="宋体" w:hAnsi="宋体"/>
                <w:bCs/>
                <w:szCs w:val="24"/>
              </w:rPr>
              <w:t>特征因子</w:t>
            </w:r>
          </w:p>
        </w:tc>
        <w:tc>
          <w:tcPr>
            <w:tcW w:w="1325" w:type="dxa"/>
            <w:vAlign w:val="center"/>
          </w:tcPr>
          <w:p>
            <w:pPr>
              <w:jc w:val="center"/>
              <w:rPr>
                <w:rFonts w:ascii="宋体" w:hAnsi="宋体"/>
                <w:bCs/>
                <w:szCs w:val="24"/>
              </w:rPr>
            </w:pPr>
            <w:r>
              <w:rPr>
                <w:rFonts w:hint="eastAsia" w:ascii="宋体" w:hAnsi="宋体"/>
                <w:bCs/>
                <w:szCs w:val="24"/>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384" w:type="dxa"/>
            <w:vAlign w:val="center"/>
          </w:tcPr>
          <w:p>
            <w:pPr>
              <w:jc w:val="center"/>
              <w:rPr>
                <w:rFonts w:ascii="宋体" w:hAnsi="宋体"/>
                <w:bCs/>
                <w:szCs w:val="24"/>
              </w:rPr>
            </w:pPr>
            <w:r>
              <w:rPr>
                <w:rFonts w:hint="eastAsia" w:ascii="宋体" w:hAnsi="宋体"/>
                <w:bCs/>
                <w:szCs w:val="24"/>
              </w:rPr>
              <w:t>鸡舍</w:t>
            </w:r>
          </w:p>
        </w:tc>
        <w:tc>
          <w:tcPr>
            <w:tcW w:w="1843" w:type="dxa"/>
            <w:vAlign w:val="center"/>
          </w:tcPr>
          <w:p>
            <w:pPr>
              <w:jc w:val="center"/>
              <w:rPr>
                <w:rFonts w:ascii="宋体" w:hAnsi="宋体"/>
                <w:bCs/>
                <w:szCs w:val="24"/>
              </w:rPr>
            </w:pPr>
            <w:r>
              <w:rPr>
                <w:rFonts w:hint="eastAsia" w:ascii="宋体" w:hAnsi="宋体"/>
                <w:bCs/>
                <w:szCs w:val="24"/>
              </w:rPr>
              <w:t>干清粪跌落、冲洗</w:t>
            </w:r>
          </w:p>
        </w:tc>
        <w:tc>
          <w:tcPr>
            <w:tcW w:w="1276" w:type="dxa"/>
            <w:vAlign w:val="center"/>
          </w:tcPr>
          <w:p>
            <w:pPr>
              <w:jc w:val="center"/>
              <w:rPr>
                <w:rFonts w:ascii="宋体" w:hAnsi="宋体"/>
                <w:bCs/>
                <w:szCs w:val="24"/>
              </w:rPr>
            </w:pPr>
            <w:r>
              <w:rPr>
                <w:rFonts w:hint="eastAsia" w:ascii="宋体" w:hAnsi="宋体"/>
                <w:bCs/>
                <w:szCs w:val="24"/>
              </w:rPr>
              <w:t>垂直入渗</w:t>
            </w:r>
          </w:p>
        </w:tc>
        <w:tc>
          <w:tcPr>
            <w:tcW w:w="1842" w:type="dxa"/>
            <w:vAlign w:val="center"/>
          </w:tcPr>
          <w:p>
            <w:pPr>
              <w:jc w:val="center"/>
              <w:rPr>
                <w:bCs/>
                <w:szCs w:val="24"/>
              </w:rPr>
            </w:pPr>
            <w:r>
              <w:rPr>
                <w:rFonts w:hint="eastAsia"/>
                <w:bCs/>
                <w:szCs w:val="24"/>
              </w:rPr>
              <w:t>鸡粪、粪污水</w:t>
            </w:r>
          </w:p>
        </w:tc>
        <w:tc>
          <w:tcPr>
            <w:tcW w:w="1276" w:type="dxa"/>
            <w:vAlign w:val="center"/>
          </w:tcPr>
          <w:p>
            <w:pPr>
              <w:jc w:val="center"/>
              <w:rPr>
                <w:rFonts w:ascii="宋体" w:hAnsi="宋体"/>
                <w:bCs/>
                <w:szCs w:val="24"/>
              </w:rPr>
            </w:pPr>
            <w:r>
              <w:rPr>
                <w:rFonts w:hint="eastAsia" w:ascii="宋体" w:hAnsi="宋体"/>
                <w:bCs/>
                <w:szCs w:val="24"/>
              </w:rPr>
              <w:t>/</w:t>
            </w:r>
          </w:p>
        </w:tc>
        <w:tc>
          <w:tcPr>
            <w:tcW w:w="1325" w:type="dxa"/>
            <w:vAlign w:val="center"/>
          </w:tcPr>
          <w:p>
            <w:pPr>
              <w:jc w:val="center"/>
              <w:rPr>
                <w:rFonts w:ascii="宋体" w:hAnsi="宋体"/>
                <w:bCs/>
                <w:szCs w:val="24"/>
              </w:rPr>
            </w:pPr>
            <w:r>
              <w:rPr>
                <w:rFonts w:hint="eastAsia" w:ascii="宋体" w:hAnsi="宋体"/>
                <w:bCs/>
                <w:szCs w:val="24"/>
              </w:rPr>
              <w:t>间断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384" w:type="dxa"/>
            <w:vAlign w:val="center"/>
          </w:tcPr>
          <w:p>
            <w:pPr>
              <w:jc w:val="center"/>
              <w:rPr>
                <w:rFonts w:ascii="宋体" w:hAnsi="宋体"/>
                <w:bCs/>
                <w:szCs w:val="24"/>
              </w:rPr>
            </w:pPr>
            <w:r>
              <w:rPr>
                <w:rFonts w:hint="eastAsia" w:ascii="宋体" w:hAnsi="宋体"/>
                <w:bCs/>
                <w:szCs w:val="24"/>
              </w:rPr>
              <w:t>填埋井</w:t>
            </w:r>
          </w:p>
        </w:tc>
        <w:tc>
          <w:tcPr>
            <w:tcW w:w="1843" w:type="dxa"/>
            <w:vAlign w:val="center"/>
          </w:tcPr>
          <w:p>
            <w:pPr>
              <w:jc w:val="center"/>
              <w:rPr>
                <w:rFonts w:ascii="宋体" w:hAnsi="宋体"/>
                <w:bCs/>
                <w:szCs w:val="24"/>
              </w:rPr>
            </w:pPr>
            <w:r>
              <w:rPr>
                <w:rFonts w:hint="eastAsia" w:ascii="宋体" w:hAnsi="宋体"/>
                <w:bCs/>
                <w:szCs w:val="24"/>
              </w:rPr>
              <w:t>病死鸡填埋</w:t>
            </w:r>
          </w:p>
        </w:tc>
        <w:tc>
          <w:tcPr>
            <w:tcW w:w="1276" w:type="dxa"/>
            <w:vAlign w:val="center"/>
          </w:tcPr>
          <w:p>
            <w:pPr>
              <w:jc w:val="center"/>
              <w:rPr>
                <w:rFonts w:ascii="宋体" w:hAnsi="宋体"/>
                <w:bCs/>
                <w:szCs w:val="24"/>
              </w:rPr>
            </w:pPr>
            <w:r>
              <w:rPr>
                <w:rFonts w:hint="eastAsia" w:ascii="宋体" w:hAnsi="宋体"/>
                <w:bCs/>
                <w:szCs w:val="24"/>
              </w:rPr>
              <w:t>垂直入渗</w:t>
            </w:r>
          </w:p>
        </w:tc>
        <w:tc>
          <w:tcPr>
            <w:tcW w:w="1842" w:type="dxa"/>
            <w:vAlign w:val="center"/>
          </w:tcPr>
          <w:p>
            <w:pPr>
              <w:jc w:val="center"/>
              <w:rPr>
                <w:bCs/>
                <w:szCs w:val="24"/>
              </w:rPr>
            </w:pPr>
            <w:r>
              <w:rPr>
                <w:rFonts w:hint="eastAsia"/>
                <w:bCs/>
                <w:szCs w:val="24"/>
              </w:rPr>
              <w:t>病死鸡尸体</w:t>
            </w:r>
          </w:p>
        </w:tc>
        <w:tc>
          <w:tcPr>
            <w:tcW w:w="1276" w:type="dxa"/>
            <w:vAlign w:val="center"/>
          </w:tcPr>
          <w:p>
            <w:pPr>
              <w:jc w:val="center"/>
              <w:rPr>
                <w:rFonts w:ascii="宋体" w:hAnsi="宋体"/>
                <w:bCs/>
                <w:szCs w:val="24"/>
              </w:rPr>
            </w:pPr>
            <w:r>
              <w:rPr>
                <w:rFonts w:hint="eastAsia" w:ascii="宋体" w:hAnsi="宋体"/>
                <w:bCs/>
                <w:szCs w:val="24"/>
              </w:rPr>
              <w:t>/</w:t>
            </w:r>
          </w:p>
        </w:tc>
        <w:tc>
          <w:tcPr>
            <w:tcW w:w="1325" w:type="dxa"/>
            <w:vAlign w:val="center"/>
          </w:tcPr>
          <w:p>
            <w:pPr>
              <w:jc w:val="center"/>
              <w:rPr>
                <w:rFonts w:ascii="宋体" w:hAnsi="宋体"/>
                <w:bCs/>
                <w:szCs w:val="24"/>
              </w:rPr>
            </w:pPr>
            <w:r>
              <w:rPr>
                <w:rFonts w:hint="eastAsia" w:ascii="宋体" w:hAnsi="宋体"/>
                <w:bCs/>
                <w:szCs w:val="24"/>
              </w:rPr>
              <w:t>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384" w:type="dxa"/>
            <w:vAlign w:val="center"/>
          </w:tcPr>
          <w:p>
            <w:pPr>
              <w:jc w:val="center"/>
              <w:rPr>
                <w:rFonts w:ascii="宋体" w:hAnsi="宋体"/>
                <w:bCs/>
                <w:szCs w:val="24"/>
              </w:rPr>
            </w:pPr>
            <w:r>
              <w:rPr>
                <w:rFonts w:hint="eastAsia" w:ascii="宋体" w:hAnsi="宋体"/>
                <w:bCs/>
                <w:szCs w:val="24"/>
              </w:rPr>
              <w:t>污水处理站</w:t>
            </w:r>
          </w:p>
        </w:tc>
        <w:tc>
          <w:tcPr>
            <w:tcW w:w="1843" w:type="dxa"/>
            <w:vAlign w:val="center"/>
          </w:tcPr>
          <w:p>
            <w:pPr>
              <w:jc w:val="center"/>
              <w:rPr>
                <w:rFonts w:ascii="宋体" w:hAnsi="宋体"/>
                <w:bCs/>
                <w:szCs w:val="24"/>
              </w:rPr>
            </w:pPr>
            <w:r>
              <w:rPr>
                <w:rFonts w:hint="eastAsia" w:ascii="宋体" w:hAnsi="宋体"/>
                <w:bCs/>
                <w:szCs w:val="24"/>
              </w:rPr>
              <w:t>污水收集池</w:t>
            </w:r>
          </w:p>
        </w:tc>
        <w:tc>
          <w:tcPr>
            <w:tcW w:w="1276" w:type="dxa"/>
            <w:vAlign w:val="center"/>
          </w:tcPr>
          <w:p>
            <w:pPr>
              <w:jc w:val="center"/>
              <w:rPr>
                <w:rFonts w:ascii="宋体" w:hAnsi="宋体"/>
                <w:bCs/>
                <w:szCs w:val="24"/>
              </w:rPr>
            </w:pPr>
            <w:r>
              <w:rPr>
                <w:rFonts w:hint="eastAsia" w:ascii="宋体" w:hAnsi="宋体"/>
                <w:bCs/>
                <w:szCs w:val="24"/>
              </w:rPr>
              <w:t>垂直入渗</w:t>
            </w:r>
          </w:p>
        </w:tc>
        <w:tc>
          <w:tcPr>
            <w:tcW w:w="1842" w:type="dxa"/>
            <w:vAlign w:val="center"/>
          </w:tcPr>
          <w:p>
            <w:pPr>
              <w:jc w:val="center"/>
              <w:rPr>
                <w:bCs/>
                <w:szCs w:val="24"/>
              </w:rPr>
            </w:pPr>
            <w:r>
              <w:rPr>
                <w:rFonts w:hint="eastAsia"/>
                <w:bCs/>
                <w:szCs w:val="24"/>
              </w:rPr>
              <w:t>污水</w:t>
            </w:r>
          </w:p>
        </w:tc>
        <w:tc>
          <w:tcPr>
            <w:tcW w:w="1276" w:type="dxa"/>
            <w:vAlign w:val="center"/>
          </w:tcPr>
          <w:p>
            <w:pPr>
              <w:jc w:val="center"/>
              <w:rPr>
                <w:rFonts w:ascii="宋体" w:hAnsi="宋体"/>
                <w:bCs/>
                <w:szCs w:val="24"/>
              </w:rPr>
            </w:pPr>
            <w:r>
              <w:rPr>
                <w:rFonts w:hint="eastAsia" w:ascii="宋体" w:hAnsi="宋体"/>
                <w:bCs/>
                <w:szCs w:val="24"/>
              </w:rPr>
              <w:t>/</w:t>
            </w:r>
          </w:p>
        </w:tc>
        <w:tc>
          <w:tcPr>
            <w:tcW w:w="1325" w:type="dxa"/>
            <w:vAlign w:val="center"/>
          </w:tcPr>
          <w:p>
            <w:pPr>
              <w:jc w:val="center"/>
              <w:rPr>
                <w:rFonts w:ascii="宋体" w:hAnsi="宋体"/>
                <w:bCs/>
                <w:szCs w:val="24"/>
              </w:rPr>
            </w:pPr>
            <w:r>
              <w:rPr>
                <w:rFonts w:hint="eastAsia" w:ascii="宋体" w:hAnsi="宋体"/>
                <w:bCs/>
                <w:szCs w:val="24"/>
              </w:rPr>
              <w:t>事故</w:t>
            </w:r>
          </w:p>
        </w:tc>
      </w:tr>
    </w:tbl>
    <w:p>
      <w:pPr>
        <w:pStyle w:val="57"/>
        <w:keepNext/>
        <w:keepLines/>
        <w:spacing w:before="0" w:after="0" w:line="480" w:lineRule="exact"/>
        <w:ind w:firstLine="0" w:firstLineChars="0"/>
        <w:outlineLvl w:val="3"/>
        <w:rPr>
          <w:b/>
        </w:rPr>
      </w:pPr>
      <w:r>
        <w:rPr>
          <w:rFonts w:hint="eastAsia"/>
          <w:b/>
        </w:rPr>
        <w:t>5.2.6.2</w:t>
      </w:r>
      <w:r>
        <w:rPr>
          <w:rFonts w:hint="eastAsia" w:ascii="宋体" w:hAnsi="宋体"/>
          <w:b/>
        </w:rPr>
        <w:t>土壤环境影响评价等级判定</w:t>
      </w:r>
    </w:p>
    <w:p>
      <w:pPr>
        <w:pStyle w:val="6"/>
        <w:spacing w:line="480" w:lineRule="exact"/>
        <w:ind w:firstLine="480" w:firstLineChars="200"/>
        <w:jc w:val="left"/>
        <w:rPr>
          <w:sz w:val="24"/>
        </w:rPr>
      </w:pPr>
      <w:r>
        <w:rPr>
          <w:rFonts w:hint="eastAsia"/>
          <w:sz w:val="24"/>
        </w:rPr>
        <w:t>根据《环境影响评价技术导则</w:t>
      </w:r>
      <w:r>
        <w:rPr>
          <w:sz w:val="24"/>
        </w:rPr>
        <w:t>--</w:t>
      </w:r>
      <w:r>
        <w:rPr>
          <w:rFonts w:hint="eastAsia"/>
          <w:sz w:val="24"/>
        </w:rPr>
        <w:t>土壤环境（试行）》（</w:t>
      </w:r>
      <w:r>
        <w:rPr>
          <w:sz w:val="24"/>
        </w:rPr>
        <w:t>HJ964-2018</w:t>
      </w:r>
      <w:r>
        <w:rPr>
          <w:rFonts w:hint="eastAsia"/>
          <w:sz w:val="24"/>
        </w:rPr>
        <w:t>）中规定，建设项目占地规模为小型（</w:t>
      </w:r>
      <w:r>
        <w:rPr>
          <w:rFonts w:ascii="Arial" w:hAnsi="Arial" w:cs="Arial"/>
          <w:sz w:val="24"/>
        </w:rPr>
        <w:t>≤</w:t>
      </w:r>
      <w:r>
        <w:rPr>
          <w:sz w:val="24"/>
        </w:rPr>
        <w:t>5hm</w:t>
      </w:r>
      <w:r>
        <w:rPr>
          <w:sz w:val="24"/>
          <w:vertAlign w:val="superscript"/>
        </w:rPr>
        <w:t>2</w:t>
      </w:r>
      <w:r>
        <w:rPr>
          <w:rFonts w:hint="eastAsia"/>
          <w:sz w:val="24"/>
        </w:rPr>
        <w:t>）。建设项目周边存在耕地、居民区、学校等土壤环境敏感目标，因此污染影响型敏感程度分级为敏感。</w:t>
      </w:r>
    </w:p>
    <w:p>
      <w:pPr>
        <w:spacing w:line="480" w:lineRule="exact"/>
        <w:ind w:firstLine="480" w:firstLineChars="200"/>
        <w:jc w:val="left"/>
        <w:rPr>
          <w:rFonts w:ascii="宋体" w:hAnsi="宋体"/>
          <w:bCs/>
          <w:sz w:val="24"/>
          <w:szCs w:val="24"/>
        </w:rPr>
      </w:pPr>
      <w:r>
        <w:rPr>
          <w:rFonts w:hint="eastAsia"/>
          <w:sz w:val="24"/>
        </w:rPr>
        <w:t>根据土壤环境影响评价项目类别、占地规模与敏感程度划分评价工作等级，详见下表所示：</w:t>
      </w:r>
    </w:p>
    <w:p>
      <w:pPr>
        <w:spacing w:line="500" w:lineRule="exact"/>
        <w:ind w:firstLine="225" w:firstLineChars="94"/>
        <w:jc w:val="center"/>
        <w:rPr>
          <w:rFonts w:ascii="黑体" w:hAnsi="黑体" w:eastAsia="黑体"/>
          <w:sz w:val="24"/>
          <w:szCs w:val="21"/>
        </w:rPr>
      </w:pPr>
      <w:r>
        <w:rPr>
          <w:rFonts w:hint="eastAsia" w:ascii="黑体" w:hAnsi="黑体" w:eastAsia="黑体"/>
          <w:sz w:val="24"/>
          <w:szCs w:val="21"/>
        </w:rPr>
        <w:t>表5.2-22  评价工作等级判别表</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53"/>
        <w:gridCol w:w="719"/>
        <w:gridCol w:w="721"/>
        <w:gridCol w:w="701"/>
        <w:gridCol w:w="681"/>
        <w:gridCol w:w="721"/>
        <w:gridCol w:w="741"/>
        <w:gridCol w:w="681"/>
        <w:gridCol w:w="702"/>
        <w:gridCol w:w="7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464" w:type="pct"/>
            <w:vMerge w:val="restart"/>
            <w:tcBorders>
              <w:top w:val="single" w:color="auto" w:sz="4" w:space="0"/>
              <w:left w:val="single" w:color="auto" w:sz="4" w:space="0"/>
              <w:right w:val="single" w:color="auto" w:sz="4" w:space="0"/>
              <w:tl2br w:val="single" w:color="auto" w:sz="4" w:space="0"/>
            </w:tcBorders>
            <w:vAlign w:val="center"/>
          </w:tcPr>
          <w:p>
            <w:pPr>
              <w:pStyle w:val="6"/>
              <w:widowControl/>
              <w:ind w:firstLine="0"/>
              <w:jc w:val="center"/>
              <w:rPr>
                <w:sz w:val="21"/>
                <w:szCs w:val="21"/>
              </w:rPr>
            </w:pPr>
            <w:r>
              <w:rPr>
                <w:rFonts w:hint="eastAsia"/>
                <w:sz w:val="21"/>
                <w:szCs w:val="21"/>
              </w:rPr>
              <w:t>占地规模</w:t>
            </w:r>
          </w:p>
          <w:p>
            <w:pPr>
              <w:pStyle w:val="6"/>
              <w:widowControl/>
              <w:ind w:firstLine="0"/>
              <w:jc w:val="center"/>
              <w:rPr>
                <w:sz w:val="21"/>
                <w:szCs w:val="21"/>
              </w:rPr>
            </w:pPr>
            <w:r>
              <w:rPr>
                <w:rFonts w:hint="eastAsia"/>
                <w:sz w:val="21"/>
                <w:szCs w:val="21"/>
              </w:rPr>
              <w:t>评价工作等级</w:t>
            </w:r>
          </w:p>
          <w:p>
            <w:pPr>
              <w:pStyle w:val="6"/>
              <w:widowControl/>
              <w:ind w:firstLine="0"/>
              <w:jc w:val="center"/>
              <w:rPr>
                <w:sz w:val="21"/>
                <w:szCs w:val="21"/>
              </w:rPr>
            </w:pPr>
            <w:r>
              <w:rPr>
                <w:rFonts w:hint="eastAsia"/>
                <w:sz w:val="21"/>
                <w:szCs w:val="21"/>
              </w:rPr>
              <w:t>敏感程度</w:t>
            </w:r>
          </w:p>
        </w:tc>
        <w:tc>
          <w:tcPr>
            <w:tcW w:w="1182" w:type="pct"/>
            <w:gridSpan w:val="3"/>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ascii="宋体" w:hAnsi="宋体" w:cs="宋体"/>
                <w:b/>
                <w:bCs/>
                <w:sz w:val="21"/>
                <w:szCs w:val="21"/>
              </w:rPr>
              <w:t>Ⅰ类</w:t>
            </w:r>
          </w:p>
        </w:tc>
        <w:tc>
          <w:tcPr>
            <w:tcW w:w="1183" w:type="pct"/>
            <w:gridSpan w:val="3"/>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ascii="宋体" w:hAnsi="宋体" w:cs="宋体"/>
                <w:b/>
                <w:bCs/>
                <w:sz w:val="21"/>
                <w:szCs w:val="21"/>
              </w:rPr>
              <w:t>Ⅱ类</w:t>
            </w:r>
          </w:p>
        </w:tc>
        <w:tc>
          <w:tcPr>
            <w:tcW w:w="1171" w:type="pct"/>
            <w:gridSpan w:val="3"/>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ascii="宋体" w:hAnsi="宋体" w:cs="宋体"/>
                <w:b/>
                <w:bCs/>
                <w:sz w:val="21"/>
                <w:szCs w:val="21"/>
              </w:rPr>
              <w:t>Ⅲ类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464" w:type="pct"/>
            <w:vMerge w:val="continue"/>
            <w:tcBorders>
              <w:left w:val="single" w:color="auto" w:sz="4" w:space="0"/>
              <w:bottom w:val="single" w:color="auto" w:sz="4" w:space="0"/>
              <w:right w:val="single" w:color="auto" w:sz="4" w:space="0"/>
              <w:tl2br w:val="single" w:color="auto" w:sz="4" w:space="0"/>
            </w:tcBorders>
            <w:vAlign w:val="center"/>
          </w:tcPr>
          <w:p>
            <w:pPr>
              <w:widowControl/>
              <w:jc w:val="center"/>
              <w:rPr>
                <w:szCs w:val="21"/>
              </w:rPr>
            </w:pPr>
          </w:p>
        </w:tc>
        <w:tc>
          <w:tcPr>
            <w:tcW w:w="39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大</w:t>
            </w:r>
          </w:p>
        </w:tc>
        <w:tc>
          <w:tcPr>
            <w:tcW w:w="39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中</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小</w:t>
            </w:r>
          </w:p>
        </w:tc>
        <w:tc>
          <w:tcPr>
            <w:tcW w:w="376"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大</w:t>
            </w:r>
          </w:p>
        </w:tc>
        <w:tc>
          <w:tcPr>
            <w:tcW w:w="39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中</w:t>
            </w:r>
          </w:p>
        </w:tc>
        <w:tc>
          <w:tcPr>
            <w:tcW w:w="409"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小</w:t>
            </w:r>
          </w:p>
        </w:tc>
        <w:tc>
          <w:tcPr>
            <w:tcW w:w="376"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大</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中</w:t>
            </w:r>
          </w:p>
        </w:tc>
        <w:tc>
          <w:tcPr>
            <w:tcW w:w="40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b/>
                <w:bCs/>
                <w:sz w:val="21"/>
                <w:szCs w:val="21"/>
              </w:rPr>
            </w:pPr>
            <w:r>
              <w:rPr>
                <w:rFonts w:hint="eastAsia"/>
                <w:b/>
                <w:bCs/>
                <w:sz w:val="21"/>
                <w:szCs w:val="21"/>
              </w:rPr>
              <w:t>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464"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敏感</w:t>
            </w:r>
          </w:p>
        </w:tc>
        <w:tc>
          <w:tcPr>
            <w:tcW w:w="39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一级</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一级</w:t>
            </w:r>
          </w:p>
        </w:tc>
        <w:tc>
          <w:tcPr>
            <w:tcW w:w="38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一级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409"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二级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8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408"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szCs w:val="21"/>
              </w:rPr>
            </w:pPr>
            <w:r>
              <w:rPr>
                <w:rFonts w:hint="eastAsia"/>
                <w:szCs w:val="21"/>
              </w:rPr>
              <w:t>三级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464"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较敏感</w:t>
            </w:r>
          </w:p>
        </w:tc>
        <w:tc>
          <w:tcPr>
            <w:tcW w:w="39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一级</w:t>
            </w:r>
          </w:p>
        </w:tc>
        <w:tc>
          <w:tcPr>
            <w:tcW w:w="39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一级</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二级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409"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三级</w:t>
            </w:r>
          </w:p>
        </w:tc>
        <w:tc>
          <w:tcPr>
            <w:tcW w:w="40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464"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不敏感</w:t>
            </w:r>
          </w:p>
        </w:tc>
        <w:tc>
          <w:tcPr>
            <w:tcW w:w="39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一级</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87"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二级</w:t>
            </w:r>
          </w:p>
        </w:tc>
        <w:tc>
          <w:tcPr>
            <w:tcW w:w="398"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rFonts w:hint="eastAsia"/>
                <w:sz w:val="21"/>
                <w:szCs w:val="21"/>
              </w:rPr>
              <w:t>三级</w:t>
            </w:r>
          </w:p>
        </w:tc>
        <w:tc>
          <w:tcPr>
            <w:tcW w:w="409"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76"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三级</w:t>
            </w:r>
          </w:p>
        </w:tc>
        <w:tc>
          <w:tcPr>
            <w:tcW w:w="387" w:type="pct"/>
            <w:tcBorders>
              <w:top w:val="single" w:color="auto" w:sz="4" w:space="0"/>
              <w:left w:val="single" w:color="auto" w:sz="4" w:space="0"/>
              <w:bottom w:val="single" w:color="auto" w:sz="4" w:space="0"/>
              <w:right w:val="single" w:color="auto" w:sz="4" w:space="0"/>
            </w:tcBorders>
            <w:vAlign w:val="center"/>
          </w:tcPr>
          <w:p>
            <w:pPr>
              <w:pStyle w:val="6"/>
              <w:widowControl/>
              <w:ind w:firstLine="0"/>
              <w:jc w:val="center"/>
              <w:rPr>
                <w:sz w:val="21"/>
                <w:szCs w:val="21"/>
              </w:rPr>
            </w:pPr>
            <w:r>
              <w:rPr>
                <w:sz w:val="21"/>
                <w:szCs w:val="21"/>
              </w:rPr>
              <w:t>-</w:t>
            </w:r>
          </w:p>
        </w:tc>
        <w:tc>
          <w:tcPr>
            <w:tcW w:w="40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w:t>
            </w:r>
          </w:p>
        </w:tc>
      </w:tr>
    </w:tbl>
    <w:p>
      <w:pPr>
        <w:spacing w:line="480" w:lineRule="exact"/>
        <w:ind w:firstLine="482"/>
        <w:rPr>
          <w:rFonts w:ascii="宋体" w:hAnsi="宋体"/>
          <w:bCs/>
          <w:sz w:val="24"/>
          <w:szCs w:val="24"/>
        </w:rPr>
      </w:pPr>
      <w:r>
        <w:rPr>
          <w:rFonts w:hint="eastAsia"/>
          <w:sz w:val="24"/>
          <w:szCs w:val="32"/>
        </w:rPr>
        <w:t>根据上表可知，本项目</w:t>
      </w:r>
      <w:r>
        <w:rPr>
          <w:rFonts w:hint="eastAsia"/>
          <w:sz w:val="24"/>
        </w:rPr>
        <w:t>评价工作等级为三级。现状调查范围为占地范围内以及占地范围外0.05km。</w:t>
      </w:r>
    </w:p>
    <w:p>
      <w:pPr>
        <w:pStyle w:val="57"/>
        <w:keepNext/>
        <w:keepLines/>
        <w:spacing w:before="0" w:after="0" w:line="480" w:lineRule="exact"/>
        <w:ind w:firstLine="0" w:firstLineChars="0"/>
        <w:outlineLvl w:val="3"/>
        <w:rPr>
          <w:b/>
        </w:rPr>
      </w:pPr>
      <w:r>
        <w:rPr>
          <w:rFonts w:hint="eastAsia"/>
          <w:b/>
        </w:rPr>
        <w:t>5.2.6.3</w:t>
      </w:r>
      <w:r>
        <w:rPr>
          <w:rFonts w:hint="eastAsia" w:ascii="宋体" w:hAnsi="宋体"/>
          <w:b/>
        </w:rPr>
        <w:t>土壤环境影响预测与评价</w:t>
      </w:r>
    </w:p>
    <w:p>
      <w:pPr>
        <w:spacing w:line="480" w:lineRule="exact"/>
        <w:ind w:firstLine="482"/>
        <w:jc w:val="left"/>
        <w:rPr>
          <w:sz w:val="24"/>
        </w:rPr>
      </w:pPr>
      <w:r>
        <w:rPr>
          <w:rFonts w:hint="eastAsia" w:ascii="宋体" w:hAnsi="宋体"/>
          <w:bCs/>
          <w:sz w:val="24"/>
          <w:szCs w:val="24"/>
        </w:rPr>
        <w:t>本项目预测评价范围与调查评价范围一致，为</w:t>
      </w:r>
      <w:r>
        <w:rPr>
          <w:rFonts w:hint="eastAsia"/>
          <w:sz w:val="24"/>
        </w:rPr>
        <w:t>占地范围内以及占地范围外0.05km。根据土壤环境影响类型与影响途经识别，本项目取运营期为重点预测时段。本项目评价工作等级为三级，采用定性描述进行预测。</w:t>
      </w:r>
    </w:p>
    <w:p>
      <w:pPr>
        <w:spacing w:line="480" w:lineRule="exact"/>
        <w:ind w:firstLine="482"/>
        <w:jc w:val="left"/>
        <w:rPr>
          <w:rFonts w:ascii="宋体" w:hAnsi="宋体"/>
          <w:bCs/>
          <w:sz w:val="24"/>
          <w:szCs w:val="24"/>
        </w:rPr>
      </w:pPr>
      <w:r>
        <w:rPr>
          <w:rFonts w:hint="eastAsia" w:ascii="宋体" w:hAnsi="宋体"/>
          <w:bCs/>
          <w:sz w:val="24"/>
          <w:szCs w:val="24"/>
        </w:rPr>
        <w:t>根据</w:t>
      </w:r>
      <w:r>
        <w:rPr>
          <w:rFonts w:hint="eastAsia"/>
          <w:bCs/>
          <w:kern w:val="0"/>
          <w:sz w:val="24"/>
          <w:szCs w:val="24"/>
        </w:rPr>
        <w:t>土壤环境质量现状监测，本项目表层样品土壤为黄褐色粉土，</w:t>
      </w:r>
      <w:r>
        <w:rPr>
          <w:rFonts w:hint="eastAsia"/>
          <w:kern w:val="0"/>
          <w:sz w:val="24"/>
          <w:szCs w:val="32"/>
        </w:rPr>
        <w:t>占地范围内土壤环境质量可以达到</w:t>
      </w:r>
      <w:r>
        <w:rPr>
          <w:rFonts w:hint="eastAsia"/>
          <w:kern w:val="0"/>
          <w:sz w:val="24"/>
        </w:rPr>
        <w:t>《土壤环境质量</w:t>
      </w:r>
      <w:r>
        <w:rPr>
          <w:kern w:val="0"/>
          <w:sz w:val="24"/>
        </w:rPr>
        <w:t xml:space="preserve"> </w:t>
      </w:r>
      <w:r>
        <w:rPr>
          <w:rFonts w:hint="eastAsia"/>
          <w:kern w:val="0"/>
          <w:sz w:val="24"/>
        </w:rPr>
        <w:t>建设用地土壤污染风险管控标准》（试行）中第二类用地建设用地土壤污染风险筛选值和管制值，土壤</w:t>
      </w:r>
      <w:r>
        <w:rPr>
          <w:rFonts w:hint="eastAsia"/>
          <w:kern w:val="0"/>
          <w:sz w:val="24"/>
          <w:szCs w:val="32"/>
        </w:rPr>
        <w:t>环境质量较好。</w:t>
      </w:r>
    </w:p>
    <w:p>
      <w:pPr>
        <w:spacing w:line="480" w:lineRule="exact"/>
        <w:ind w:firstLine="482"/>
        <w:jc w:val="left"/>
        <w:rPr>
          <w:color w:val="000000"/>
          <w:kern w:val="0"/>
          <w:sz w:val="24"/>
        </w:rPr>
      </w:pPr>
      <w:r>
        <w:rPr>
          <w:rFonts w:hint="eastAsia"/>
          <w:sz w:val="24"/>
        </w:rPr>
        <w:t>项目建成后，可发生的最不利情形为鸡舍干清粪跌落、鸡舍冲洗过程中的粪污水垂直入渗对土壤的影响，填埋井在填埋病死鸡时，井壁及井底防渗措施破损时污水垂直入渗对土壤的影响，以及污水处理站污水收集池防渗措施破损时污水垂直入渗对土壤的影响。本次评价地下水评价预测结果表明，</w:t>
      </w:r>
      <w:r>
        <w:rPr>
          <w:rFonts w:hint="eastAsia"/>
          <w:color w:val="000000"/>
          <w:kern w:val="0"/>
          <w:sz w:val="24"/>
        </w:rPr>
        <w:t>本项目发生泄漏情况下，氨氮：</w:t>
      </w:r>
      <w:r>
        <w:rPr>
          <w:color w:val="000000"/>
          <w:kern w:val="0"/>
          <w:sz w:val="24"/>
        </w:rPr>
        <w:t>100d</w:t>
      </w:r>
      <w:r>
        <w:rPr>
          <w:rFonts w:hint="eastAsia"/>
          <w:color w:val="000000"/>
          <w:kern w:val="0"/>
          <w:sz w:val="24"/>
        </w:rPr>
        <w:t>，</w:t>
      </w:r>
      <w:r>
        <w:rPr>
          <w:color w:val="000000"/>
          <w:kern w:val="0"/>
          <w:sz w:val="24"/>
        </w:rPr>
        <w:t>20m</w:t>
      </w:r>
      <w:r>
        <w:rPr>
          <w:rFonts w:hint="eastAsia"/>
          <w:color w:val="000000"/>
          <w:kern w:val="0"/>
          <w:sz w:val="24"/>
        </w:rPr>
        <w:t>时达到标准值，氨氮浓度为</w:t>
      </w:r>
      <w:r>
        <w:rPr>
          <w:color w:val="000000"/>
          <w:kern w:val="0"/>
          <w:sz w:val="24"/>
        </w:rPr>
        <w:t>0.2mg/L</w:t>
      </w:r>
      <w:r>
        <w:rPr>
          <w:rFonts w:hint="eastAsia"/>
          <w:color w:val="000000"/>
          <w:kern w:val="0"/>
          <w:sz w:val="24"/>
        </w:rPr>
        <w:t>；</w:t>
      </w:r>
      <w:r>
        <w:rPr>
          <w:color w:val="000000"/>
          <w:kern w:val="0"/>
          <w:sz w:val="24"/>
        </w:rPr>
        <w:t>1000d</w:t>
      </w:r>
      <w:r>
        <w:rPr>
          <w:rFonts w:hint="eastAsia"/>
          <w:color w:val="000000"/>
          <w:kern w:val="0"/>
          <w:sz w:val="24"/>
        </w:rPr>
        <w:t>在下游</w:t>
      </w:r>
      <w:r>
        <w:rPr>
          <w:color w:val="000000"/>
          <w:kern w:val="0"/>
          <w:sz w:val="24"/>
        </w:rPr>
        <w:t>60m</w:t>
      </w:r>
      <w:r>
        <w:rPr>
          <w:rFonts w:hint="eastAsia"/>
          <w:color w:val="000000"/>
          <w:kern w:val="0"/>
          <w:sz w:val="24"/>
        </w:rPr>
        <w:t>时达到标准值，氨氮浓度为</w:t>
      </w:r>
      <w:r>
        <w:rPr>
          <w:color w:val="000000"/>
          <w:kern w:val="0"/>
          <w:sz w:val="24"/>
        </w:rPr>
        <w:t>0.2mg/L</w:t>
      </w:r>
      <w:r>
        <w:rPr>
          <w:rFonts w:hint="eastAsia"/>
          <w:color w:val="000000"/>
          <w:kern w:val="0"/>
          <w:sz w:val="24"/>
        </w:rPr>
        <w:t>。</w:t>
      </w:r>
      <w:r>
        <w:rPr>
          <w:color w:val="000000"/>
          <w:kern w:val="0"/>
          <w:sz w:val="24"/>
        </w:rPr>
        <w:t>COD</w:t>
      </w:r>
      <w:r>
        <w:rPr>
          <w:rFonts w:hint="eastAsia"/>
          <w:color w:val="000000"/>
          <w:kern w:val="0"/>
          <w:sz w:val="24"/>
        </w:rPr>
        <w:t>：</w:t>
      </w:r>
      <w:r>
        <w:rPr>
          <w:color w:val="000000"/>
          <w:kern w:val="0"/>
          <w:sz w:val="24"/>
        </w:rPr>
        <w:t>100d</w:t>
      </w:r>
      <w:r>
        <w:rPr>
          <w:rFonts w:hint="eastAsia"/>
          <w:color w:val="000000"/>
          <w:kern w:val="0"/>
          <w:sz w:val="24"/>
        </w:rPr>
        <w:t>，</w:t>
      </w:r>
      <w:r>
        <w:rPr>
          <w:color w:val="000000"/>
          <w:kern w:val="0"/>
          <w:sz w:val="24"/>
        </w:rPr>
        <w:t>10m</w:t>
      </w:r>
      <w:r>
        <w:rPr>
          <w:rFonts w:hint="eastAsia"/>
          <w:color w:val="000000"/>
          <w:kern w:val="0"/>
          <w:sz w:val="24"/>
        </w:rPr>
        <w:t>时达到标准值，</w:t>
      </w:r>
      <w:r>
        <w:rPr>
          <w:color w:val="000000"/>
          <w:kern w:val="0"/>
          <w:sz w:val="24"/>
        </w:rPr>
        <w:t>COD</w:t>
      </w:r>
      <w:r>
        <w:rPr>
          <w:rFonts w:hint="eastAsia"/>
          <w:color w:val="000000"/>
          <w:kern w:val="0"/>
          <w:sz w:val="24"/>
        </w:rPr>
        <w:t>浓度为</w:t>
      </w:r>
      <w:r>
        <w:rPr>
          <w:color w:val="000000"/>
          <w:kern w:val="0"/>
          <w:sz w:val="24"/>
        </w:rPr>
        <w:t>20mg/L</w:t>
      </w:r>
      <w:r>
        <w:rPr>
          <w:rFonts w:hint="eastAsia"/>
          <w:color w:val="000000"/>
          <w:kern w:val="0"/>
          <w:sz w:val="24"/>
        </w:rPr>
        <w:t>；</w:t>
      </w:r>
      <w:r>
        <w:rPr>
          <w:color w:val="000000"/>
          <w:kern w:val="0"/>
          <w:sz w:val="24"/>
        </w:rPr>
        <w:t>1000d</w:t>
      </w:r>
      <w:r>
        <w:rPr>
          <w:rFonts w:hint="eastAsia"/>
          <w:color w:val="000000"/>
          <w:kern w:val="0"/>
          <w:sz w:val="24"/>
        </w:rPr>
        <w:t>在下游</w:t>
      </w:r>
      <w:r>
        <w:rPr>
          <w:color w:val="000000"/>
          <w:kern w:val="0"/>
          <w:sz w:val="24"/>
        </w:rPr>
        <w:t>30m</w:t>
      </w:r>
      <w:r>
        <w:rPr>
          <w:rFonts w:hint="eastAsia"/>
          <w:color w:val="000000"/>
          <w:kern w:val="0"/>
          <w:sz w:val="24"/>
        </w:rPr>
        <w:t>时达到标准值，</w:t>
      </w:r>
      <w:r>
        <w:rPr>
          <w:color w:val="000000"/>
          <w:kern w:val="0"/>
          <w:sz w:val="24"/>
        </w:rPr>
        <w:t>COD</w:t>
      </w:r>
      <w:r>
        <w:rPr>
          <w:rFonts w:hint="eastAsia"/>
          <w:color w:val="000000"/>
          <w:kern w:val="0"/>
          <w:sz w:val="24"/>
        </w:rPr>
        <w:t>浓度为</w:t>
      </w:r>
      <w:r>
        <w:rPr>
          <w:color w:val="000000"/>
          <w:kern w:val="0"/>
          <w:sz w:val="24"/>
        </w:rPr>
        <w:t>20mg/L</w:t>
      </w:r>
      <w:r>
        <w:rPr>
          <w:rFonts w:hint="eastAsia"/>
          <w:color w:val="000000"/>
          <w:kern w:val="0"/>
          <w:sz w:val="24"/>
        </w:rPr>
        <w:t>。COD与氨氮在土壤内经消化吸收，浓度会逐渐降低。</w:t>
      </w:r>
    </w:p>
    <w:p>
      <w:pPr>
        <w:spacing w:line="480" w:lineRule="exact"/>
        <w:ind w:firstLine="482"/>
        <w:jc w:val="left"/>
        <w:rPr>
          <w:color w:val="000000"/>
          <w:kern w:val="0"/>
          <w:sz w:val="24"/>
        </w:rPr>
      </w:pPr>
      <w:r>
        <w:rPr>
          <w:rFonts w:hint="eastAsia" w:ascii="宋体" w:hAnsi="宋体" w:cs="宋体"/>
          <w:sz w:val="24"/>
        </w:rPr>
        <w:t>建设项目各不同阶段，土壤环境敏感目标处且占地范围内各评价因子均满足中《土壤环境质量 建设用地土壤污染风险管控标准（试行）》（GB36600-2018）第二类用地建设用地土壤污染风险筛选值和管制值要求。</w:t>
      </w:r>
    </w:p>
    <w:p>
      <w:pPr>
        <w:spacing w:line="480" w:lineRule="exact"/>
        <w:ind w:firstLine="482"/>
        <w:jc w:val="left"/>
        <w:rPr>
          <w:rFonts w:ascii="宋体" w:hAnsi="宋体"/>
          <w:bCs/>
          <w:sz w:val="24"/>
          <w:szCs w:val="24"/>
        </w:rPr>
      </w:pPr>
      <w:r>
        <w:rPr>
          <w:rFonts w:hint="eastAsia"/>
          <w:color w:val="000000"/>
          <w:kern w:val="0"/>
          <w:sz w:val="24"/>
        </w:rPr>
        <w:t>本项目鸡舍、污水处理站、填埋井在落实环评提出的防渗措施的条件下，本项目运营期对土壤环境的影响较小。</w:t>
      </w:r>
    </w:p>
    <w:p>
      <w:pPr>
        <w:pStyle w:val="57"/>
        <w:keepNext/>
        <w:keepLines/>
        <w:spacing w:before="0" w:after="0" w:line="480" w:lineRule="exact"/>
        <w:ind w:firstLine="0" w:firstLineChars="0"/>
        <w:outlineLvl w:val="3"/>
        <w:rPr>
          <w:b/>
        </w:rPr>
      </w:pPr>
      <w:r>
        <w:rPr>
          <w:rFonts w:hint="eastAsia"/>
          <w:b/>
        </w:rPr>
        <w:t>5.2.6.4</w:t>
      </w:r>
      <w:r>
        <w:rPr>
          <w:rFonts w:hint="eastAsia" w:ascii="宋体" w:hAnsi="宋体"/>
          <w:b/>
        </w:rPr>
        <w:t>土壤污染防控措施</w:t>
      </w:r>
    </w:p>
    <w:p>
      <w:pPr>
        <w:pStyle w:val="122"/>
        <w:spacing w:line="480" w:lineRule="exact"/>
        <w:ind w:firstLine="480"/>
        <w:rPr>
          <w:sz w:val="24"/>
          <w:szCs w:val="24"/>
        </w:rPr>
      </w:pPr>
      <w:r>
        <w:rPr>
          <w:rFonts w:hint="eastAsia"/>
          <w:snapToGrid w:val="0"/>
          <w:sz w:val="24"/>
          <w:szCs w:val="24"/>
        </w:rPr>
        <w:t>①医疗废物暂存间、污水处理站、废水收集池按重点防渗区采取防渗措施，</w:t>
      </w:r>
      <w:r>
        <w:rPr>
          <w:rFonts w:hint="eastAsia"/>
          <w:sz w:val="24"/>
          <w:szCs w:val="24"/>
        </w:rPr>
        <w:t>防渗层为至少</w:t>
      </w:r>
      <w:r>
        <w:rPr>
          <w:sz w:val="24"/>
          <w:szCs w:val="24"/>
        </w:rPr>
        <w:t>1m</w:t>
      </w:r>
      <w:r>
        <w:rPr>
          <w:rFonts w:hint="eastAsia"/>
          <w:sz w:val="24"/>
          <w:szCs w:val="24"/>
        </w:rPr>
        <w:t>厚黏土层（渗透系数小于</w:t>
      </w:r>
      <w:r>
        <w:rPr>
          <w:sz w:val="24"/>
          <w:szCs w:val="24"/>
        </w:rPr>
        <w:t>1×10</w:t>
      </w:r>
      <w:r>
        <w:rPr>
          <w:sz w:val="24"/>
          <w:szCs w:val="24"/>
          <w:vertAlign w:val="superscript"/>
        </w:rPr>
        <w:t>-7</w:t>
      </w:r>
      <w:r>
        <w:rPr>
          <w:sz w:val="24"/>
          <w:szCs w:val="24"/>
        </w:rPr>
        <w:t>cm/s</w:t>
      </w:r>
      <w:r>
        <w:rPr>
          <w:rFonts w:hint="eastAsia"/>
          <w:sz w:val="24"/>
          <w:szCs w:val="24"/>
        </w:rPr>
        <w:t>），或</w:t>
      </w:r>
      <w:r>
        <w:rPr>
          <w:sz w:val="24"/>
          <w:szCs w:val="24"/>
        </w:rPr>
        <w:t>2mm</w:t>
      </w:r>
      <w:r>
        <w:rPr>
          <w:rFonts w:hint="eastAsia"/>
          <w:sz w:val="24"/>
          <w:szCs w:val="24"/>
        </w:rPr>
        <w:t>厚高密度聚乙烯，或至少</w:t>
      </w:r>
      <w:r>
        <w:rPr>
          <w:sz w:val="24"/>
          <w:szCs w:val="24"/>
        </w:rPr>
        <w:t>2mm</w:t>
      </w:r>
      <w:r>
        <w:rPr>
          <w:rFonts w:hint="eastAsia"/>
          <w:sz w:val="24"/>
          <w:szCs w:val="24"/>
        </w:rPr>
        <w:t>厚的其它人工材料，渗透系数小于</w:t>
      </w:r>
      <w:r>
        <w:rPr>
          <w:sz w:val="24"/>
          <w:szCs w:val="24"/>
        </w:rPr>
        <w:t>1×10</w:t>
      </w:r>
      <w:r>
        <w:rPr>
          <w:sz w:val="24"/>
          <w:szCs w:val="24"/>
          <w:vertAlign w:val="superscript"/>
        </w:rPr>
        <w:t>-10</w:t>
      </w:r>
      <w:r>
        <w:rPr>
          <w:sz w:val="24"/>
          <w:szCs w:val="24"/>
        </w:rPr>
        <w:t>cm/s</w:t>
      </w:r>
      <w:r>
        <w:rPr>
          <w:rFonts w:hint="eastAsia"/>
          <w:sz w:val="24"/>
          <w:szCs w:val="24"/>
        </w:rPr>
        <w:t>。</w:t>
      </w:r>
    </w:p>
    <w:p>
      <w:pPr>
        <w:pStyle w:val="122"/>
        <w:spacing w:line="480" w:lineRule="exact"/>
        <w:ind w:firstLine="480"/>
        <w:rPr>
          <w:sz w:val="24"/>
          <w:szCs w:val="24"/>
        </w:rPr>
      </w:pPr>
      <w:r>
        <w:rPr>
          <w:snapToGrid w:val="0"/>
          <w:sz w:val="24"/>
          <w:szCs w:val="24"/>
        </w:rPr>
        <w:fldChar w:fldCharType="begin"/>
      </w:r>
      <w:r>
        <w:rPr>
          <w:snapToGrid w:val="0"/>
          <w:sz w:val="24"/>
          <w:szCs w:val="24"/>
        </w:rPr>
        <w:instrText xml:space="preserve"> = 2 \* GB3 </w:instrText>
      </w:r>
      <w:r>
        <w:rPr>
          <w:snapToGrid w:val="0"/>
          <w:sz w:val="24"/>
          <w:szCs w:val="24"/>
        </w:rPr>
        <w:fldChar w:fldCharType="separate"/>
      </w:r>
      <w:r>
        <w:rPr>
          <w:rFonts w:hint="eastAsia"/>
          <w:snapToGrid w:val="0"/>
          <w:sz w:val="24"/>
          <w:szCs w:val="24"/>
        </w:rPr>
        <w:t>②</w:t>
      </w:r>
      <w:r>
        <w:rPr>
          <w:snapToGrid w:val="0"/>
          <w:sz w:val="24"/>
          <w:szCs w:val="24"/>
        </w:rPr>
        <w:fldChar w:fldCharType="end"/>
      </w:r>
      <w:r>
        <w:rPr>
          <w:rFonts w:hint="eastAsia"/>
          <w:snapToGrid w:val="0"/>
          <w:sz w:val="24"/>
          <w:szCs w:val="24"/>
        </w:rPr>
        <w:t>鸡舍、安全填埋井各构筑物（调节池、生物接触氧化池、沉淀池、消毒池、贮水池）、事故池、安全填埋井按一般防渗区采取防渗措施。</w:t>
      </w:r>
      <w:r>
        <w:rPr>
          <w:rFonts w:hint="eastAsia"/>
          <w:sz w:val="24"/>
          <w:szCs w:val="24"/>
        </w:rPr>
        <w:t>等效黏土防渗层</w:t>
      </w:r>
      <w:r>
        <w:rPr>
          <w:sz w:val="24"/>
          <w:szCs w:val="24"/>
        </w:rPr>
        <w:t>Mb≥1.5m</w:t>
      </w:r>
      <w:r>
        <w:rPr>
          <w:rFonts w:hint="eastAsia"/>
          <w:sz w:val="24"/>
          <w:szCs w:val="24"/>
        </w:rPr>
        <w:t>，</w:t>
      </w:r>
      <w:r>
        <w:rPr>
          <w:sz w:val="24"/>
          <w:szCs w:val="24"/>
        </w:rPr>
        <w:t>K≤1×10</w:t>
      </w:r>
      <w:r>
        <w:rPr>
          <w:sz w:val="24"/>
          <w:szCs w:val="24"/>
          <w:vertAlign w:val="superscript"/>
        </w:rPr>
        <w:t>-7</w:t>
      </w:r>
      <w:r>
        <w:rPr>
          <w:sz w:val="24"/>
          <w:szCs w:val="24"/>
        </w:rPr>
        <w:t>cm/s</w:t>
      </w:r>
      <w:r>
        <w:rPr>
          <w:rFonts w:hint="eastAsia"/>
          <w:sz w:val="24"/>
          <w:szCs w:val="24"/>
        </w:rPr>
        <w:t>。</w:t>
      </w:r>
    </w:p>
    <w:p>
      <w:pPr>
        <w:pStyle w:val="122"/>
        <w:spacing w:line="480" w:lineRule="exact"/>
        <w:ind w:firstLine="480"/>
        <w:rPr>
          <w:snapToGrid w:val="0"/>
          <w:sz w:val="24"/>
          <w:szCs w:val="24"/>
        </w:rPr>
      </w:pPr>
      <w:r>
        <w:rPr>
          <w:snapToGrid w:val="0"/>
          <w:sz w:val="24"/>
          <w:szCs w:val="24"/>
        </w:rPr>
        <w:fldChar w:fldCharType="begin"/>
      </w:r>
      <w:r>
        <w:rPr>
          <w:snapToGrid w:val="0"/>
          <w:sz w:val="24"/>
          <w:szCs w:val="24"/>
        </w:rPr>
        <w:instrText xml:space="preserve"> = 3 \* GB3 </w:instrText>
      </w:r>
      <w:r>
        <w:rPr>
          <w:snapToGrid w:val="0"/>
          <w:sz w:val="24"/>
          <w:szCs w:val="24"/>
        </w:rPr>
        <w:fldChar w:fldCharType="separate"/>
      </w:r>
      <w:r>
        <w:rPr>
          <w:rFonts w:hint="eastAsia"/>
          <w:snapToGrid w:val="0"/>
          <w:sz w:val="24"/>
          <w:szCs w:val="24"/>
        </w:rPr>
        <w:t>③</w:t>
      </w:r>
      <w:r>
        <w:rPr>
          <w:snapToGrid w:val="0"/>
          <w:sz w:val="24"/>
          <w:szCs w:val="24"/>
        </w:rPr>
        <w:fldChar w:fldCharType="end"/>
      </w:r>
      <w:r>
        <w:rPr>
          <w:rFonts w:hint="eastAsia"/>
          <w:snapToGrid w:val="0"/>
          <w:sz w:val="24"/>
          <w:szCs w:val="24"/>
        </w:rPr>
        <w:t>其他建筑物及道路采取简单防渗，对其地面采用混凝土进行一般地面硬化。</w:t>
      </w:r>
    </w:p>
    <w:p>
      <w:pPr>
        <w:spacing w:line="480" w:lineRule="exact"/>
        <w:ind w:firstLine="482"/>
        <w:rPr>
          <w:rFonts w:ascii="宋体" w:hAnsi="宋体"/>
          <w:bCs/>
          <w:sz w:val="24"/>
          <w:szCs w:val="24"/>
        </w:rPr>
      </w:pPr>
      <w:r>
        <w:rPr>
          <w:rFonts w:hint="eastAsia"/>
          <w:snapToGrid w:val="0"/>
          <w:kern w:val="0"/>
          <w:sz w:val="24"/>
          <w:szCs w:val="24"/>
        </w:rPr>
        <w:t>④加强管理，建立巡逻制度，定期对调节池、污水处理站、贮水池等地进行检查，及时发现问题，查找隐患，杜绝污染物的外排。</w:t>
      </w:r>
    </w:p>
    <w:p>
      <w:pPr>
        <w:spacing w:line="480" w:lineRule="exact"/>
        <w:ind w:firstLine="482"/>
        <w:rPr>
          <w:rFonts w:ascii="宋体" w:hAnsi="宋体"/>
          <w:bCs/>
          <w:sz w:val="24"/>
          <w:szCs w:val="24"/>
        </w:rPr>
      </w:pPr>
      <w:r>
        <w:rPr>
          <w:rFonts w:hint="eastAsia"/>
          <w:sz w:val="24"/>
          <w:szCs w:val="32"/>
        </w:rPr>
        <w:t>土壤环境影响评价自查表见下表。</w:t>
      </w:r>
    </w:p>
    <w:p>
      <w:pPr>
        <w:spacing w:line="480" w:lineRule="exact"/>
        <w:jc w:val="center"/>
        <w:rPr>
          <w:rFonts w:ascii="黑体" w:hAnsi="黑体" w:eastAsia="黑体"/>
          <w:bCs/>
          <w:sz w:val="24"/>
          <w:szCs w:val="24"/>
        </w:rPr>
      </w:pPr>
      <w:r>
        <w:rPr>
          <w:rFonts w:hint="eastAsia" w:ascii="黑体" w:hAnsi="黑体" w:eastAsia="黑体"/>
          <w:bCs/>
          <w:sz w:val="24"/>
          <w:szCs w:val="24"/>
        </w:rPr>
        <w:t>表5.2-23 土壤环境影响评价自查表</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6"/>
        <w:gridCol w:w="1623"/>
        <w:gridCol w:w="1561"/>
        <w:gridCol w:w="287"/>
        <w:gridCol w:w="1178"/>
        <w:gridCol w:w="564"/>
        <w:gridCol w:w="778"/>
        <w:gridCol w:w="1702"/>
        <w:gridCol w:w="9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11"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szCs w:val="21"/>
              </w:rPr>
            </w:pPr>
            <w:r>
              <w:rPr>
                <w:rFonts w:hint="eastAsia"/>
                <w:b/>
                <w:bCs/>
                <w:color w:val="000000"/>
                <w:szCs w:val="21"/>
              </w:rPr>
              <w:t>工作内容</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szCs w:val="21"/>
              </w:rPr>
            </w:pPr>
            <w:r>
              <w:rPr>
                <w:rFonts w:hint="eastAsia"/>
                <w:b/>
                <w:bCs/>
                <w:color w:val="000000"/>
                <w:szCs w:val="21"/>
              </w:rPr>
              <w:t>完成情况</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szCs w:val="21"/>
              </w:rPr>
            </w:pPr>
            <w:r>
              <w:rPr>
                <w:rFonts w:hint="eastAsia"/>
                <w:b/>
                <w:bCs/>
                <w:color w:val="000000"/>
                <w:szCs w:val="21"/>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影响识别</w:t>
            </w: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影响类型</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污染影响型</w:t>
            </w:r>
            <w:r>
              <w:rPr/>
              <w:sym w:font="Wingdings 2" w:char="0052"/>
            </w:r>
            <w:r>
              <w:rPr>
                <w:rFonts w:hint="eastAsia"/>
                <w:color w:val="000000"/>
                <w:szCs w:val="21"/>
              </w:rPr>
              <w:t>；生态影响型</w:t>
            </w:r>
            <w:r>
              <w:rPr>
                <w:rFonts w:hint="eastAsia"/>
              </w:rPr>
              <w:t>□</w:t>
            </w:r>
            <w:r>
              <w:rPr>
                <w:rFonts w:hint="eastAsia"/>
                <w:color w:val="000000"/>
                <w:szCs w:val="21"/>
              </w:rPr>
              <w:t>；两种兼有</w:t>
            </w:r>
            <w:r>
              <w:rPr>
                <w:rFonts w:hint="eastAsia"/>
              </w:rPr>
              <w:t>□</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土地利用类型</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建设用地</w:t>
            </w:r>
            <w:r>
              <w:rPr/>
              <w:sym w:font="Wingdings 2" w:char="0052"/>
            </w:r>
            <w:r>
              <w:rPr>
                <w:rFonts w:hint="eastAsia"/>
                <w:color w:val="000000"/>
                <w:szCs w:val="21"/>
              </w:rPr>
              <w:t>；农用地</w:t>
            </w:r>
            <w:r>
              <w:rPr>
                <w:rFonts w:hint="eastAsia"/>
              </w:rPr>
              <w:t>□</w:t>
            </w:r>
            <w:r>
              <w:rPr>
                <w:rFonts w:hint="eastAsia"/>
                <w:color w:val="000000"/>
                <w:szCs w:val="21"/>
              </w:rPr>
              <w:t>；未利用地</w:t>
            </w:r>
            <w:r>
              <w:rPr>
                <w:rFonts w:hint="eastAsia"/>
              </w:rPr>
              <w:t>□</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占地规模</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vertAlign w:val="superscript"/>
              </w:rPr>
            </w:pPr>
            <w:r>
              <w:rPr>
                <w:rFonts w:hint="eastAsia"/>
                <w:color w:val="000000"/>
                <w:szCs w:val="21"/>
              </w:rPr>
              <w:t>（4.2）</w:t>
            </w:r>
            <w:r>
              <w:rPr>
                <w:color w:val="000000"/>
                <w:szCs w:val="21"/>
              </w:rPr>
              <w:t>hm</w:t>
            </w:r>
            <w:r>
              <w:rPr>
                <w:color w:val="000000"/>
                <w:szCs w:val="21"/>
                <w:vertAlign w:val="superscript"/>
              </w:rPr>
              <w:t>2</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敏感目标信息</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szCs w:val="24"/>
              </w:rPr>
            </w:pPr>
            <w:r>
              <w:rPr>
                <w:rFonts w:hint="eastAsia"/>
              </w:rPr>
              <w:t>敏感目标（耕地）、方位（</w:t>
            </w:r>
            <w:r>
              <w:t>N</w:t>
            </w:r>
            <w:r>
              <w:rPr>
                <w:rFonts w:hint="eastAsia"/>
              </w:rPr>
              <w:t>、</w:t>
            </w:r>
            <w:r>
              <w:t>S</w:t>
            </w:r>
            <w:r>
              <w:rPr>
                <w:rFonts w:hint="eastAsia"/>
              </w:rPr>
              <w:t>、</w:t>
            </w:r>
            <w:r>
              <w:t>E</w:t>
            </w:r>
            <w:r>
              <w:rPr>
                <w:rFonts w:hint="eastAsia"/>
              </w:rPr>
              <w:t>、W）、距离（紧邻）</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影响途径</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大气沉降</w:t>
            </w:r>
            <w:r>
              <w:rPr>
                <w:rFonts w:hint="eastAsia"/>
              </w:rPr>
              <w:t>□</w:t>
            </w:r>
            <w:r>
              <w:rPr>
                <w:rFonts w:hint="eastAsia"/>
                <w:color w:val="000000"/>
                <w:szCs w:val="21"/>
              </w:rPr>
              <w:t>；地表漫流</w:t>
            </w:r>
            <w:r>
              <w:rPr>
                <w:rFonts w:hint="eastAsia"/>
              </w:rPr>
              <w:t>□</w:t>
            </w:r>
            <w:r>
              <w:rPr>
                <w:rFonts w:hint="eastAsia"/>
                <w:color w:val="000000"/>
                <w:szCs w:val="21"/>
              </w:rPr>
              <w:t>；垂直下渗</w:t>
            </w:r>
            <w:r>
              <w:rPr/>
              <w:sym w:font="Wingdings 2" w:char="0052"/>
            </w:r>
            <w:r>
              <w:rPr>
                <w:rFonts w:hint="eastAsia"/>
                <w:color w:val="000000"/>
                <w:szCs w:val="21"/>
              </w:rPr>
              <w:t>；地下水位</w:t>
            </w:r>
            <w:r>
              <w:rPr>
                <w:rFonts w:hint="eastAsia"/>
              </w:rPr>
              <w:t>□</w:t>
            </w:r>
            <w:r>
              <w:rPr>
                <w:rFonts w:hint="eastAsia"/>
                <w:color w:val="000000"/>
                <w:szCs w:val="21"/>
              </w:rPr>
              <w:t>；其他（）</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全部污染物</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粪污水、病死鸡尸体</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特征因子</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所属土壤环境评价项目类别</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ascii="宋体" w:hAnsi="宋体" w:cs="宋体"/>
                <w:color w:val="000000"/>
                <w:szCs w:val="21"/>
              </w:rPr>
              <w:t>Ⅰ</w:t>
            </w:r>
            <w:r>
              <w:rPr>
                <w:rFonts w:hint="eastAsia"/>
                <w:color w:val="000000"/>
                <w:szCs w:val="21"/>
              </w:rPr>
              <w:t>类</w:t>
            </w:r>
            <w:r>
              <w:rPr>
                <w:rFonts w:hint="eastAsia"/>
              </w:rPr>
              <w:t>□</w:t>
            </w:r>
            <w:r>
              <w:rPr>
                <w:rFonts w:hint="eastAsia"/>
                <w:color w:val="000000"/>
                <w:szCs w:val="21"/>
              </w:rPr>
              <w:t>；</w:t>
            </w:r>
            <w:r>
              <w:rPr>
                <w:rFonts w:hint="eastAsia" w:ascii="宋体" w:hAnsi="宋体" w:cs="宋体"/>
                <w:color w:val="000000"/>
                <w:szCs w:val="21"/>
              </w:rPr>
              <w:t>Ⅱ</w:t>
            </w:r>
            <w:r>
              <w:rPr>
                <w:rFonts w:hint="eastAsia"/>
                <w:color w:val="000000"/>
                <w:szCs w:val="21"/>
              </w:rPr>
              <w:t>类</w:t>
            </w:r>
            <w:r>
              <w:rPr>
                <w:rFonts w:hint="eastAsia"/>
              </w:rPr>
              <w:t>□</w:t>
            </w:r>
            <w:r>
              <w:rPr>
                <w:rFonts w:hint="eastAsia"/>
                <w:color w:val="000000"/>
                <w:szCs w:val="21"/>
              </w:rPr>
              <w:t>；</w:t>
            </w:r>
            <w:r>
              <w:rPr>
                <w:rFonts w:hint="eastAsia" w:ascii="宋体" w:hAnsi="宋体" w:cs="宋体"/>
                <w:color w:val="000000"/>
                <w:szCs w:val="21"/>
              </w:rPr>
              <w:t>Ⅲ</w:t>
            </w:r>
            <w:r>
              <w:rPr>
                <w:rFonts w:hint="eastAsia"/>
                <w:color w:val="000000"/>
                <w:szCs w:val="21"/>
              </w:rPr>
              <w:t>类</w:t>
            </w:r>
            <w:r>
              <w:rPr/>
              <w:sym w:font="Wingdings 2" w:char="0052"/>
            </w:r>
            <w:r>
              <w:rPr>
                <w:rFonts w:hint="eastAsia"/>
                <w:color w:val="000000"/>
                <w:szCs w:val="21"/>
              </w:rPr>
              <w:t>；</w:t>
            </w:r>
            <w:r>
              <w:rPr>
                <w:rFonts w:hint="eastAsia" w:ascii="宋体" w:hAnsi="宋体" w:cs="宋体"/>
                <w:color w:val="000000"/>
                <w:szCs w:val="21"/>
              </w:rPr>
              <w:t>Ⅳ</w:t>
            </w:r>
            <w:r>
              <w:rPr>
                <w:rFonts w:hint="eastAsia"/>
                <w:color w:val="000000"/>
                <w:szCs w:val="21"/>
              </w:rPr>
              <w:t>类</w:t>
            </w:r>
            <w:r>
              <w:rPr>
                <w:rFonts w:hint="eastAsia"/>
              </w:rPr>
              <w:t>□</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敏感程度</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敏感</w:t>
            </w:r>
            <w:r>
              <w:rPr/>
              <w:sym w:font="Wingdings 2" w:char="0052"/>
            </w:r>
            <w:r>
              <w:rPr>
                <w:rFonts w:hint="eastAsia"/>
                <w:color w:val="000000"/>
                <w:szCs w:val="21"/>
              </w:rPr>
              <w:t>；较敏感</w:t>
            </w:r>
            <w:r>
              <w:rPr>
                <w:rFonts w:hint="eastAsia"/>
              </w:rPr>
              <w:t>□</w:t>
            </w:r>
            <w:r>
              <w:rPr>
                <w:rFonts w:hint="eastAsia"/>
                <w:color w:val="000000"/>
                <w:szCs w:val="21"/>
              </w:rPr>
              <w:t>；不敏感</w:t>
            </w:r>
            <w:r>
              <w:rPr>
                <w:rFonts w:hint="eastAsia"/>
              </w:rPr>
              <w:t>□</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11"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评价工作等级</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一级</w:t>
            </w:r>
            <w:r>
              <w:rPr>
                <w:rFonts w:hint="eastAsia"/>
              </w:rPr>
              <w:t>□</w:t>
            </w:r>
            <w:r>
              <w:rPr>
                <w:rFonts w:hint="eastAsia"/>
                <w:color w:val="000000"/>
                <w:szCs w:val="21"/>
              </w:rPr>
              <w:t>；二级</w:t>
            </w:r>
            <w:r>
              <w:rPr>
                <w:rFonts w:hint="eastAsia"/>
              </w:rPr>
              <w:t>□</w:t>
            </w:r>
            <w:r>
              <w:rPr>
                <w:rFonts w:hint="eastAsia"/>
                <w:color w:val="000000"/>
                <w:szCs w:val="21"/>
              </w:rPr>
              <w:t>；三级</w:t>
            </w:r>
            <w:r>
              <w:rPr/>
              <w:sym w:font="Wingdings 2" w:char="0052"/>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现状调查内容</w:t>
            </w: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资料收集</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color w:val="000000"/>
                <w:szCs w:val="21"/>
              </w:rPr>
              <w:t>a</w:t>
            </w:r>
            <w:r>
              <w:rPr>
                <w:rFonts w:hint="eastAsia"/>
                <w:color w:val="000000"/>
                <w:szCs w:val="21"/>
              </w:rPr>
              <w:t>）</w:t>
            </w:r>
            <w:r>
              <w:rPr/>
              <w:sym w:font="Wingdings 2" w:char="0052"/>
            </w:r>
            <w:r>
              <w:rPr>
                <w:rFonts w:hint="eastAsia"/>
                <w:color w:val="000000"/>
                <w:szCs w:val="21"/>
              </w:rPr>
              <w:t>；</w:t>
            </w:r>
            <w:r>
              <w:rPr>
                <w:color w:val="000000"/>
                <w:szCs w:val="21"/>
              </w:rPr>
              <w:t>b</w:t>
            </w:r>
            <w:r>
              <w:rPr>
                <w:rFonts w:hint="eastAsia"/>
                <w:color w:val="000000"/>
                <w:szCs w:val="21"/>
              </w:rPr>
              <w:t>）</w:t>
            </w:r>
            <w:r>
              <w:rPr/>
              <w:sym w:font="Wingdings 2" w:char="0052"/>
            </w:r>
            <w:r>
              <w:rPr>
                <w:rFonts w:hint="eastAsia"/>
                <w:color w:val="000000"/>
                <w:szCs w:val="21"/>
              </w:rPr>
              <w:t>；</w:t>
            </w:r>
            <w:r>
              <w:rPr>
                <w:color w:val="000000"/>
                <w:szCs w:val="21"/>
              </w:rPr>
              <w:t>c</w:t>
            </w:r>
            <w:r>
              <w:rPr>
                <w:rFonts w:hint="eastAsia"/>
                <w:color w:val="000000"/>
                <w:szCs w:val="21"/>
              </w:rPr>
              <w:t>）</w:t>
            </w:r>
            <w:r>
              <w:rPr/>
              <w:sym w:font="Wingdings 2" w:char="0052"/>
            </w:r>
            <w:r>
              <w:rPr>
                <w:rFonts w:hint="eastAsia"/>
                <w:color w:val="000000"/>
                <w:szCs w:val="21"/>
              </w:rPr>
              <w:t>；</w:t>
            </w:r>
            <w:r>
              <w:rPr>
                <w:color w:val="000000"/>
                <w:szCs w:val="21"/>
              </w:rPr>
              <w:t>d</w:t>
            </w:r>
            <w:r>
              <w:rPr>
                <w:rFonts w:hint="eastAsia"/>
                <w:color w:val="000000"/>
                <w:szCs w:val="21"/>
              </w:rPr>
              <w:t>）</w:t>
            </w:r>
            <w:r>
              <w:rPr/>
              <w:sym w:font="Wingdings 2" w:char="0052"/>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理化特性</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中性</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现状监测点位</w:t>
            </w:r>
          </w:p>
        </w:tc>
        <w:tc>
          <w:tcPr>
            <w:tcW w:w="86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81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占地范围内</w:t>
            </w:r>
          </w:p>
        </w:tc>
        <w:tc>
          <w:tcPr>
            <w:tcW w:w="74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占地范围外</w:t>
            </w:r>
          </w:p>
        </w:tc>
        <w:tc>
          <w:tcPr>
            <w:tcW w:w="94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深度</w:t>
            </w:r>
          </w:p>
        </w:tc>
        <w:tc>
          <w:tcPr>
            <w:tcW w:w="522"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6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表层样点数</w:t>
            </w:r>
          </w:p>
        </w:tc>
        <w:tc>
          <w:tcPr>
            <w:tcW w:w="81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74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3</w:t>
            </w:r>
          </w:p>
        </w:tc>
        <w:tc>
          <w:tcPr>
            <w:tcW w:w="94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w:t>
            </w:r>
            <w:r>
              <w:rPr>
                <w:color w:val="000000"/>
                <w:szCs w:val="21"/>
              </w:rPr>
              <w:t>0-0.2</w:t>
            </w:r>
            <w:r>
              <w:rPr>
                <w:rFonts w:hint="eastAsia"/>
                <w:color w:val="000000"/>
                <w:szCs w:val="21"/>
              </w:rPr>
              <w:t>）</w:t>
            </w:r>
            <w:r>
              <w:rPr>
                <w:color w:val="000000"/>
                <w:szCs w:val="21"/>
              </w:rPr>
              <w:t>m</w:t>
            </w:r>
          </w:p>
        </w:tc>
        <w:tc>
          <w:tcPr>
            <w:tcW w:w="52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6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柱状样点数</w:t>
            </w:r>
          </w:p>
        </w:tc>
        <w:tc>
          <w:tcPr>
            <w:tcW w:w="81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74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94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52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现状监测因子</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rFonts w:hint="eastAsia"/>
                <w:color w:val="000000"/>
                <w:szCs w:val="21"/>
              </w:rPr>
              <w:t>砷、镉、铬、</w:t>
            </w:r>
            <w:r>
              <w:rPr>
                <w:color w:val="000000"/>
                <w:szCs w:val="21"/>
              </w:rPr>
              <w:t>pH</w:t>
            </w:r>
            <w:r>
              <w:rPr>
                <w:rFonts w:hint="eastAsia"/>
                <w:color w:val="000000"/>
                <w:szCs w:val="21"/>
              </w:rPr>
              <w:t>等</w:t>
            </w:r>
            <w:r>
              <w:rPr>
                <w:color w:val="000000"/>
                <w:szCs w:val="21"/>
              </w:rPr>
              <w:t>47</w:t>
            </w:r>
            <w:r>
              <w:rPr>
                <w:rFonts w:hint="eastAsia"/>
                <w:color w:val="000000"/>
                <w:szCs w:val="21"/>
              </w:rPr>
              <w:t>项</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现状评价</w:t>
            </w: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评价因子</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rFonts w:hint="eastAsia"/>
                <w:color w:val="000000"/>
                <w:szCs w:val="21"/>
              </w:rPr>
              <w:t>砷、镉、铬、</w:t>
            </w:r>
            <w:r>
              <w:rPr>
                <w:color w:val="000000"/>
                <w:szCs w:val="21"/>
              </w:rPr>
              <w:t>pH</w:t>
            </w:r>
            <w:r>
              <w:rPr>
                <w:rFonts w:hint="eastAsia"/>
                <w:color w:val="000000"/>
                <w:szCs w:val="21"/>
              </w:rPr>
              <w:t>等</w:t>
            </w:r>
            <w:r>
              <w:rPr>
                <w:color w:val="000000"/>
                <w:szCs w:val="21"/>
              </w:rPr>
              <w:t>47</w:t>
            </w:r>
            <w:r>
              <w:rPr>
                <w:rFonts w:hint="eastAsia"/>
                <w:color w:val="000000"/>
                <w:szCs w:val="21"/>
              </w:rPr>
              <w:t>项</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评价标准</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color w:val="000000"/>
                <w:szCs w:val="21"/>
              </w:rPr>
              <w:t>GB15618</w:t>
            </w:r>
            <w:r>
              <w:rPr>
                <w:rFonts w:hint="eastAsia"/>
              </w:rPr>
              <w:t>□</w:t>
            </w:r>
            <w:r>
              <w:rPr>
                <w:rFonts w:hint="eastAsia"/>
                <w:color w:val="000000"/>
                <w:szCs w:val="21"/>
              </w:rPr>
              <w:t>；</w:t>
            </w:r>
            <w:r>
              <w:rPr>
                <w:color w:val="000000"/>
                <w:szCs w:val="21"/>
              </w:rPr>
              <w:t>GB36600</w:t>
            </w:r>
            <w:r>
              <w:rPr/>
              <w:sym w:font="Wingdings 2" w:char="0052"/>
            </w:r>
            <w:r>
              <w:rPr>
                <w:rFonts w:hint="eastAsia"/>
                <w:color w:val="000000"/>
                <w:szCs w:val="21"/>
              </w:rPr>
              <w:t>；表</w:t>
            </w:r>
            <w:r>
              <w:rPr>
                <w:color w:val="000000"/>
                <w:szCs w:val="21"/>
              </w:rPr>
              <w:t>D.1</w:t>
            </w:r>
            <w:r>
              <w:rPr>
                <w:rFonts w:hint="eastAsia"/>
              </w:rPr>
              <w:t>□</w:t>
            </w:r>
            <w:r>
              <w:rPr>
                <w:rFonts w:hint="eastAsia"/>
                <w:color w:val="000000"/>
                <w:szCs w:val="21"/>
              </w:rPr>
              <w:t>；表</w:t>
            </w:r>
            <w:r>
              <w:rPr>
                <w:color w:val="000000"/>
                <w:szCs w:val="21"/>
              </w:rPr>
              <w:t>D.2</w:t>
            </w:r>
            <w:r>
              <w:rPr>
                <w:rFonts w:hint="eastAsia"/>
              </w:rPr>
              <w:t>□</w:t>
            </w:r>
            <w:r>
              <w:rPr>
                <w:rFonts w:hint="eastAsia"/>
                <w:color w:val="000000"/>
                <w:szCs w:val="21"/>
              </w:rPr>
              <w:t>；其他（）</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现状评价结论</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本项目所在区域土壤环境质量可以达到《土壤环境质量</w:t>
            </w:r>
            <w:r>
              <w:rPr>
                <w:color w:val="000000"/>
                <w:szCs w:val="21"/>
              </w:rPr>
              <w:t xml:space="preserve"> </w:t>
            </w:r>
            <w:r>
              <w:rPr>
                <w:rFonts w:hint="eastAsia"/>
                <w:color w:val="000000"/>
                <w:szCs w:val="21"/>
              </w:rPr>
              <w:t>建设用地土壤污染风险管控标准（试行）》（</w:t>
            </w:r>
            <w:r>
              <w:rPr>
                <w:color w:val="000000"/>
                <w:szCs w:val="21"/>
              </w:rPr>
              <w:t>GB3660-2018</w:t>
            </w:r>
            <w:r>
              <w:rPr>
                <w:rFonts w:hint="eastAsia"/>
                <w:color w:val="000000"/>
                <w:szCs w:val="21"/>
              </w:rPr>
              <w:t>）中第二类用地建设用地土壤污染风险筛选值和管制值，土壤环境质量较好。</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影响预测</w:t>
            </w: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预测因子</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COD、氨氮</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预测方法</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附录</w:t>
            </w:r>
            <w:r>
              <w:rPr>
                <w:color w:val="000000"/>
                <w:szCs w:val="21"/>
              </w:rPr>
              <w:t>E</w:t>
            </w:r>
            <w:r>
              <w:rPr>
                <w:rFonts w:hint="eastAsia"/>
              </w:rPr>
              <w:t>□</w:t>
            </w:r>
            <w:r>
              <w:rPr>
                <w:rFonts w:hint="eastAsia"/>
                <w:color w:val="000000"/>
                <w:szCs w:val="21"/>
              </w:rPr>
              <w:t>；附录</w:t>
            </w:r>
            <w:r>
              <w:rPr>
                <w:color w:val="000000"/>
                <w:szCs w:val="21"/>
              </w:rPr>
              <w:t>F</w:t>
            </w:r>
            <w:r>
              <w:rPr>
                <w:rFonts w:hint="eastAsia"/>
              </w:rPr>
              <w:t>□</w:t>
            </w:r>
            <w:r>
              <w:rPr>
                <w:rFonts w:hint="eastAsia"/>
                <w:color w:val="000000"/>
                <w:szCs w:val="21"/>
              </w:rPr>
              <w:t>；其他（定性描述）</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预测分析内容</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szCs w:val="21"/>
              </w:rPr>
            </w:pPr>
            <w:r>
              <w:rPr>
                <w:rFonts w:hint="eastAsia"/>
                <w:szCs w:val="21"/>
              </w:rPr>
              <w:t>影响范围（厂区所在位置及周边土壤）</w:t>
            </w:r>
          </w:p>
          <w:p>
            <w:pPr>
              <w:pStyle w:val="6"/>
              <w:ind w:firstLine="0"/>
              <w:jc w:val="left"/>
            </w:pPr>
            <w:r>
              <w:rPr>
                <w:rFonts w:hint="eastAsia"/>
                <w:color w:val="000000"/>
                <w:sz w:val="21"/>
                <w:szCs w:val="21"/>
              </w:rPr>
              <w:t>影响程度（较轻，可忽略不计）</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预测结论</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Cs w:val="24"/>
              </w:rPr>
            </w:pPr>
            <w:r>
              <w:rPr>
                <w:rFonts w:hint="eastAsia" w:ascii="宋体" w:hAnsi="宋体"/>
              </w:rPr>
              <w:t>达标结论：</w:t>
            </w:r>
            <w:r>
              <w:rPr>
                <w:rFonts w:ascii="宋体" w:hAnsi="宋体"/>
                <w:color w:val="000000"/>
                <w:szCs w:val="21"/>
              </w:rPr>
              <w:t>a</w:t>
            </w:r>
            <w:r>
              <w:rPr>
                <w:rFonts w:hint="eastAsia" w:ascii="宋体" w:hAnsi="宋体"/>
                <w:color w:val="000000"/>
                <w:szCs w:val="21"/>
              </w:rPr>
              <w:t>）</w:t>
            </w:r>
            <w:r>
              <w:rPr>
                <w:rFonts w:ascii="宋体" w:hAnsi="宋体"/>
              </w:rPr>
              <w:sym w:font="Wingdings 2" w:char="0052"/>
            </w:r>
            <w:r>
              <w:rPr>
                <w:rFonts w:hint="eastAsia" w:ascii="宋体" w:hAnsi="宋体"/>
                <w:color w:val="000000"/>
                <w:szCs w:val="21"/>
              </w:rPr>
              <w:t>；</w:t>
            </w:r>
            <w:r>
              <w:rPr>
                <w:rFonts w:ascii="宋体" w:hAnsi="宋体"/>
                <w:color w:val="000000"/>
                <w:szCs w:val="21"/>
              </w:rPr>
              <w:t>b</w:t>
            </w:r>
            <w:r>
              <w:rPr>
                <w:rFonts w:hint="eastAsia" w:ascii="宋体" w:hAnsi="宋体"/>
                <w:color w:val="000000"/>
                <w:szCs w:val="21"/>
              </w:rPr>
              <w:t>）</w:t>
            </w:r>
            <w:r>
              <w:rPr>
                <w:rFonts w:hint="eastAsia" w:ascii="宋体" w:hAnsi="宋体"/>
              </w:rPr>
              <w:t>□</w:t>
            </w:r>
            <w:r>
              <w:rPr>
                <w:rFonts w:hint="eastAsia" w:ascii="宋体" w:hAnsi="宋体"/>
                <w:color w:val="000000"/>
                <w:szCs w:val="21"/>
              </w:rPr>
              <w:t>；</w:t>
            </w:r>
            <w:r>
              <w:rPr>
                <w:rFonts w:ascii="宋体" w:hAnsi="宋体"/>
                <w:color w:val="000000"/>
                <w:szCs w:val="21"/>
              </w:rPr>
              <w:t>c</w:t>
            </w:r>
            <w:r>
              <w:rPr>
                <w:rFonts w:hint="eastAsia" w:ascii="宋体" w:hAnsi="宋体"/>
                <w:color w:val="000000"/>
                <w:szCs w:val="21"/>
              </w:rPr>
              <w:t>）</w:t>
            </w:r>
            <w:r>
              <w:rPr>
                <w:rFonts w:hint="eastAsia" w:ascii="宋体" w:hAnsi="宋体"/>
              </w:rPr>
              <w:t>□</w:t>
            </w:r>
          </w:p>
          <w:p>
            <w:pPr>
              <w:adjustRightInd w:val="0"/>
              <w:snapToGrid w:val="0"/>
              <w:jc w:val="left"/>
            </w:pPr>
            <w:r>
              <w:rPr>
                <w:rFonts w:hint="eastAsia" w:ascii="宋体" w:hAnsi="宋体"/>
              </w:rPr>
              <w:t>不达标结论：</w:t>
            </w:r>
            <w:r>
              <w:rPr>
                <w:rFonts w:ascii="宋体" w:hAnsi="宋体"/>
              </w:rPr>
              <w:t>a</w:t>
            </w:r>
            <w:r>
              <w:rPr>
                <w:rFonts w:hint="eastAsia" w:ascii="宋体" w:hAnsi="宋体"/>
              </w:rPr>
              <w:t>）□；</w:t>
            </w:r>
            <w:r>
              <w:rPr>
                <w:rFonts w:ascii="宋体" w:hAnsi="宋体"/>
              </w:rPr>
              <w:t>b</w:t>
            </w:r>
            <w:r>
              <w:rPr>
                <w:rFonts w:hint="eastAsia" w:ascii="宋体" w:hAnsi="宋体"/>
              </w:rPr>
              <w:t>）□</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防治措施</w:t>
            </w: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防控措施</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000000"/>
                <w:szCs w:val="21"/>
              </w:rPr>
            </w:pPr>
            <w:r>
              <w:rPr>
                <w:rFonts w:hint="eastAsia"/>
                <w:color w:val="000000"/>
                <w:szCs w:val="21"/>
              </w:rPr>
              <w:t>土壤环境质量现状保障</w:t>
            </w:r>
            <w:r>
              <w:rPr>
                <w:rFonts w:hint="eastAsia"/>
              </w:rPr>
              <w:t>□</w:t>
            </w:r>
            <w:r>
              <w:rPr>
                <w:rFonts w:hint="eastAsia"/>
                <w:color w:val="000000"/>
                <w:szCs w:val="21"/>
              </w:rPr>
              <w:t>；源头控制</w:t>
            </w:r>
            <w:r>
              <w:rPr/>
              <w:sym w:font="Wingdings 2" w:char="0052"/>
            </w:r>
            <w:r>
              <w:rPr>
                <w:rFonts w:hint="eastAsia"/>
                <w:color w:val="000000"/>
                <w:szCs w:val="21"/>
              </w:rPr>
              <w:t>；过程防控</w:t>
            </w:r>
            <w:r>
              <w:rPr/>
              <w:sym w:font="Wingdings 2" w:char="0052"/>
            </w:r>
            <w:r>
              <w:rPr>
                <w:rFonts w:hint="eastAsia"/>
                <w:color w:val="000000"/>
                <w:szCs w:val="21"/>
              </w:rPr>
              <w:t>；其他（）</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跟踪监测</w:t>
            </w:r>
          </w:p>
        </w:tc>
        <w:tc>
          <w:tcPr>
            <w:tcW w:w="102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监测点数</w:t>
            </w:r>
          </w:p>
        </w:tc>
        <w:tc>
          <w:tcPr>
            <w:tcW w:w="96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监测指标</w:t>
            </w:r>
          </w:p>
        </w:tc>
        <w:tc>
          <w:tcPr>
            <w:tcW w:w="137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监测频次</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1026"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967"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137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Cs w:val="21"/>
              </w:rPr>
            </w:pPr>
          </w:p>
        </w:tc>
        <w:tc>
          <w:tcPr>
            <w:tcW w:w="8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信息公开指标</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11"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评价结论</w:t>
            </w:r>
          </w:p>
        </w:tc>
        <w:tc>
          <w:tcPr>
            <w:tcW w:w="3367" w:type="pct"/>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站区对土壤环境质量影响可以接受</w:t>
            </w:r>
          </w:p>
        </w:tc>
        <w:tc>
          <w:tcPr>
            <w:tcW w:w="5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00" w:type="pct"/>
            <w:gridSpan w:val="9"/>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szCs w:val="21"/>
              </w:rPr>
            </w:pPr>
            <w:r>
              <w:rPr>
                <w:rFonts w:hint="eastAsia"/>
                <w:szCs w:val="21"/>
              </w:rPr>
              <w:t>注</w:t>
            </w:r>
            <w:r>
              <w:rPr>
                <w:szCs w:val="21"/>
              </w:rPr>
              <w:t>1</w:t>
            </w:r>
            <w:r>
              <w:rPr>
                <w:rFonts w:hint="eastAsia"/>
                <w:szCs w:val="21"/>
              </w:rPr>
              <w:t>：“□”为勾选项，可√；“（</w:t>
            </w:r>
            <w:r>
              <w:rPr>
                <w:szCs w:val="21"/>
              </w:rPr>
              <w:t xml:space="preserve"> </w:t>
            </w:r>
            <w:r>
              <w:rPr>
                <w:rFonts w:hint="eastAsia"/>
                <w:szCs w:val="21"/>
              </w:rPr>
              <w:t>）”为内容填写项；“备注”为其他补充内容。</w:t>
            </w:r>
          </w:p>
          <w:p>
            <w:pPr>
              <w:pStyle w:val="6"/>
              <w:ind w:firstLine="400"/>
            </w:pPr>
            <w:r>
              <w:rPr>
                <w:rFonts w:hint="eastAsia"/>
                <w:sz w:val="21"/>
                <w:szCs w:val="21"/>
              </w:rPr>
              <w:t>注</w:t>
            </w:r>
            <w:r>
              <w:rPr>
                <w:sz w:val="21"/>
                <w:szCs w:val="21"/>
              </w:rPr>
              <w:t xml:space="preserve"> 2</w:t>
            </w:r>
            <w:r>
              <w:rPr>
                <w:rFonts w:hint="eastAsia"/>
                <w:sz w:val="21"/>
                <w:szCs w:val="21"/>
              </w:rPr>
              <w:t>：需要分别开展土壤环境影响评级工作的，分别填写自查表。</w:t>
            </w:r>
          </w:p>
        </w:tc>
      </w:tr>
    </w:tbl>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hint="eastAsia"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sectPr>
          <w:pgSz w:w="11906" w:h="16838"/>
          <w:pgMar w:top="1418" w:right="1531" w:bottom="1418" w:left="1531" w:header="851" w:footer="992" w:gutter="0"/>
          <w:cols w:space="425" w:num="1"/>
          <w:docGrid w:type="linesAndChars" w:linePitch="312" w:charSpace="0"/>
        </w:sectPr>
      </w:pPr>
    </w:p>
    <w:p>
      <w:pPr>
        <w:spacing w:line="720" w:lineRule="auto"/>
        <w:jc w:val="center"/>
        <w:outlineLvl w:val="0"/>
        <w:rPr>
          <w:rFonts w:hAnsi="黑体" w:eastAsia="黑体"/>
          <w:b/>
          <w:bCs/>
          <w:sz w:val="44"/>
          <w:szCs w:val="44"/>
        </w:rPr>
      </w:pPr>
      <w:bookmarkStart w:id="108" w:name="_Toc19105467"/>
      <w:r>
        <w:rPr>
          <w:rFonts w:hint="eastAsia" w:hAnsi="黑体" w:eastAsia="黑体"/>
          <w:b/>
          <w:bCs/>
          <w:sz w:val="44"/>
          <w:szCs w:val="44"/>
        </w:rPr>
        <w:t>6 环境风险评价</w:t>
      </w:r>
      <w:bookmarkEnd w:id="108"/>
    </w:p>
    <w:p>
      <w:pPr>
        <w:pStyle w:val="2"/>
        <w:spacing w:before="156" w:beforeLines="50" w:after="0" w:line="480" w:lineRule="exact"/>
        <w:rPr>
          <w:rFonts w:ascii="Times New Roman" w:hAnsi="Times New Roman"/>
          <w:bCs w:val="0"/>
          <w:spacing w:val="4"/>
          <w:sz w:val="28"/>
          <w:szCs w:val="28"/>
        </w:rPr>
      </w:pPr>
      <w:bookmarkStart w:id="109" w:name="_Toc19105468"/>
      <w:r>
        <w:rPr>
          <w:rFonts w:hint="eastAsia" w:ascii="Times New Roman" w:hAnsi="Times New Roman"/>
          <w:bCs w:val="0"/>
          <w:spacing w:val="4"/>
          <w:sz w:val="28"/>
          <w:szCs w:val="28"/>
        </w:rPr>
        <w:t>6.1风险调查</w:t>
      </w:r>
      <w:bookmarkEnd w:id="109"/>
    </w:p>
    <w:p>
      <w:pPr>
        <w:pStyle w:val="3"/>
        <w:spacing w:before="0" w:after="0" w:line="480" w:lineRule="exact"/>
        <w:rPr>
          <w:sz w:val="24"/>
          <w:szCs w:val="24"/>
        </w:rPr>
      </w:pPr>
      <w:r>
        <w:rPr>
          <w:sz w:val="24"/>
          <w:szCs w:val="24"/>
        </w:rPr>
        <w:t>6.1.1</w:t>
      </w:r>
      <w:r>
        <w:rPr>
          <w:rFonts w:hint="eastAsia"/>
          <w:sz w:val="24"/>
          <w:szCs w:val="24"/>
        </w:rPr>
        <w:t>建设项目风险源调查</w:t>
      </w:r>
    </w:p>
    <w:p>
      <w:pPr>
        <w:spacing w:line="480" w:lineRule="exact"/>
        <w:ind w:firstLine="480" w:firstLineChars="200"/>
        <w:rPr>
          <w:rFonts w:hAnsi="宋体"/>
          <w:bCs/>
          <w:sz w:val="24"/>
          <w:szCs w:val="24"/>
        </w:rPr>
      </w:pPr>
      <w:r>
        <w:rPr>
          <w:rFonts w:hint="eastAsia" w:hAnsi="宋体"/>
          <w:bCs/>
          <w:sz w:val="24"/>
          <w:szCs w:val="24"/>
        </w:rPr>
        <w:t>调查建设项目危险物质数量和分布情况、生产工艺特点，收集危险物质安全技术说明书（M</w:t>
      </w:r>
      <w:r>
        <w:rPr>
          <w:rFonts w:hAnsi="宋体"/>
          <w:bCs/>
          <w:sz w:val="24"/>
          <w:szCs w:val="24"/>
        </w:rPr>
        <w:t>SDS</w:t>
      </w:r>
      <w:r>
        <w:rPr>
          <w:rFonts w:hint="eastAsia" w:hAnsi="宋体"/>
          <w:bCs/>
          <w:sz w:val="24"/>
          <w:szCs w:val="24"/>
        </w:rPr>
        <w:t>）等基础资料。</w:t>
      </w:r>
    </w:p>
    <w:p>
      <w:pPr>
        <w:spacing w:line="480" w:lineRule="exact"/>
        <w:ind w:firstLine="480" w:firstLineChars="200"/>
        <w:rPr>
          <w:rFonts w:hAnsi="宋体"/>
          <w:bCs/>
          <w:sz w:val="24"/>
          <w:szCs w:val="24"/>
        </w:rPr>
      </w:pPr>
      <w:bookmarkStart w:id="110" w:name="_Hlk9002119"/>
      <w:r>
        <w:rPr>
          <w:rFonts w:hint="eastAsia" w:hAnsi="宋体"/>
          <w:bCs/>
          <w:sz w:val="24"/>
          <w:szCs w:val="24"/>
        </w:rPr>
        <w:t>本</w:t>
      </w:r>
      <w:bookmarkStart w:id="111" w:name="_Hlk8918327"/>
      <w:r>
        <w:rPr>
          <w:rFonts w:hint="eastAsia" w:hAnsi="宋体"/>
          <w:bCs/>
          <w:sz w:val="24"/>
          <w:szCs w:val="24"/>
        </w:rPr>
        <w:t>项目厂区内共设1个</w:t>
      </w:r>
      <w:r>
        <w:rPr>
          <w:rFonts w:hAnsi="宋体"/>
          <w:bCs/>
          <w:sz w:val="24"/>
          <w:szCs w:val="24"/>
        </w:rPr>
        <w:t>20</w:t>
      </w:r>
      <w:r>
        <w:rPr>
          <w:rFonts w:hint="eastAsia" w:hAnsi="宋体"/>
          <w:bCs/>
          <w:sz w:val="24"/>
          <w:szCs w:val="24"/>
        </w:rPr>
        <w:t>m</w:t>
      </w:r>
      <w:r>
        <w:rPr>
          <w:rFonts w:hAnsi="宋体"/>
          <w:bCs/>
          <w:sz w:val="24"/>
          <w:szCs w:val="24"/>
          <w:vertAlign w:val="superscript"/>
        </w:rPr>
        <w:t>3</w:t>
      </w:r>
      <w:r>
        <w:rPr>
          <w:rFonts w:hint="eastAsia" w:hAnsi="宋体"/>
          <w:bCs/>
          <w:sz w:val="24"/>
          <w:szCs w:val="24"/>
        </w:rPr>
        <w:t>液化天然气储罐，天然气属危险物质。</w:t>
      </w:r>
      <w:bookmarkEnd w:id="111"/>
    </w:p>
    <w:p>
      <w:pPr>
        <w:spacing w:line="480" w:lineRule="exact"/>
        <w:ind w:firstLine="480" w:firstLineChars="200"/>
        <w:rPr>
          <w:rFonts w:hAnsi="宋体"/>
          <w:bCs/>
          <w:sz w:val="24"/>
          <w:szCs w:val="24"/>
        </w:rPr>
      </w:pPr>
      <w:r>
        <w:rPr>
          <w:rFonts w:hint="eastAsia" w:hAnsi="宋体"/>
          <w:bCs/>
          <w:sz w:val="24"/>
          <w:szCs w:val="24"/>
        </w:rPr>
        <w:t>污染物中危险物质的数量、分布情况及理化性质见下表。</w:t>
      </w:r>
    </w:p>
    <w:p>
      <w:pPr>
        <w:spacing w:line="480" w:lineRule="exact"/>
        <w:jc w:val="center"/>
        <w:rPr>
          <w:rFonts w:ascii="黑体" w:hAnsi="黑体" w:eastAsia="黑体"/>
          <w:bCs/>
          <w:sz w:val="24"/>
          <w:szCs w:val="24"/>
        </w:rPr>
      </w:pPr>
      <w:r>
        <w:rPr>
          <w:rFonts w:hint="eastAsia" w:ascii="黑体" w:hAnsi="黑体" w:eastAsia="黑体"/>
          <w:bCs/>
          <w:sz w:val="24"/>
          <w:szCs w:val="24"/>
        </w:rPr>
        <w:t>表6</w:t>
      </w:r>
      <w:r>
        <w:rPr>
          <w:rFonts w:ascii="黑体" w:hAnsi="黑体" w:eastAsia="黑体"/>
          <w:bCs/>
          <w:sz w:val="24"/>
          <w:szCs w:val="24"/>
        </w:rPr>
        <w:t xml:space="preserve">.1-1 </w:t>
      </w:r>
      <w:r>
        <w:rPr>
          <w:rFonts w:hint="eastAsia" w:ascii="黑体" w:hAnsi="黑体" w:eastAsia="黑体"/>
          <w:bCs/>
          <w:sz w:val="24"/>
          <w:szCs w:val="24"/>
        </w:rPr>
        <w:t>本项目原辅材料、产品及污染物的数量、分布情况及理化性质表</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64"/>
        <w:gridCol w:w="855"/>
        <w:gridCol w:w="1285"/>
        <w:gridCol w:w="1448"/>
        <w:gridCol w:w="450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32" w:type="pct"/>
            <w:vAlign w:val="center"/>
          </w:tcPr>
          <w:p>
            <w:pPr>
              <w:jc w:val="center"/>
              <w:rPr>
                <w:rFonts w:hAnsi="宋体"/>
                <w:bCs/>
                <w:szCs w:val="21"/>
              </w:rPr>
            </w:pPr>
            <w:r>
              <w:rPr>
                <w:rFonts w:hint="eastAsia" w:hAnsi="宋体"/>
                <w:bCs/>
                <w:szCs w:val="21"/>
              </w:rPr>
              <w:t>分类</w:t>
            </w:r>
          </w:p>
        </w:tc>
        <w:tc>
          <w:tcPr>
            <w:tcW w:w="472" w:type="pct"/>
            <w:vAlign w:val="center"/>
          </w:tcPr>
          <w:p>
            <w:pPr>
              <w:jc w:val="center"/>
              <w:rPr>
                <w:rFonts w:hAnsi="宋体"/>
                <w:bCs/>
                <w:szCs w:val="21"/>
              </w:rPr>
            </w:pPr>
            <w:r>
              <w:rPr>
                <w:rFonts w:hint="eastAsia" w:hAnsi="宋体"/>
                <w:bCs/>
                <w:szCs w:val="21"/>
              </w:rPr>
              <w:t>名称</w:t>
            </w:r>
          </w:p>
        </w:tc>
        <w:tc>
          <w:tcPr>
            <w:tcW w:w="709" w:type="pct"/>
            <w:vAlign w:val="center"/>
          </w:tcPr>
          <w:p>
            <w:pPr>
              <w:jc w:val="center"/>
              <w:rPr>
                <w:rFonts w:hAnsi="宋体"/>
                <w:bCs/>
                <w:szCs w:val="21"/>
              </w:rPr>
            </w:pPr>
            <w:r>
              <w:rPr>
                <w:rFonts w:hint="eastAsia" w:hAnsi="宋体"/>
                <w:bCs/>
                <w:szCs w:val="21"/>
              </w:rPr>
              <w:t>分布情况</w:t>
            </w:r>
          </w:p>
        </w:tc>
        <w:tc>
          <w:tcPr>
            <w:tcW w:w="799" w:type="pct"/>
            <w:vAlign w:val="center"/>
          </w:tcPr>
          <w:p>
            <w:pPr>
              <w:jc w:val="center"/>
              <w:rPr>
                <w:rFonts w:hAnsi="宋体"/>
                <w:bCs/>
                <w:szCs w:val="21"/>
              </w:rPr>
            </w:pPr>
            <w:r>
              <w:rPr>
                <w:rFonts w:hint="eastAsia" w:hAnsi="宋体"/>
                <w:bCs/>
                <w:szCs w:val="21"/>
              </w:rPr>
              <w:t>最大存在量t</w:t>
            </w:r>
          </w:p>
        </w:tc>
        <w:tc>
          <w:tcPr>
            <w:tcW w:w="2488" w:type="pct"/>
            <w:vAlign w:val="center"/>
          </w:tcPr>
          <w:p>
            <w:pPr>
              <w:jc w:val="center"/>
              <w:rPr>
                <w:rFonts w:hAnsi="宋体"/>
                <w:bCs/>
                <w:szCs w:val="21"/>
              </w:rPr>
            </w:pPr>
            <w:r>
              <w:rPr>
                <w:rFonts w:hint="eastAsia" w:hAnsi="宋体"/>
                <w:bCs/>
                <w:szCs w:val="21"/>
              </w:rPr>
              <w:t>理化性质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32" w:type="pct"/>
            <w:vAlign w:val="center"/>
          </w:tcPr>
          <w:p>
            <w:pPr>
              <w:jc w:val="center"/>
              <w:rPr>
                <w:rFonts w:hAnsi="宋体"/>
                <w:bCs/>
                <w:szCs w:val="21"/>
              </w:rPr>
            </w:pPr>
            <w:r>
              <w:rPr>
                <w:rFonts w:hint="eastAsia" w:hAnsi="宋体"/>
                <w:bCs/>
                <w:szCs w:val="21"/>
              </w:rPr>
              <w:t>液化天然气</w:t>
            </w:r>
          </w:p>
        </w:tc>
        <w:tc>
          <w:tcPr>
            <w:tcW w:w="472" w:type="pct"/>
            <w:vAlign w:val="center"/>
          </w:tcPr>
          <w:p>
            <w:pPr>
              <w:jc w:val="center"/>
              <w:rPr>
                <w:rFonts w:hAnsi="宋体"/>
                <w:bCs/>
                <w:szCs w:val="21"/>
              </w:rPr>
            </w:pPr>
            <w:r>
              <w:rPr>
                <w:rFonts w:hint="eastAsia" w:hAnsi="宋体"/>
                <w:bCs/>
                <w:szCs w:val="21"/>
              </w:rPr>
              <w:t>甲烷</w:t>
            </w:r>
          </w:p>
        </w:tc>
        <w:tc>
          <w:tcPr>
            <w:tcW w:w="709" w:type="pct"/>
            <w:vAlign w:val="center"/>
          </w:tcPr>
          <w:p>
            <w:pPr>
              <w:jc w:val="center"/>
              <w:rPr>
                <w:rFonts w:hAnsi="宋体"/>
                <w:bCs/>
                <w:szCs w:val="21"/>
              </w:rPr>
            </w:pPr>
            <w:r>
              <w:rPr>
                <w:rFonts w:hint="eastAsia" w:hAnsi="宋体"/>
                <w:bCs/>
                <w:szCs w:val="21"/>
              </w:rPr>
              <w:t>1个</w:t>
            </w:r>
            <w:r>
              <w:rPr>
                <w:rFonts w:hAnsi="宋体"/>
                <w:bCs/>
                <w:szCs w:val="21"/>
              </w:rPr>
              <w:t>20m</w:t>
            </w:r>
            <w:r>
              <w:rPr>
                <w:rFonts w:hAnsi="宋体"/>
                <w:bCs/>
                <w:szCs w:val="21"/>
                <w:vertAlign w:val="superscript"/>
              </w:rPr>
              <w:t>3</w:t>
            </w:r>
            <w:r>
              <w:rPr>
                <w:rFonts w:hAnsi="宋体"/>
                <w:bCs/>
                <w:szCs w:val="21"/>
              </w:rPr>
              <w:t>液化</w:t>
            </w:r>
            <w:r>
              <w:rPr>
                <w:rFonts w:hint="eastAsia" w:hAnsi="宋体"/>
                <w:bCs/>
                <w:szCs w:val="21"/>
              </w:rPr>
              <w:t>天然气储罐</w:t>
            </w:r>
          </w:p>
        </w:tc>
        <w:tc>
          <w:tcPr>
            <w:tcW w:w="799" w:type="pct"/>
            <w:vAlign w:val="center"/>
          </w:tcPr>
          <w:p>
            <w:pPr>
              <w:jc w:val="center"/>
              <w:rPr>
                <w:rFonts w:eastAsia="等线"/>
                <w:color w:val="000000"/>
                <w:szCs w:val="21"/>
              </w:rPr>
            </w:pPr>
            <w:r>
              <w:rPr>
                <w:rFonts w:hint="eastAsia" w:eastAsia="等线"/>
                <w:color w:val="000000"/>
                <w:szCs w:val="21"/>
              </w:rPr>
              <w:t>8</w:t>
            </w:r>
            <w:r>
              <w:rPr>
                <w:rFonts w:eastAsia="等线"/>
                <w:color w:val="000000"/>
                <w:szCs w:val="21"/>
              </w:rPr>
              <w:t>.1</w:t>
            </w:r>
          </w:p>
        </w:tc>
        <w:tc>
          <w:tcPr>
            <w:tcW w:w="2488" w:type="pct"/>
            <w:vAlign w:val="center"/>
          </w:tcPr>
          <w:p>
            <w:pPr>
              <w:jc w:val="center"/>
              <w:rPr>
                <w:rFonts w:hAnsi="宋体"/>
                <w:bCs/>
                <w:szCs w:val="21"/>
              </w:rPr>
            </w:pPr>
            <w:r>
              <w:rPr>
                <w:rFonts w:hAnsi="宋体"/>
                <w:bCs/>
                <w:szCs w:val="21"/>
              </w:rPr>
              <w:t>主要成分是甲烷。LNG无色、无味、无毒且无腐蚀性</w:t>
            </w:r>
          </w:p>
        </w:tc>
      </w:tr>
      <w:bookmarkEnd w:id="110"/>
    </w:tbl>
    <w:p>
      <w:pPr>
        <w:pStyle w:val="3"/>
        <w:spacing w:before="0" w:after="0" w:line="480" w:lineRule="exact"/>
        <w:rPr>
          <w:sz w:val="24"/>
          <w:szCs w:val="24"/>
        </w:rPr>
      </w:pPr>
      <w:r>
        <w:rPr>
          <w:sz w:val="24"/>
          <w:szCs w:val="24"/>
        </w:rPr>
        <w:t>6.1.2</w:t>
      </w:r>
      <w:r>
        <w:rPr>
          <w:rFonts w:hint="eastAsia"/>
          <w:sz w:val="24"/>
          <w:szCs w:val="24"/>
        </w:rPr>
        <w:t>环境敏感目标调查</w:t>
      </w:r>
    </w:p>
    <w:p>
      <w:pPr>
        <w:spacing w:line="480" w:lineRule="exact"/>
        <w:ind w:firstLine="480" w:firstLineChars="200"/>
        <w:rPr>
          <w:rFonts w:hAnsi="宋体"/>
          <w:bCs/>
          <w:sz w:val="24"/>
          <w:szCs w:val="24"/>
        </w:rPr>
      </w:pPr>
      <w:r>
        <w:rPr>
          <w:rFonts w:hint="eastAsia" w:hAnsi="宋体"/>
          <w:bCs/>
          <w:sz w:val="24"/>
          <w:szCs w:val="24"/>
        </w:rPr>
        <w:t>根据危险物质可能的影响途径，明确环境敏感目标。</w:t>
      </w:r>
    </w:p>
    <w:p>
      <w:pPr>
        <w:spacing w:line="480" w:lineRule="exact"/>
        <w:ind w:firstLine="480" w:firstLineChars="200"/>
        <w:rPr>
          <w:rFonts w:hAnsi="宋体"/>
          <w:bCs/>
          <w:sz w:val="24"/>
          <w:szCs w:val="24"/>
        </w:rPr>
      </w:pPr>
      <w:r>
        <w:rPr>
          <w:rFonts w:hint="eastAsia" w:hAnsi="宋体"/>
          <w:bCs/>
          <w:sz w:val="24"/>
          <w:szCs w:val="24"/>
        </w:rPr>
        <w:t>本项目危险物质为液化天然气泄漏导致大气中甲烷气体浓度升高并可能发生爆炸、火灾等次生事故。</w:t>
      </w:r>
    </w:p>
    <w:p>
      <w:pPr>
        <w:spacing w:line="480" w:lineRule="exact"/>
        <w:ind w:firstLine="480" w:firstLineChars="200"/>
        <w:rPr>
          <w:rFonts w:hAnsi="宋体"/>
          <w:bCs/>
          <w:sz w:val="24"/>
          <w:szCs w:val="24"/>
        </w:rPr>
      </w:pPr>
      <w:r>
        <w:rPr>
          <w:rFonts w:hint="eastAsia" w:hAnsi="宋体"/>
          <w:bCs/>
          <w:sz w:val="24"/>
          <w:szCs w:val="24"/>
        </w:rPr>
        <w:t>本项目环境敏感目标见表6</w:t>
      </w:r>
      <w:r>
        <w:rPr>
          <w:rFonts w:hAnsi="宋体"/>
          <w:bCs/>
          <w:sz w:val="24"/>
          <w:szCs w:val="24"/>
        </w:rPr>
        <w:t>.1-2</w:t>
      </w:r>
      <w:r>
        <w:rPr>
          <w:rFonts w:hint="eastAsia" w:hAnsi="宋体"/>
          <w:bCs/>
          <w:sz w:val="24"/>
          <w:szCs w:val="24"/>
        </w:rPr>
        <w:t>。</w:t>
      </w:r>
    </w:p>
    <w:p>
      <w:pPr>
        <w:spacing w:line="480" w:lineRule="exact"/>
        <w:jc w:val="center"/>
        <w:rPr>
          <w:rFonts w:ascii="黑体" w:hAnsi="黑体" w:eastAsia="黑体"/>
          <w:bCs/>
          <w:sz w:val="24"/>
          <w:szCs w:val="24"/>
        </w:rPr>
      </w:pPr>
      <w:r>
        <w:rPr>
          <w:rFonts w:hint="eastAsia" w:ascii="黑体" w:hAnsi="黑体" w:eastAsia="黑体"/>
          <w:bCs/>
          <w:sz w:val="24"/>
          <w:szCs w:val="24"/>
        </w:rPr>
        <w:t>表6</w:t>
      </w:r>
      <w:r>
        <w:rPr>
          <w:rFonts w:ascii="黑体" w:hAnsi="黑体" w:eastAsia="黑体"/>
          <w:bCs/>
          <w:sz w:val="24"/>
          <w:szCs w:val="24"/>
        </w:rPr>
        <w:t xml:space="preserve">.1-2  </w:t>
      </w:r>
      <w:r>
        <w:rPr>
          <w:rFonts w:hint="eastAsia" w:ascii="黑体" w:hAnsi="黑体" w:eastAsia="黑体"/>
          <w:bCs/>
          <w:sz w:val="24"/>
          <w:szCs w:val="24"/>
        </w:rPr>
        <w:t>本项目环境敏感目标分布表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1002"/>
        <w:gridCol w:w="864"/>
        <w:gridCol w:w="1158"/>
        <w:gridCol w:w="969"/>
        <w:gridCol w:w="1861"/>
        <w:gridCol w:w="748"/>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名称</w:t>
            </w:r>
          </w:p>
        </w:tc>
        <w:tc>
          <w:tcPr>
            <w:tcW w:w="1030" w:type="pct"/>
            <w:gridSpan w:val="2"/>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坐标</w:t>
            </w:r>
            <w:r>
              <w:rPr>
                <w:b/>
                <w:kern w:val="0"/>
                <w:szCs w:val="21"/>
              </w:rPr>
              <w:t>/m</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 w:val="24"/>
              </w:rPr>
            </w:pPr>
            <w:r>
              <w:rPr>
                <w:rFonts w:hint="eastAsia"/>
                <w:b/>
                <w:kern w:val="0"/>
                <w:sz w:val="24"/>
              </w:rPr>
              <w:t>人口</w:t>
            </w:r>
          </w:p>
          <w:p>
            <w:pPr>
              <w:jc w:val="center"/>
              <w:rPr>
                <w:b/>
                <w:kern w:val="0"/>
                <w:szCs w:val="21"/>
              </w:rPr>
            </w:pPr>
            <w:r>
              <w:rPr>
                <w:rFonts w:hint="eastAsia"/>
                <w:b/>
                <w:kern w:val="0"/>
                <w:sz w:val="24"/>
              </w:rPr>
              <w:t>数量</w:t>
            </w:r>
            <w:r>
              <w:rPr>
                <w:b/>
                <w:kern w:val="0"/>
                <w:sz w:val="24"/>
              </w:rPr>
              <w:t>/</w:t>
            </w:r>
            <w:r>
              <w:rPr>
                <w:rFonts w:hint="eastAsia"/>
                <w:b/>
                <w:kern w:val="0"/>
                <w:sz w:val="24"/>
              </w:rPr>
              <w:t>口</w:t>
            </w:r>
          </w:p>
        </w:tc>
        <w:tc>
          <w:tcPr>
            <w:tcW w:w="535"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保护</w:t>
            </w:r>
          </w:p>
          <w:p>
            <w:pPr>
              <w:jc w:val="center"/>
              <w:rPr>
                <w:b/>
                <w:kern w:val="0"/>
                <w:szCs w:val="21"/>
              </w:rPr>
            </w:pPr>
            <w:r>
              <w:rPr>
                <w:rFonts w:hint="eastAsia"/>
                <w:b/>
                <w:kern w:val="0"/>
                <w:szCs w:val="21"/>
              </w:rPr>
              <w:t>对象</w:t>
            </w:r>
          </w:p>
        </w:tc>
        <w:tc>
          <w:tcPr>
            <w:tcW w:w="1027"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环境功能区划</w:t>
            </w:r>
          </w:p>
        </w:tc>
        <w:tc>
          <w:tcPr>
            <w:tcW w:w="413"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相对厂址方位</w:t>
            </w:r>
          </w:p>
        </w:tc>
        <w:tc>
          <w:tcPr>
            <w:tcW w:w="581"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b/>
                <w:kern w:val="0"/>
                <w:szCs w:val="21"/>
              </w:rPr>
              <w:t>相对厂界距离</w:t>
            </w:r>
            <w:r>
              <w:rPr>
                <w:b/>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b/>
                <w:kern w:val="0"/>
                <w:szCs w:val="21"/>
              </w:rPr>
              <w:t>x</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b/>
                <w:kern w:val="0"/>
                <w:szCs w:val="21"/>
              </w:rPr>
              <w:t>y</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柏草坡村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757</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7</w:t>
            </w:r>
            <w:r>
              <w:rPr>
                <w:szCs w:val="21"/>
              </w:rPr>
              <w:t>74</w:t>
            </w:r>
          </w:p>
        </w:tc>
        <w:tc>
          <w:tcPr>
            <w:tcW w:w="639"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rFonts w:hint="eastAsia"/>
                <w:szCs w:val="21"/>
              </w:rPr>
              <w:t>8</w:t>
            </w:r>
            <w:r>
              <w:rPr>
                <w:szCs w:val="21"/>
              </w:rPr>
              <w:t>07</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1027" w:type="pct"/>
            <w:vMerge w:val="restart"/>
            <w:tcBorders>
              <w:top w:val="single" w:color="auto" w:sz="4" w:space="0"/>
              <w:left w:val="single" w:color="auto" w:sz="4" w:space="0"/>
              <w:bottom w:val="single" w:color="auto" w:sz="4" w:space="0"/>
              <w:right w:val="single" w:color="auto" w:sz="4" w:space="0"/>
            </w:tcBorders>
            <w:vAlign w:val="center"/>
          </w:tcPr>
          <w:p>
            <w:pPr>
              <w:jc w:val="center"/>
              <w:rPr>
                <w:b/>
                <w:kern w:val="0"/>
                <w:szCs w:val="21"/>
              </w:rPr>
            </w:pPr>
            <w:r>
              <w:rPr>
                <w:rFonts w:hint="eastAsia"/>
                <w:kern w:val="0"/>
                <w:szCs w:val="21"/>
              </w:rPr>
              <w:t>《环境空气质量标准》（</w:t>
            </w:r>
            <w:r>
              <w:rPr>
                <w:kern w:val="0"/>
                <w:szCs w:val="21"/>
              </w:rPr>
              <w:t>GB3095-2012</w:t>
            </w:r>
            <w:r>
              <w:rPr>
                <w:rFonts w:hint="eastAsia"/>
                <w:kern w:val="0"/>
                <w:szCs w:val="21"/>
              </w:rPr>
              <w:t>）中二类</w:t>
            </w: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N</w:t>
            </w:r>
            <w:r>
              <w:rPr>
                <w:szCs w:val="21"/>
              </w:rPr>
              <w:t>W</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张家坡村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41</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237</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5</w:t>
            </w:r>
            <w:r>
              <w:rPr>
                <w:szCs w:val="21"/>
              </w:rPr>
              <w:t>00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N</w:t>
            </w:r>
            <w:r>
              <w:rPr>
                <w:szCs w:val="21"/>
              </w:rPr>
              <w:t>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水泉村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10</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06</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000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N</w:t>
            </w:r>
            <w:r>
              <w:rPr>
                <w:szCs w:val="21"/>
              </w:rPr>
              <w:t>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田褚村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365</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19</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00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崖头寸</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069</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283</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40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李家沟村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100</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315</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87</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梁家沟村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241</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291</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6</w:t>
            </w:r>
            <w:r>
              <w:rPr>
                <w:szCs w:val="21"/>
              </w:rPr>
              <w:t>30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赵家街村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069</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307</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70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峪口村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r>
              <w:rPr>
                <w:szCs w:val="21"/>
              </w:rPr>
              <w:t>000</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718</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6</w:t>
            </w:r>
            <w:r>
              <w:rPr>
                <w:szCs w:val="21"/>
              </w:rPr>
              <w:t>00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刘村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433</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1109</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077</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肃静村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167</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1201</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r>
              <w:rPr>
                <w:szCs w:val="21"/>
              </w:rPr>
              <w:t>58</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SE</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圪垛村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35</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690</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110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szCs w:val="21"/>
              </w:rPr>
              <w:t>S</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8</w:t>
            </w: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下张家庄村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1252</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1523</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7</w:t>
            </w:r>
            <w:r>
              <w:rPr>
                <w:szCs w:val="21"/>
              </w:rPr>
              <w:t>86</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S</w:t>
            </w:r>
            <w:r>
              <w:rPr>
                <w:szCs w:val="21"/>
              </w:rPr>
              <w:t>W</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上张家庄村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2177</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1057</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4</w:t>
            </w:r>
            <w:r>
              <w:rPr>
                <w:szCs w:val="21"/>
              </w:rPr>
              <w:t>80</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S</w:t>
            </w:r>
            <w:r>
              <w:rPr>
                <w:szCs w:val="21"/>
              </w:rPr>
              <w:t>W</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2</w:t>
            </w:r>
            <w:r>
              <w:rPr>
                <w:szCs w:val="21"/>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姜垣村</w:t>
            </w:r>
          </w:p>
        </w:tc>
        <w:tc>
          <w:tcPr>
            <w:tcW w:w="55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1552</w:t>
            </w:r>
          </w:p>
        </w:tc>
        <w:tc>
          <w:tcPr>
            <w:tcW w:w="47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r>
              <w:rPr>
                <w:szCs w:val="21"/>
              </w:rPr>
              <w:t>267</w:t>
            </w:r>
          </w:p>
        </w:tc>
        <w:tc>
          <w:tcPr>
            <w:tcW w:w="63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6</w:t>
            </w:r>
            <w:r>
              <w:rPr>
                <w:szCs w:val="21"/>
              </w:rPr>
              <w:t>52</w:t>
            </w:r>
          </w:p>
        </w:tc>
        <w:tc>
          <w:tcPr>
            <w:tcW w:w="53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居民</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b/>
                <w:kern w:val="0"/>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W</w:t>
            </w:r>
          </w:p>
        </w:tc>
        <w:tc>
          <w:tcPr>
            <w:tcW w:w="581" w:type="pct"/>
            <w:tcBorders>
              <w:top w:val="single" w:color="auto" w:sz="4" w:space="0"/>
              <w:left w:val="single" w:color="auto" w:sz="4" w:space="0"/>
              <w:bottom w:val="single" w:color="auto" w:sz="4" w:space="0"/>
              <w:right w:val="single" w:color="auto" w:sz="4" w:space="0"/>
            </w:tcBorders>
            <w:vAlign w:val="center"/>
          </w:tcPr>
          <w:p>
            <w:pPr>
              <w:tabs>
                <w:tab w:val="left" w:pos="0"/>
              </w:tabs>
              <w:jc w:val="center"/>
              <w:rPr>
                <w:szCs w:val="21"/>
              </w:rPr>
            </w:pPr>
            <w:r>
              <w:rPr>
                <w:rFonts w:hint="eastAsia"/>
                <w:szCs w:val="21"/>
              </w:rPr>
              <w:t>1</w:t>
            </w:r>
            <w:r>
              <w:rPr>
                <w:szCs w:val="21"/>
              </w:rPr>
              <w:t>400</w:t>
            </w:r>
          </w:p>
        </w:tc>
      </w:tr>
    </w:tbl>
    <w:p>
      <w:pPr>
        <w:pStyle w:val="2"/>
        <w:spacing w:before="156" w:beforeLines="50" w:after="0" w:line="480" w:lineRule="exact"/>
        <w:rPr>
          <w:sz w:val="28"/>
          <w:szCs w:val="28"/>
        </w:rPr>
      </w:pPr>
      <w:bookmarkStart w:id="112" w:name="_Toc19105469"/>
      <w:r>
        <w:rPr>
          <w:rFonts w:hint="eastAsia" w:ascii="Times New Roman" w:hAnsi="Times New Roman"/>
          <w:bCs w:val="0"/>
          <w:spacing w:val="4"/>
          <w:sz w:val="28"/>
          <w:szCs w:val="28"/>
        </w:rPr>
        <w:t>6.</w:t>
      </w:r>
      <w:r>
        <w:rPr>
          <w:rFonts w:ascii="Times New Roman" w:hAnsi="Times New Roman"/>
          <w:bCs w:val="0"/>
          <w:spacing w:val="4"/>
          <w:sz w:val="28"/>
          <w:szCs w:val="28"/>
        </w:rPr>
        <w:t>2</w:t>
      </w:r>
      <w:r>
        <w:rPr>
          <w:rFonts w:hint="eastAsia" w:ascii="Times New Roman" w:hAnsi="Times New Roman"/>
          <w:bCs w:val="0"/>
          <w:spacing w:val="4"/>
          <w:sz w:val="28"/>
          <w:szCs w:val="28"/>
        </w:rPr>
        <w:t>环境风险潜势初判</w:t>
      </w:r>
      <w:bookmarkEnd w:id="112"/>
    </w:p>
    <w:p>
      <w:pPr>
        <w:spacing w:line="480" w:lineRule="exact"/>
        <w:ind w:firstLine="480" w:firstLineChars="200"/>
        <w:rPr>
          <w:sz w:val="24"/>
          <w:szCs w:val="24"/>
        </w:rPr>
      </w:pPr>
      <w:r>
        <w:rPr>
          <w:sz w:val="24"/>
          <w:szCs w:val="24"/>
        </w:rPr>
        <w:t>建设项目环境风险潜势划分为Ⅰ、Ⅱ、Ⅲ、Ⅳ/Ⅳ</w:t>
      </w:r>
      <w:r>
        <w:rPr>
          <w:sz w:val="24"/>
          <w:szCs w:val="24"/>
          <w:vertAlign w:val="superscript"/>
        </w:rPr>
        <w:t>+</w:t>
      </w:r>
      <w:r>
        <w:rPr>
          <w:sz w:val="24"/>
          <w:szCs w:val="24"/>
        </w:rPr>
        <w:t>级。</w:t>
      </w:r>
      <w:r>
        <w:rPr>
          <w:rFonts w:hint="eastAsia"/>
          <w:sz w:val="24"/>
          <w:szCs w:val="24"/>
        </w:rPr>
        <w:t>根据建设项目涉及的物质和工艺系统的危险性及其所在地的环境敏感程度，结合事故情形下环境影响途径，对建设项目潜在环境危害程度进行概化分析，按下表确定环境风险潜势。</w:t>
      </w:r>
    </w:p>
    <w:p>
      <w:pPr>
        <w:spacing w:line="480" w:lineRule="exact"/>
        <w:jc w:val="center"/>
        <w:rPr>
          <w:rFonts w:ascii="黑体" w:hAnsi="黑体" w:eastAsia="黑体"/>
          <w:sz w:val="24"/>
          <w:szCs w:val="24"/>
        </w:rPr>
      </w:pPr>
      <w:r>
        <w:rPr>
          <w:rFonts w:hint="eastAsia" w:ascii="黑体" w:hAnsi="黑体" w:eastAsia="黑体"/>
          <w:sz w:val="24"/>
          <w:szCs w:val="24"/>
        </w:rPr>
        <w:t>表6</w:t>
      </w:r>
      <w:r>
        <w:rPr>
          <w:rFonts w:ascii="黑体" w:hAnsi="黑体" w:eastAsia="黑体"/>
          <w:sz w:val="24"/>
          <w:szCs w:val="24"/>
        </w:rPr>
        <w:t xml:space="preserve">.2-1 </w:t>
      </w:r>
      <w:r>
        <w:rPr>
          <w:rFonts w:hint="eastAsia" w:ascii="黑体" w:hAnsi="黑体" w:eastAsia="黑体"/>
          <w:sz w:val="24"/>
          <w:szCs w:val="24"/>
        </w:rPr>
        <w:t>建设项目环境风险潜势划分</w:t>
      </w:r>
      <w:r>
        <w:rPr>
          <w:rFonts w:hint="eastAsia" w:ascii="黑体" w:hAnsi="黑体" w:eastAsia="黑体"/>
          <w:sz w:val="24"/>
        </w:rPr>
        <w:t>（H</w:t>
      </w:r>
      <w:r>
        <w:rPr>
          <w:rFonts w:ascii="黑体" w:hAnsi="黑体" w:eastAsia="黑体"/>
          <w:sz w:val="24"/>
        </w:rPr>
        <w:t>J169-2018</w:t>
      </w:r>
      <w:r>
        <w:rPr>
          <w:rFonts w:hint="eastAsia" w:ascii="黑体" w:hAnsi="黑体" w:eastAsia="黑体"/>
          <w:sz w:val="24"/>
        </w:rPr>
        <w:t>）</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4"/>
        <w:gridCol w:w="1700"/>
        <w:gridCol w:w="1700"/>
        <w:gridCol w:w="1700"/>
        <w:gridCol w:w="16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Merge w:val="restart"/>
            <w:vAlign w:val="center"/>
          </w:tcPr>
          <w:p>
            <w:pPr>
              <w:jc w:val="center"/>
              <w:rPr>
                <w:szCs w:val="21"/>
              </w:rPr>
            </w:pPr>
            <w:r>
              <w:rPr>
                <w:rFonts w:hint="eastAsia"/>
                <w:szCs w:val="21"/>
              </w:rPr>
              <w:t>环境敏感程度(</w:t>
            </w:r>
            <w:r>
              <w:rPr>
                <w:szCs w:val="21"/>
              </w:rPr>
              <w:t>E)</w:t>
            </w:r>
          </w:p>
        </w:tc>
        <w:tc>
          <w:tcPr>
            <w:tcW w:w="3750" w:type="pct"/>
            <w:gridSpan w:val="4"/>
            <w:vAlign w:val="center"/>
          </w:tcPr>
          <w:p>
            <w:pPr>
              <w:jc w:val="center"/>
              <w:rPr>
                <w:szCs w:val="21"/>
              </w:rPr>
            </w:pPr>
            <w:r>
              <w:rPr>
                <w:rFonts w:hint="eastAsia"/>
                <w:szCs w:val="21"/>
              </w:rPr>
              <w:t>危险物质及工艺系统危险性(</w:t>
            </w:r>
            <w:r>
              <w:rPr>
                <w:szCs w:val="21"/>
              </w:rPr>
              <w:t>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Merge w:val="continue"/>
            <w:vAlign w:val="center"/>
          </w:tcPr>
          <w:p>
            <w:pPr>
              <w:jc w:val="center"/>
              <w:rPr>
                <w:szCs w:val="21"/>
              </w:rPr>
            </w:pPr>
          </w:p>
        </w:tc>
        <w:tc>
          <w:tcPr>
            <w:tcW w:w="938" w:type="pct"/>
            <w:vAlign w:val="center"/>
          </w:tcPr>
          <w:p>
            <w:pPr>
              <w:jc w:val="center"/>
              <w:rPr>
                <w:szCs w:val="21"/>
              </w:rPr>
            </w:pPr>
            <w:r>
              <w:rPr>
                <w:rFonts w:hint="eastAsia"/>
                <w:szCs w:val="21"/>
              </w:rPr>
              <w:t>极高危害(</w:t>
            </w:r>
            <w:r>
              <w:rPr>
                <w:szCs w:val="21"/>
              </w:rPr>
              <w:t>P1)</w:t>
            </w:r>
          </w:p>
        </w:tc>
        <w:tc>
          <w:tcPr>
            <w:tcW w:w="938" w:type="pct"/>
            <w:vAlign w:val="center"/>
          </w:tcPr>
          <w:p>
            <w:pPr>
              <w:jc w:val="center"/>
              <w:rPr>
                <w:szCs w:val="21"/>
              </w:rPr>
            </w:pPr>
            <w:r>
              <w:rPr>
                <w:rFonts w:hint="eastAsia"/>
                <w:szCs w:val="21"/>
              </w:rPr>
              <w:t>高度危害(</w:t>
            </w:r>
            <w:r>
              <w:rPr>
                <w:szCs w:val="21"/>
              </w:rPr>
              <w:t>P2)</w:t>
            </w:r>
          </w:p>
        </w:tc>
        <w:tc>
          <w:tcPr>
            <w:tcW w:w="938" w:type="pct"/>
            <w:vAlign w:val="center"/>
          </w:tcPr>
          <w:p>
            <w:pPr>
              <w:jc w:val="center"/>
              <w:rPr>
                <w:szCs w:val="21"/>
              </w:rPr>
            </w:pPr>
            <w:r>
              <w:rPr>
                <w:rFonts w:hint="eastAsia"/>
                <w:szCs w:val="21"/>
              </w:rPr>
              <w:t>中度危害(</w:t>
            </w:r>
            <w:r>
              <w:rPr>
                <w:szCs w:val="21"/>
              </w:rPr>
              <w:t>P3)</w:t>
            </w:r>
          </w:p>
        </w:tc>
        <w:tc>
          <w:tcPr>
            <w:tcW w:w="936" w:type="pct"/>
            <w:vAlign w:val="center"/>
          </w:tcPr>
          <w:p>
            <w:pPr>
              <w:jc w:val="center"/>
              <w:rPr>
                <w:szCs w:val="21"/>
              </w:rPr>
            </w:pPr>
            <w:r>
              <w:rPr>
                <w:rFonts w:hint="eastAsia"/>
                <w:szCs w:val="21"/>
              </w:rPr>
              <w:t>轻度危害(</w:t>
            </w:r>
            <w:r>
              <w:rPr>
                <w:szCs w:val="21"/>
              </w:rPr>
              <w:t>P4)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jc w:val="center"/>
              <w:rPr>
                <w:szCs w:val="21"/>
              </w:rPr>
            </w:pPr>
            <w:r>
              <w:rPr>
                <w:rFonts w:hint="eastAsia"/>
                <w:szCs w:val="21"/>
              </w:rPr>
              <w:t>环境高度敏感区(</w:t>
            </w:r>
            <w:r>
              <w:rPr>
                <w:szCs w:val="21"/>
              </w:rPr>
              <w:t>E1)</w:t>
            </w:r>
          </w:p>
        </w:tc>
        <w:tc>
          <w:tcPr>
            <w:tcW w:w="938" w:type="pct"/>
            <w:vAlign w:val="center"/>
          </w:tcPr>
          <w:p>
            <w:pPr>
              <w:jc w:val="center"/>
              <w:rPr>
                <w:szCs w:val="21"/>
              </w:rPr>
            </w:pPr>
            <w:r>
              <w:rPr>
                <w:sz w:val="24"/>
                <w:szCs w:val="24"/>
              </w:rPr>
              <w:t>Ⅳ</w:t>
            </w:r>
            <w:r>
              <w:rPr>
                <w:sz w:val="24"/>
                <w:szCs w:val="24"/>
                <w:vertAlign w:val="superscript"/>
              </w:rPr>
              <w:t>+</w:t>
            </w:r>
          </w:p>
        </w:tc>
        <w:tc>
          <w:tcPr>
            <w:tcW w:w="938" w:type="pct"/>
            <w:vAlign w:val="center"/>
          </w:tcPr>
          <w:p>
            <w:pPr>
              <w:jc w:val="center"/>
              <w:rPr>
                <w:szCs w:val="21"/>
              </w:rPr>
            </w:pPr>
            <w:r>
              <w:rPr>
                <w:sz w:val="24"/>
                <w:szCs w:val="24"/>
              </w:rPr>
              <w:t>Ⅳ</w:t>
            </w:r>
          </w:p>
        </w:tc>
        <w:tc>
          <w:tcPr>
            <w:tcW w:w="938" w:type="pct"/>
            <w:vAlign w:val="center"/>
          </w:tcPr>
          <w:p>
            <w:pPr>
              <w:jc w:val="center"/>
              <w:rPr>
                <w:szCs w:val="21"/>
              </w:rPr>
            </w:pPr>
            <w:r>
              <w:rPr>
                <w:sz w:val="24"/>
                <w:szCs w:val="24"/>
              </w:rPr>
              <w:t>Ⅲ</w:t>
            </w:r>
          </w:p>
        </w:tc>
        <w:tc>
          <w:tcPr>
            <w:tcW w:w="936" w:type="pct"/>
            <w:vAlign w:val="center"/>
          </w:tcPr>
          <w:p>
            <w:pPr>
              <w:jc w:val="center"/>
              <w:rPr>
                <w:szCs w:val="21"/>
              </w:rPr>
            </w:pPr>
            <w:r>
              <w:rPr>
                <w:sz w:val="24"/>
                <w:szCs w:val="24"/>
              </w:rPr>
              <w:t>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jc w:val="center"/>
              <w:rPr>
                <w:szCs w:val="21"/>
              </w:rPr>
            </w:pPr>
            <w:r>
              <w:rPr>
                <w:rFonts w:hint="eastAsia"/>
                <w:szCs w:val="21"/>
              </w:rPr>
              <w:t>环境中度敏感区(</w:t>
            </w:r>
            <w:r>
              <w:rPr>
                <w:szCs w:val="21"/>
              </w:rPr>
              <w:t>E2)</w:t>
            </w:r>
          </w:p>
        </w:tc>
        <w:tc>
          <w:tcPr>
            <w:tcW w:w="938" w:type="pct"/>
            <w:vAlign w:val="center"/>
          </w:tcPr>
          <w:p>
            <w:pPr>
              <w:jc w:val="center"/>
              <w:rPr>
                <w:szCs w:val="21"/>
              </w:rPr>
            </w:pPr>
            <w:r>
              <w:rPr>
                <w:sz w:val="24"/>
                <w:szCs w:val="24"/>
              </w:rPr>
              <w:t>Ⅳ</w:t>
            </w:r>
          </w:p>
        </w:tc>
        <w:tc>
          <w:tcPr>
            <w:tcW w:w="938" w:type="pct"/>
            <w:vAlign w:val="center"/>
          </w:tcPr>
          <w:p>
            <w:pPr>
              <w:jc w:val="center"/>
              <w:rPr>
                <w:szCs w:val="21"/>
              </w:rPr>
            </w:pPr>
            <w:r>
              <w:rPr>
                <w:sz w:val="24"/>
                <w:szCs w:val="24"/>
              </w:rPr>
              <w:t>Ⅲ</w:t>
            </w:r>
          </w:p>
        </w:tc>
        <w:tc>
          <w:tcPr>
            <w:tcW w:w="938" w:type="pct"/>
            <w:vAlign w:val="center"/>
          </w:tcPr>
          <w:p>
            <w:pPr>
              <w:jc w:val="center"/>
              <w:rPr>
                <w:szCs w:val="21"/>
              </w:rPr>
            </w:pPr>
            <w:r>
              <w:rPr>
                <w:sz w:val="24"/>
                <w:szCs w:val="24"/>
              </w:rPr>
              <w:t>Ⅲ</w:t>
            </w:r>
          </w:p>
        </w:tc>
        <w:tc>
          <w:tcPr>
            <w:tcW w:w="936" w:type="pct"/>
            <w:vAlign w:val="center"/>
          </w:tcPr>
          <w:p>
            <w:pPr>
              <w:jc w:val="center"/>
              <w:rPr>
                <w:szCs w:val="21"/>
              </w:rPr>
            </w:pPr>
            <w:r>
              <w:rPr>
                <w:sz w:val="24"/>
                <w:szCs w:val="24"/>
              </w:rPr>
              <w:t>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50" w:type="pct"/>
            <w:vAlign w:val="center"/>
          </w:tcPr>
          <w:p>
            <w:pPr>
              <w:jc w:val="center"/>
              <w:rPr>
                <w:szCs w:val="21"/>
              </w:rPr>
            </w:pPr>
            <w:r>
              <w:rPr>
                <w:rFonts w:hint="eastAsia"/>
                <w:szCs w:val="21"/>
              </w:rPr>
              <w:t>环境低度敏感区(</w:t>
            </w:r>
            <w:r>
              <w:rPr>
                <w:szCs w:val="21"/>
              </w:rPr>
              <w:t>E2)</w:t>
            </w:r>
          </w:p>
        </w:tc>
        <w:tc>
          <w:tcPr>
            <w:tcW w:w="938" w:type="pct"/>
            <w:vAlign w:val="center"/>
          </w:tcPr>
          <w:p>
            <w:pPr>
              <w:jc w:val="center"/>
              <w:rPr>
                <w:szCs w:val="21"/>
              </w:rPr>
            </w:pPr>
            <w:r>
              <w:rPr>
                <w:sz w:val="24"/>
                <w:szCs w:val="24"/>
              </w:rPr>
              <w:t>Ⅲ</w:t>
            </w:r>
          </w:p>
        </w:tc>
        <w:tc>
          <w:tcPr>
            <w:tcW w:w="938" w:type="pct"/>
            <w:vAlign w:val="center"/>
          </w:tcPr>
          <w:p>
            <w:pPr>
              <w:jc w:val="center"/>
              <w:rPr>
                <w:szCs w:val="21"/>
              </w:rPr>
            </w:pPr>
            <w:r>
              <w:rPr>
                <w:sz w:val="24"/>
                <w:szCs w:val="24"/>
              </w:rPr>
              <w:t>Ⅲ</w:t>
            </w:r>
          </w:p>
        </w:tc>
        <w:tc>
          <w:tcPr>
            <w:tcW w:w="938" w:type="pct"/>
            <w:vAlign w:val="center"/>
          </w:tcPr>
          <w:p>
            <w:pPr>
              <w:jc w:val="center"/>
              <w:rPr>
                <w:szCs w:val="21"/>
              </w:rPr>
            </w:pPr>
            <w:r>
              <w:rPr>
                <w:sz w:val="24"/>
                <w:szCs w:val="24"/>
              </w:rPr>
              <w:t>Ⅱ</w:t>
            </w:r>
          </w:p>
        </w:tc>
        <w:tc>
          <w:tcPr>
            <w:tcW w:w="936" w:type="pct"/>
            <w:vAlign w:val="center"/>
          </w:tcPr>
          <w:p>
            <w:pPr>
              <w:jc w:val="center"/>
              <w:rPr>
                <w:szCs w:val="21"/>
              </w:rPr>
            </w:pPr>
            <w:r>
              <w:rPr>
                <w:sz w:val="24"/>
                <w:szCs w:val="24"/>
              </w:rPr>
              <w:t>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000" w:type="pct"/>
            <w:gridSpan w:val="5"/>
            <w:vAlign w:val="center"/>
          </w:tcPr>
          <w:p>
            <w:pPr>
              <w:jc w:val="left"/>
              <w:rPr>
                <w:szCs w:val="21"/>
              </w:rPr>
            </w:pPr>
            <w:r>
              <w:rPr>
                <w:rFonts w:hint="eastAsia"/>
                <w:szCs w:val="21"/>
              </w:rPr>
              <w:t>注：</w:t>
            </w:r>
            <w:r>
              <w:rPr>
                <w:sz w:val="24"/>
                <w:szCs w:val="24"/>
              </w:rPr>
              <w:t>Ⅳ</w:t>
            </w:r>
            <w:r>
              <w:rPr>
                <w:sz w:val="24"/>
                <w:szCs w:val="24"/>
                <w:vertAlign w:val="superscript"/>
              </w:rPr>
              <w:t>+</w:t>
            </w:r>
            <w:r>
              <w:rPr>
                <w:rFonts w:hint="eastAsia"/>
                <w:szCs w:val="21"/>
              </w:rPr>
              <w:t>为极高环境风险。</w:t>
            </w:r>
          </w:p>
        </w:tc>
      </w:tr>
    </w:tbl>
    <w:p>
      <w:pPr>
        <w:pStyle w:val="3"/>
        <w:spacing w:before="0" w:after="0" w:line="480" w:lineRule="exact"/>
        <w:rPr>
          <w:sz w:val="24"/>
          <w:szCs w:val="24"/>
        </w:rPr>
      </w:pPr>
      <w:r>
        <w:rPr>
          <w:sz w:val="24"/>
          <w:szCs w:val="24"/>
        </w:rPr>
        <w:t>6.2.1</w:t>
      </w:r>
      <w:r>
        <w:rPr>
          <w:rFonts w:hint="eastAsia"/>
          <w:sz w:val="24"/>
          <w:szCs w:val="24"/>
        </w:rPr>
        <w:t>危险物质及工艺系统危险性(</w:t>
      </w:r>
      <w:r>
        <w:rPr>
          <w:sz w:val="24"/>
          <w:szCs w:val="24"/>
        </w:rPr>
        <w:t>P)</w:t>
      </w:r>
      <w:r>
        <w:rPr>
          <w:rFonts w:hint="eastAsia"/>
          <w:sz w:val="24"/>
          <w:szCs w:val="24"/>
        </w:rPr>
        <w:t>判断</w:t>
      </w:r>
    </w:p>
    <w:p>
      <w:pPr>
        <w:spacing w:line="480" w:lineRule="exact"/>
        <w:rPr>
          <w:b/>
          <w:sz w:val="24"/>
        </w:rPr>
      </w:pPr>
      <w:r>
        <w:rPr>
          <w:rFonts w:hint="eastAsia"/>
          <w:b/>
          <w:sz w:val="24"/>
        </w:rPr>
        <w:t>1、危险物质数量与临界量比值(</w:t>
      </w:r>
      <w:r>
        <w:rPr>
          <w:b/>
          <w:sz w:val="24"/>
        </w:rPr>
        <w:t>Q)</w:t>
      </w:r>
    </w:p>
    <w:p>
      <w:pPr>
        <w:spacing w:line="480" w:lineRule="exact"/>
        <w:ind w:firstLine="480" w:firstLineChars="200"/>
        <w:rPr>
          <w:sz w:val="24"/>
        </w:rPr>
      </w:pPr>
      <w:r>
        <w:rPr>
          <w:rFonts w:hint="eastAsia"/>
          <w:sz w:val="24"/>
        </w:rPr>
        <w:t>计算所涉及的每种危险物质在厂界内的最大存在总量与其在H</w:t>
      </w:r>
      <w:r>
        <w:rPr>
          <w:sz w:val="24"/>
        </w:rPr>
        <w:t>J169-2018</w:t>
      </w:r>
      <w:r>
        <w:rPr>
          <w:rFonts w:hint="eastAsia"/>
          <w:sz w:val="24"/>
        </w:rPr>
        <w:t>附录B中对应临界量的比值Q。当只涉及一种危险物质时，计算该物质总量与其临界量比值，即为Q；当存在多种危险物质时，则按下式计算物质总量与其临界量比值(</w:t>
      </w:r>
      <w:r>
        <w:rPr>
          <w:sz w:val="24"/>
        </w:rPr>
        <w:t>Q)</w:t>
      </w:r>
      <w:r>
        <w:rPr>
          <w:rFonts w:hint="eastAsia"/>
          <w:sz w:val="24"/>
        </w:rPr>
        <w:t>：</w:t>
      </w:r>
    </w:p>
    <w:p>
      <w:pPr>
        <w:spacing w:line="480" w:lineRule="exact"/>
        <w:ind w:firstLine="480" w:firstLineChars="200"/>
        <w:rPr>
          <w:sz w:val="24"/>
        </w:rPr>
      </w:pPr>
      <w:r>
        <w:rPr>
          <w:rFonts w:hint="eastAsia"/>
          <w:sz w:val="24"/>
        </w:rPr>
        <w:t>Q=</w:t>
      </w:r>
      <w:r>
        <w:rPr>
          <w:sz w:val="24"/>
        </w:rPr>
        <w:t>q1/Q1+ q2/Q2+</w:t>
      </w:r>
      <w:r>
        <w:rPr>
          <w:rFonts w:hint="eastAsia"/>
          <w:sz w:val="24"/>
        </w:rPr>
        <w:t>······+</w:t>
      </w:r>
      <w:r>
        <w:rPr>
          <w:sz w:val="24"/>
        </w:rPr>
        <w:t xml:space="preserve"> qn/Qn</w:t>
      </w:r>
      <w:r>
        <w:rPr>
          <w:rFonts w:hint="eastAsia"/>
          <w:sz w:val="24"/>
        </w:rPr>
        <w:t>；</w:t>
      </w:r>
    </w:p>
    <w:p>
      <w:pPr>
        <w:spacing w:line="480" w:lineRule="exact"/>
        <w:ind w:firstLine="480" w:firstLineChars="200"/>
        <w:rPr>
          <w:sz w:val="24"/>
        </w:rPr>
      </w:pPr>
      <w:r>
        <w:rPr>
          <w:rFonts w:hint="eastAsia"/>
          <w:sz w:val="24"/>
        </w:rPr>
        <w:t>式中：</w:t>
      </w:r>
      <w:r>
        <w:rPr>
          <w:sz w:val="24"/>
        </w:rPr>
        <w:t>q1</w:t>
      </w:r>
      <w:r>
        <w:rPr>
          <w:rFonts w:hint="eastAsia"/>
          <w:sz w:val="24"/>
        </w:rPr>
        <w:t>，</w:t>
      </w:r>
      <w:r>
        <w:rPr>
          <w:sz w:val="24"/>
        </w:rPr>
        <w:t>q2</w:t>
      </w:r>
      <w:r>
        <w:rPr>
          <w:rFonts w:hint="eastAsia"/>
          <w:sz w:val="24"/>
        </w:rPr>
        <w:t>，······，</w:t>
      </w:r>
      <w:r>
        <w:rPr>
          <w:sz w:val="24"/>
        </w:rPr>
        <w:t>qn</w:t>
      </w:r>
      <w:r>
        <w:rPr>
          <w:rFonts w:hint="eastAsia"/>
          <w:sz w:val="24"/>
        </w:rPr>
        <w:t>——每种危险物质的最大存在总量，t；</w:t>
      </w:r>
    </w:p>
    <w:p>
      <w:pPr>
        <w:spacing w:line="480" w:lineRule="exact"/>
        <w:ind w:firstLine="1200" w:firstLineChars="500"/>
        <w:rPr>
          <w:sz w:val="24"/>
        </w:rPr>
      </w:pPr>
      <w:r>
        <w:rPr>
          <w:sz w:val="24"/>
        </w:rPr>
        <w:t>Q1</w:t>
      </w:r>
      <w:r>
        <w:rPr>
          <w:rFonts w:hint="eastAsia"/>
          <w:sz w:val="24"/>
        </w:rPr>
        <w:t>，</w:t>
      </w:r>
      <w:r>
        <w:rPr>
          <w:sz w:val="24"/>
        </w:rPr>
        <w:t>Q2</w:t>
      </w:r>
      <w:r>
        <w:rPr>
          <w:rFonts w:hint="eastAsia"/>
          <w:sz w:val="24"/>
        </w:rPr>
        <w:t>，······，</w:t>
      </w:r>
      <w:r>
        <w:rPr>
          <w:sz w:val="24"/>
        </w:rPr>
        <w:t>Qn</w:t>
      </w:r>
      <w:r>
        <w:rPr>
          <w:rFonts w:hint="eastAsia"/>
          <w:sz w:val="24"/>
        </w:rPr>
        <w:t>——每种危险物质的临界量，t。</w:t>
      </w:r>
    </w:p>
    <w:p>
      <w:pPr>
        <w:spacing w:line="480" w:lineRule="exact"/>
        <w:rPr>
          <w:sz w:val="24"/>
        </w:rPr>
      </w:pPr>
      <w:r>
        <w:rPr>
          <w:rFonts w:hint="eastAsia"/>
          <w:sz w:val="24"/>
        </w:rPr>
        <w:t>当Q＜1时，该项目环境风险潜势为</w:t>
      </w:r>
      <w:r>
        <w:rPr>
          <w:sz w:val="24"/>
        </w:rPr>
        <w:t>Ⅰ</w:t>
      </w:r>
      <w:r>
        <w:rPr>
          <w:rFonts w:hint="eastAsia"/>
          <w:sz w:val="24"/>
        </w:rPr>
        <w:t>；</w:t>
      </w:r>
    </w:p>
    <w:p>
      <w:pPr>
        <w:spacing w:line="480" w:lineRule="exact"/>
        <w:rPr>
          <w:sz w:val="24"/>
        </w:rPr>
      </w:pPr>
      <w:r>
        <w:rPr>
          <w:rFonts w:hint="eastAsia"/>
          <w:sz w:val="24"/>
        </w:rPr>
        <w:t>当Q≥1时，将Q值划分为：1≤Q＜1</w:t>
      </w:r>
      <w:r>
        <w:rPr>
          <w:sz w:val="24"/>
        </w:rPr>
        <w:t>0</w:t>
      </w:r>
      <w:r>
        <w:rPr>
          <w:rFonts w:hint="eastAsia"/>
          <w:sz w:val="24"/>
        </w:rPr>
        <w:t>，1</w:t>
      </w:r>
      <w:r>
        <w:rPr>
          <w:sz w:val="24"/>
        </w:rPr>
        <w:t>0</w:t>
      </w:r>
      <w:r>
        <w:rPr>
          <w:rFonts w:hint="eastAsia"/>
          <w:sz w:val="24"/>
        </w:rPr>
        <w:t>≤Q＜1</w:t>
      </w:r>
      <w:r>
        <w:rPr>
          <w:sz w:val="24"/>
        </w:rPr>
        <w:t>00</w:t>
      </w:r>
      <w:r>
        <w:rPr>
          <w:rFonts w:hint="eastAsia"/>
          <w:sz w:val="24"/>
        </w:rPr>
        <w:t>，Q≥1</w:t>
      </w:r>
      <w:r>
        <w:rPr>
          <w:sz w:val="24"/>
        </w:rPr>
        <w:t>00</w:t>
      </w:r>
      <w:r>
        <w:rPr>
          <w:rFonts w:hint="eastAsia"/>
          <w:sz w:val="24"/>
        </w:rPr>
        <w:t>。</w:t>
      </w:r>
    </w:p>
    <w:p>
      <w:pPr>
        <w:spacing w:line="480" w:lineRule="exact"/>
        <w:ind w:firstLine="480" w:firstLineChars="200"/>
        <w:rPr>
          <w:sz w:val="24"/>
        </w:rPr>
      </w:pPr>
      <w:bookmarkStart w:id="113" w:name="_Hlk9002163"/>
      <w:r>
        <w:rPr>
          <w:rFonts w:hint="eastAsia"/>
          <w:sz w:val="24"/>
          <w:szCs w:val="24"/>
        </w:rPr>
        <w:t>结合项目特点，此次评价</w:t>
      </w:r>
      <w:r>
        <w:rPr>
          <w:rFonts w:hint="eastAsia"/>
          <w:sz w:val="24"/>
        </w:rPr>
        <w:t>将液化天然气储罐化定为一个危险单元。本项目建成后全厂危险物质数量与临界量比值计算结果见表6</w:t>
      </w:r>
      <w:r>
        <w:rPr>
          <w:sz w:val="24"/>
        </w:rPr>
        <w:t>.2-2</w:t>
      </w:r>
      <w:r>
        <w:rPr>
          <w:rFonts w:hint="eastAsia"/>
          <w:sz w:val="24"/>
        </w:rPr>
        <w:t>。</w:t>
      </w:r>
    </w:p>
    <w:p>
      <w:pPr>
        <w:spacing w:line="480" w:lineRule="exact"/>
        <w:jc w:val="center"/>
        <w:rPr>
          <w:rFonts w:ascii="黑体" w:hAnsi="黑体" w:eastAsia="黑体"/>
          <w:sz w:val="24"/>
        </w:rPr>
      </w:pPr>
      <w:r>
        <w:rPr>
          <w:rFonts w:hint="eastAsia" w:ascii="黑体" w:hAnsi="黑体" w:eastAsia="黑体"/>
          <w:sz w:val="24"/>
        </w:rPr>
        <w:t>表6</w:t>
      </w:r>
      <w:r>
        <w:rPr>
          <w:rFonts w:ascii="黑体" w:hAnsi="黑体" w:eastAsia="黑体"/>
          <w:sz w:val="24"/>
        </w:rPr>
        <w:t xml:space="preserve">.2-2  </w:t>
      </w:r>
      <w:r>
        <w:rPr>
          <w:rFonts w:hint="eastAsia" w:ascii="黑体" w:hAnsi="黑体" w:eastAsia="黑体"/>
          <w:sz w:val="24"/>
        </w:rPr>
        <w:t>重大危险源辨识表</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72"/>
        <w:gridCol w:w="1198"/>
        <w:gridCol w:w="980"/>
        <w:gridCol w:w="1154"/>
        <w:gridCol w:w="1120"/>
        <w:gridCol w:w="1161"/>
        <w:gridCol w:w="1156"/>
        <w:gridCol w:w="11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40" w:hRule="atLeast"/>
        </w:trPr>
        <w:tc>
          <w:tcPr>
            <w:tcW w:w="647" w:type="pct"/>
            <w:vAlign w:val="center"/>
          </w:tcPr>
          <w:p>
            <w:pPr>
              <w:jc w:val="center"/>
              <w:rPr>
                <w:szCs w:val="21"/>
              </w:rPr>
            </w:pPr>
            <w:r>
              <w:rPr>
                <w:rFonts w:hint="eastAsia"/>
                <w:szCs w:val="21"/>
              </w:rPr>
              <w:t>区域</w:t>
            </w:r>
          </w:p>
        </w:tc>
        <w:tc>
          <w:tcPr>
            <w:tcW w:w="661" w:type="pct"/>
            <w:vAlign w:val="center"/>
          </w:tcPr>
          <w:p>
            <w:pPr>
              <w:jc w:val="center"/>
              <w:rPr>
                <w:szCs w:val="21"/>
              </w:rPr>
            </w:pPr>
            <w:r>
              <w:rPr>
                <w:rFonts w:hint="eastAsia"/>
                <w:szCs w:val="21"/>
              </w:rPr>
              <w:t>工序</w:t>
            </w:r>
          </w:p>
        </w:tc>
        <w:tc>
          <w:tcPr>
            <w:tcW w:w="541" w:type="pct"/>
            <w:vAlign w:val="center"/>
          </w:tcPr>
          <w:p>
            <w:pPr>
              <w:jc w:val="center"/>
              <w:rPr>
                <w:szCs w:val="21"/>
              </w:rPr>
            </w:pPr>
            <w:r>
              <w:rPr>
                <w:rFonts w:hint="eastAsia"/>
                <w:szCs w:val="21"/>
              </w:rPr>
              <w:t>名称</w:t>
            </w:r>
          </w:p>
        </w:tc>
        <w:tc>
          <w:tcPr>
            <w:tcW w:w="637" w:type="pct"/>
            <w:vAlign w:val="center"/>
          </w:tcPr>
          <w:p>
            <w:pPr>
              <w:jc w:val="center"/>
              <w:rPr>
                <w:szCs w:val="21"/>
              </w:rPr>
            </w:pPr>
            <w:r>
              <w:rPr>
                <w:rFonts w:hint="eastAsia"/>
                <w:szCs w:val="21"/>
              </w:rPr>
              <w:t>最大存在量t</w:t>
            </w:r>
          </w:p>
        </w:tc>
        <w:tc>
          <w:tcPr>
            <w:tcW w:w="618" w:type="pct"/>
            <w:vAlign w:val="center"/>
          </w:tcPr>
          <w:p>
            <w:pPr>
              <w:jc w:val="center"/>
              <w:rPr>
                <w:szCs w:val="21"/>
              </w:rPr>
            </w:pPr>
            <w:r>
              <w:rPr>
                <w:rFonts w:hint="eastAsia"/>
                <w:szCs w:val="21"/>
              </w:rPr>
              <w:t>临界量t</w:t>
            </w:r>
          </w:p>
        </w:tc>
        <w:tc>
          <w:tcPr>
            <w:tcW w:w="640" w:type="pct"/>
            <w:vAlign w:val="center"/>
          </w:tcPr>
          <w:p>
            <w:pPr>
              <w:jc w:val="center"/>
              <w:rPr>
                <w:szCs w:val="21"/>
              </w:rPr>
            </w:pPr>
            <w:r>
              <w:rPr>
                <w:rFonts w:hint="eastAsia"/>
                <w:szCs w:val="21"/>
              </w:rPr>
              <w:t>q</w:t>
            </w:r>
            <w:r>
              <w:rPr>
                <w:szCs w:val="21"/>
              </w:rPr>
              <w:t>i/Qi</w:t>
            </w:r>
          </w:p>
        </w:tc>
        <w:tc>
          <w:tcPr>
            <w:tcW w:w="638" w:type="pct"/>
            <w:vAlign w:val="center"/>
          </w:tcPr>
          <w:p>
            <w:pPr>
              <w:jc w:val="center"/>
              <w:rPr>
                <w:szCs w:val="21"/>
              </w:rPr>
            </w:pPr>
            <w:r>
              <w:rPr>
                <w:rFonts w:hint="eastAsia"/>
                <w:szCs w:val="21"/>
              </w:rPr>
              <w:t>功能单元∑q</w:t>
            </w:r>
            <w:r>
              <w:rPr>
                <w:szCs w:val="21"/>
              </w:rPr>
              <w:t>i/Qi</w:t>
            </w:r>
          </w:p>
        </w:tc>
        <w:tc>
          <w:tcPr>
            <w:tcW w:w="617" w:type="pct"/>
            <w:vAlign w:val="center"/>
          </w:tcPr>
          <w:p>
            <w:pPr>
              <w:jc w:val="center"/>
              <w:rPr>
                <w:szCs w:val="21"/>
              </w:rPr>
            </w:pPr>
            <w:r>
              <w:rPr>
                <w:rFonts w:hint="eastAsia"/>
                <w:szCs w:val="21"/>
              </w:rPr>
              <w:t>是否为重大危险源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47" w:type="pct"/>
            <w:vAlign w:val="center"/>
          </w:tcPr>
          <w:p>
            <w:pPr>
              <w:jc w:val="center"/>
              <w:rPr>
                <w:szCs w:val="21"/>
              </w:rPr>
            </w:pPr>
            <w:r>
              <w:rPr>
                <w:rFonts w:hint="eastAsia"/>
                <w:szCs w:val="21"/>
              </w:rPr>
              <w:t>液化天然气储罐</w:t>
            </w:r>
          </w:p>
        </w:tc>
        <w:tc>
          <w:tcPr>
            <w:tcW w:w="661" w:type="pct"/>
            <w:vAlign w:val="center"/>
          </w:tcPr>
          <w:p>
            <w:pPr>
              <w:jc w:val="center"/>
              <w:rPr>
                <w:szCs w:val="21"/>
              </w:rPr>
            </w:pPr>
            <w:r>
              <w:rPr>
                <w:rFonts w:hint="eastAsia"/>
                <w:szCs w:val="21"/>
              </w:rPr>
              <w:t>导热油炉燃烧使用</w:t>
            </w:r>
          </w:p>
        </w:tc>
        <w:tc>
          <w:tcPr>
            <w:tcW w:w="541" w:type="pct"/>
            <w:vAlign w:val="center"/>
          </w:tcPr>
          <w:p>
            <w:pPr>
              <w:jc w:val="center"/>
              <w:rPr>
                <w:szCs w:val="21"/>
              </w:rPr>
            </w:pPr>
            <w:r>
              <w:rPr>
                <w:rFonts w:hint="eastAsia"/>
                <w:szCs w:val="21"/>
              </w:rPr>
              <w:t>甲烷</w:t>
            </w:r>
          </w:p>
        </w:tc>
        <w:tc>
          <w:tcPr>
            <w:tcW w:w="637" w:type="pct"/>
            <w:vAlign w:val="center"/>
          </w:tcPr>
          <w:p>
            <w:pPr>
              <w:jc w:val="center"/>
              <w:rPr>
                <w:rFonts w:eastAsia="等线"/>
                <w:color w:val="000000"/>
                <w:szCs w:val="21"/>
              </w:rPr>
            </w:pPr>
            <w:r>
              <w:rPr>
                <w:rFonts w:hint="eastAsia" w:eastAsia="等线"/>
                <w:color w:val="000000"/>
                <w:szCs w:val="21"/>
              </w:rPr>
              <w:t>8</w:t>
            </w:r>
            <w:r>
              <w:rPr>
                <w:rFonts w:eastAsia="等线"/>
                <w:color w:val="000000"/>
                <w:szCs w:val="21"/>
              </w:rPr>
              <w:t>.1</w:t>
            </w:r>
          </w:p>
        </w:tc>
        <w:tc>
          <w:tcPr>
            <w:tcW w:w="618" w:type="pct"/>
            <w:vAlign w:val="center"/>
          </w:tcPr>
          <w:p>
            <w:pPr>
              <w:jc w:val="center"/>
              <w:rPr>
                <w:szCs w:val="21"/>
              </w:rPr>
            </w:pPr>
            <w:r>
              <w:rPr>
                <w:rFonts w:hint="eastAsia"/>
                <w:szCs w:val="21"/>
              </w:rPr>
              <w:t>1</w:t>
            </w:r>
            <w:r>
              <w:rPr>
                <w:szCs w:val="21"/>
              </w:rPr>
              <w:t>0</w:t>
            </w:r>
          </w:p>
        </w:tc>
        <w:tc>
          <w:tcPr>
            <w:tcW w:w="640" w:type="pct"/>
            <w:vAlign w:val="center"/>
          </w:tcPr>
          <w:p>
            <w:pPr>
              <w:jc w:val="center"/>
              <w:rPr>
                <w:rFonts w:eastAsia="等线"/>
                <w:color w:val="000000"/>
                <w:szCs w:val="21"/>
              </w:rPr>
            </w:pPr>
            <w:r>
              <w:rPr>
                <w:rFonts w:hint="eastAsia" w:eastAsia="等线"/>
                <w:color w:val="000000"/>
                <w:szCs w:val="21"/>
              </w:rPr>
              <w:t>0</w:t>
            </w:r>
            <w:r>
              <w:rPr>
                <w:rFonts w:eastAsia="等线"/>
                <w:color w:val="000000"/>
                <w:szCs w:val="21"/>
              </w:rPr>
              <w:t>.81</w:t>
            </w:r>
          </w:p>
        </w:tc>
        <w:tc>
          <w:tcPr>
            <w:tcW w:w="638" w:type="pct"/>
            <w:vAlign w:val="center"/>
          </w:tcPr>
          <w:p>
            <w:pPr>
              <w:jc w:val="center"/>
              <w:rPr>
                <w:szCs w:val="21"/>
              </w:rPr>
            </w:pPr>
            <w:r>
              <w:rPr>
                <w:rFonts w:hint="eastAsia"/>
                <w:szCs w:val="21"/>
              </w:rPr>
              <w:t>0</w:t>
            </w:r>
            <w:r>
              <w:rPr>
                <w:szCs w:val="21"/>
              </w:rPr>
              <w:t>.81</w:t>
            </w:r>
          </w:p>
        </w:tc>
        <w:tc>
          <w:tcPr>
            <w:tcW w:w="617" w:type="pct"/>
            <w:vAlign w:val="center"/>
          </w:tcPr>
          <w:p>
            <w:pPr>
              <w:jc w:val="center"/>
              <w:rPr>
                <w:szCs w:val="21"/>
              </w:rPr>
            </w:pPr>
            <w:r>
              <w:rPr>
                <w:rFonts w:hint="eastAsia"/>
                <w:szCs w:val="21"/>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45" w:type="pct"/>
            <w:gridSpan w:val="6"/>
            <w:vAlign w:val="center"/>
          </w:tcPr>
          <w:p>
            <w:pPr>
              <w:jc w:val="center"/>
              <w:rPr>
                <w:rFonts w:ascii="宋体" w:hAnsi="宋体"/>
                <w:color w:val="000000"/>
                <w:szCs w:val="21"/>
              </w:rPr>
            </w:pPr>
            <w:r>
              <w:rPr>
                <w:rFonts w:hint="eastAsia" w:ascii="宋体" w:hAnsi="宋体"/>
                <w:color w:val="000000"/>
                <w:szCs w:val="21"/>
              </w:rPr>
              <w:t>合计</w:t>
            </w:r>
          </w:p>
        </w:tc>
        <w:tc>
          <w:tcPr>
            <w:tcW w:w="638" w:type="pct"/>
            <w:vAlign w:val="center"/>
          </w:tcPr>
          <w:p>
            <w:pPr>
              <w:jc w:val="center"/>
              <w:rPr>
                <w:szCs w:val="21"/>
              </w:rPr>
            </w:pPr>
            <w:r>
              <w:rPr>
                <w:rFonts w:hint="eastAsia"/>
                <w:szCs w:val="21"/>
              </w:rPr>
              <w:t>0</w:t>
            </w:r>
            <w:r>
              <w:rPr>
                <w:szCs w:val="21"/>
              </w:rPr>
              <w:t>.810166</w:t>
            </w:r>
          </w:p>
        </w:tc>
        <w:tc>
          <w:tcPr>
            <w:tcW w:w="617" w:type="pct"/>
            <w:vAlign w:val="center"/>
          </w:tcPr>
          <w:p>
            <w:pPr>
              <w:jc w:val="center"/>
              <w:rPr>
                <w:szCs w:val="21"/>
              </w:rPr>
            </w:pPr>
            <w:r>
              <w:rPr>
                <w:rFonts w:hint="eastAsia"/>
                <w:szCs w:val="21"/>
              </w:rPr>
              <w:t>否</w:t>
            </w:r>
          </w:p>
        </w:tc>
      </w:tr>
    </w:tbl>
    <w:p>
      <w:pPr>
        <w:spacing w:line="480" w:lineRule="exact"/>
        <w:ind w:firstLine="480" w:firstLineChars="200"/>
        <w:rPr>
          <w:sz w:val="24"/>
        </w:rPr>
      </w:pPr>
      <w:r>
        <w:rPr>
          <w:rFonts w:hint="eastAsia"/>
          <w:sz w:val="24"/>
        </w:rPr>
        <w:t>根据表6</w:t>
      </w:r>
      <w:r>
        <w:rPr>
          <w:sz w:val="24"/>
        </w:rPr>
        <w:t>.2-2</w:t>
      </w:r>
      <w:r>
        <w:rPr>
          <w:rFonts w:hint="eastAsia"/>
          <w:sz w:val="24"/>
        </w:rPr>
        <w:t>可知，本项目(Q)值小于1，因此判定该项目环境风险潜势为</w:t>
      </w:r>
      <w:r>
        <w:rPr>
          <w:sz w:val="24"/>
          <w:szCs w:val="24"/>
        </w:rPr>
        <w:t>Ⅰ</w:t>
      </w:r>
      <w:r>
        <w:rPr>
          <w:rFonts w:hint="eastAsia"/>
          <w:sz w:val="24"/>
        </w:rPr>
        <w:t>。因此不再进行环境敏感程度判定。</w:t>
      </w:r>
      <w:bookmarkEnd w:id="113"/>
    </w:p>
    <w:p>
      <w:pPr>
        <w:pStyle w:val="2"/>
        <w:spacing w:before="156" w:beforeLines="50" w:after="0" w:line="480" w:lineRule="exact"/>
        <w:rPr>
          <w:sz w:val="28"/>
          <w:szCs w:val="28"/>
        </w:rPr>
      </w:pPr>
      <w:bookmarkStart w:id="114" w:name="_Toc19105470"/>
      <w:r>
        <w:rPr>
          <w:rFonts w:hint="eastAsia" w:ascii="Times New Roman" w:hAnsi="Times New Roman"/>
          <w:bCs w:val="0"/>
          <w:spacing w:val="4"/>
          <w:sz w:val="28"/>
          <w:szCs w:val="28"/>
        </w:rPr>
        <w:t>6.</w:t>
      </w:r>
      <w:r>
        <w:rPr>
          <w:rFonts w:ascii="Times New Roman" w:hAnsi="Times New Roman"/>
          <w:bCs w:val="0"/>
          <w:spacing w:val="4"/>
          <w:sz w:val="28"/>
          <w:szCs w:val="28"/>
        </w:rPr>
        <w:t>3</w:t>
      </w:r>
      <w:r>
        <w:rPr>
          <w:rFonts w:hint="eastAsia" w:ascii="Times New Roman" w:hAnsi="Times New Roman"/>
          <w:bCs w:val="0"/>
          <w:spacing w:val="4"/>
          <w:sz w:val="28"/>
          <w:szCs w:val="28"/>
        </w:rPr>
        <w:t>环境风险评价等级</w:t>
      </w:r>
      <w:bookmarkEnd w:id="114"/>
    </w:p>
    <w:p>
      <w:pPr>
        <w:spacing w:line="480" w:lineRule="exact"/>
        <w:ind w:firstLine="480" w:firstLineChars="200"/>
        <w:rPr>
          <w:sz w:val="24"/>
        </w:rPr>
      </w:pPr>
      <w:r>
        <w:rPr>
          <w:rFonts w:hint="eastAsia"/>
          <w:sz w:val="24"/>
        </w:rPr>
        <w:t>环境风险评价工作等级划分为一级、二级、三级。根据建设项目涉及的物质及工艺系统危险性和所在地的环境敏感性确定环境风险潜势，按照下表确定评价工作等级。</w:t>
      </w:r>
    </w:p>
    <w:p>
      <w:pPr>
        <w:spacing w:line="480" w:lineRule="exact"/>
        <w:jc w:val="center"/>
        <w:rPr>
          <w:rFonts w:ascii="黑体" w:hAnsi="黑体" w:eastAsia="黑体"/>
          <w:sz w:val="24"/>
        </w:rPr>
      </w:pPr>
      <w:r>
        <w:rPr>
          <w:rFonts w:hint="eastAsia" w:ascii="黑体" w:hAnsi="黑体" w:eastAsia="黑体"/>
          <w:sz w:val="24"/>
        </w:rPr>
        <w:t>表6</w:t>
      </w:r>
      <w:r>
        <w:rPr>
          <w:rFonts w:ascii="黑体" w:hAnsi="黑体" w:eastAsia="黑体"/>
          <w:sz w:val="24"/>
        </w:rPr>
        <w:t xml:space="preserve">.3-1  </w:t>
      </w:r>
      <w:r>
        <w:rPr>
          <w:rFonts w:hint="eastAsia" w:ascii="黑体" w:hAnsi="黑体" w:eastAsia="黑体"/>
          <w:sz w:val="24"/>
        </w:rPr>
        <w:t>环境风险评价工作等级划分表（H</w:t>
      </w:r>
      <w:r>
        <w:rPr>
          <w:rFonts w:ascii="黑体" w:hAnsi="黑体" w:eastAsia="黑体"/>
          <w:sz w:val="24"/>
        </w:rPr>
        <w:t>J169-2018</w:t>
      </w:r>
      <w:r>
        <w:rPr>
          <w:rFonts w:hint="eastAsia" w:ascii="黑体" w:hAnsi="黑体" w:eastAsia="黑体"/>
          <w:sz w:val="24"/>
        </w:rPr>
        <w:t>）</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12"/>
        <w:gridCol w:w="1812"/>
        <w:gridCol w:w="1812"/>
        <w:gridCol w:w="1812"/>
        <w:gridCol w:w="181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00" w:type="pct"/>
            <w:vAlign w:val="center"/>
          </w:tcPr>
          <w:p>
            <w:pPr>
              <w:jc w:val="center"/>
              <w:rPr>
                <w:szCs w:val="21"/>
              </w:rPr>
            </w:pPr>
            <w:r>
              <w:rPr>
                <w:rFonts w:hint="eastAsia"/>
                <w:szCs w:val="21"/>
              </w:rPr>
              <w:t>环境风险潜势</w:t>
            </w:r>
          </w:p>
        </w:tc>
        <w:tc>
          <w:tcPr>
            <w:tcW w:w="1000" w:type="pct"/>
            <w:vAlign w:val="center"/>
          </w:tcPr>
          <w:p>
            <w:pPr>
              <w:jc w:val="center"/>
              <w:rPr>
                <w:szCs w:val="21"/>
              </w:rPr>
            </w:pPr>
            <w:r>
              <w:rPr>
                <w:szCs w:val="21"/>
              </w:rPr>
              <w:t>Ⅳ</w:t>
            </w:r>
            <w:r>
              <w:rPr>
                <w:rFonts w:hint="eastAsia"/>
                <w:szCs w:val="21"/>
              </w:rPr>
              <w:t>、</w:t>
            </w:r>
            <w:r>
              <w:rPr>
                <w:szCs w:val="21"/>
              </w:rPr>
              <w:t>Ⅳ</w:t>
            </w:r>
            <w:r>
              <w:rPr>
                <w:szCs w:val="21"/>
                <w:vertAlign w:val="superscript"/>
              </w:rPr>
              <w:t>+</w:t>
            </w:r>
          </w:p>
        </w:tc>
        <w:tc>
          <w:tcPr>
            <w:tcW w:w="1000" w:type="pct"/>
            <w:vAlign w:val="center"/>
          </w:tcPr>
          <w:p>
            <w:pPr>
              <w:jc w:val="center"/>
              <w:rPr>
                <w:szCs w:val="21"/>
              </w:rPr>
            </w:pPr>
            <w:r>
              <w:rPr>
                <w:szCs w:val="21"/>
              </w:rPr>
              <w:t>Ⅲ</w:t>
            </w:r>
          </w:p>
        </w:tc>
        <w:tc>
          <w:tcPr>
            <w:tcW w:w="1000" w:type="pct"/>
            <w:vAlign w:val="center"/>
          </w:tcPr>
          <w:p>
            <w:pPr>
              <w:jc w:val="center"/>
              <w:rPr>
                <w:szCs w:val="21"/>
              </w:rPr>
            </w:pPr>
            <w:r>
              <w:rPr>
                <w:szCs w:val="21"/>
              </w:rPr>
              <w:t>Ⅱ</w:t>
            </w:r>
          </w:p>
        </w:tc>
        <w:tc>
          <w:tcPr>
            <w:tcW w:w="1000" w:type="pct"/>
            <w:vAlign w:val="center"/>
          </w:tcPr>
          <w:p>
            <w:pPr>
              <w:jc w:val="center"/>
              <w:rPr>
                <w:szCs w:val="21"/>
              </w:rPr>
            </w:pPr>
            <w:r>
              <w:rPr>
                <w:szCs w:val="21"/>
              </w:rPr>
              <w:t>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000" w:type="pct"/>
            <w:vAlign w:val="center"/>
          </w:tcPr>
          <w:p>
            <w:pPr>
              <w:jc w:val="center"/>
              <w:rPr>
                <w:szCs w:val="21"/>
              </w:rPr>
            </w:pPr>
            <w:r>
              <w:rPr>
                <w:rFonts w:hint="eastAsia"/>
                <w:szCs w:val="21"/>
              </w:rPr>
              <w:t>评价工作等级</w:t>
            </w:r>
          </w:p>
        </w:tc>
        <w:tc>
          <w:tcPr>
            <w:tcW w:w="1000" w:type="pct"/>
            <w:vAlign w:val="center"/>
          </w:tcPr>
          <w:p>
            <w:pPr>
              <w:jc w:val="center"/>
              <w:rPr>
                <w:szCs w:val="21"/>
              </w:rPr>
            </w:pPr>
            <w:r>
              <w:rPr>
                <w:rFonts w:hint="eastAsia"/>
                <w:szCs w:val="21"/>
              </w:rPr>
              <w:t>一</w:t>
            </w:r>
          </w:p>
        </w:tc>
        <w:tc>
          <w:tcPr>
            <w:tcW w:w="1000" w:type="pct"/>
            <w:vAlign w:val="center"/>
          </w:tcPr>
          <w:p>
            <w:pPr>
              <w:jc w:val="center"/>
              <w:rPr>
                <w:szCs w:val="21"/>
              </w:rPr>
            </w:pPr>
            <w:r>
              <w:rPr>
                <w:rFonts w:hint="eastAsia"/>
                <w:szCs w:val="21"/>
              </w:rPr>
              <w:t>二</w:t>
            </w:r>
          </w:p>
        </w:tc>
        <w:tc>
          <w:tcPr>
            <w:tcW w:w="1000" w:type="pct"/>
            <w:vAlign w:val="center"/>
          </w:tcPr>
          <w:p>
            <w:pPr>
              <w:jc w:val="center"/>
              <w:rPr>
                <w:szCs w:val="21"/>
              </w:rPr>
            </w:pPr>
            <w:r>
              <w:rPr>
                <w:rFonts w:hint="eastAsia"/>
                <w:szCs w:val="21"/>
              </w:rPr>
              <w:t>三</w:t>
            </w:r>
          </w:p>
        </w:tc>
        <w:tc>
          <w:tcPr>
            <w:tcW w:w="1000" w:type="pct"/>
            <w:vAlign w:val="center"/>
          </w:tcPr>
          <w:p>
            <w:pPr>
              <w:jc w:val="center"/>
              <w:rPr>
                <w:szCs w:val="21"/>
              </w:rPr>
            </w:pPr>
            <w:r>
              <w:rPr>
                <w:rFonts w:hint="eastAsia"/>
                <w:szCs w:val="21"/>
              </w:rPr>
              <w:t>简单分析</w:t>
            </w:r>
            <w:r>
              <w:rPr>
                <w:rFonts w:hint="eastAsia"/>
                <w:szCs w:val="21"/>
                <w:vertAlign w:val="superscript"/>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000" w:type="pct"/>
            <w:gridSpan w:val="5"/>
            <w:vAlign w:val="center"/>
          </w:tcPr>
          <w:p>
            <w:pPr>
              <w:jc w:val="left"/>
              <w:rPr>
                <w:rFonts w:ascii="黑体" w:hAnsi="黑体" w:eastAsia="黑体"/>
                <w:szCs w:val="21"/>
              </w:rPr>
            </w:pPr>
            <w:r>
              <w:rPr>
                <w:rFonts w:hint="eastAsia" w:ascii="黑体" w:hAnsi="黑体" w:eastAsia="黑体"/>
                <w:szCs w:val="21"/>
                <w:vertAlign w:val="superscript"/>
              </w:rPr>
              <w:t>a</w:t>
            </w:r>
            <w:r>
              <w:rPr>
                <w:rFonts w:hint="eastAsia" w:ascii="黑体" w:hAnsi="黑体" w:eastAsia="黑体"/>
                <w:szCs w:val="21"/>
              </w:rPr>
              <w:t>是相对于详细评价工作内容而言，在描述危险物质、环境影响途径、环境危害后果、风险防范措施等方面给出定性的说明。</w:t>
            </w:r>
          </w:p>
        </w:tc>
      </w:tr>
    </w:tbl>
    <w:p>
      <w:pPr>
        <w:spacing w:line="480" w:lineRule="exact"/>
        <w:ind w:firstLine="480"/>
        <w:rPr>
          <w:sz w:val="24"/>
          <w:szCs w:val="24"/>
        </w:rPr>
      </w:pPr>
      <w:r>
        <w:rPr>
          <w:rFonts w:hint="eastAsia"/>
          <w:sz w:val="24"/>
        </w:rPr>
        <w:t>根据表6</w:t>
      </w:r>
      <w:r>
        <w:rPr>
          <w:sz w:val="24"/>
        </w:rPr>
        <w:t>.2-1</w:t>
      </w:r>
      <w:r>
        <w:rPr>
          <w:rFonts w:hint="eastAsia"/>
          <w:sz w:val="24"/>
        </w:rPr>
        <w:t>、6</w:t>
      </w:r>
      <w:r>
        <w:rPr>
          <w:sz w:val="24"/>
        </w:rPr>
        <w:t>.2-2</w:t>
      </w:r>
      <w:r>
        <w:rPr>
          <w:rFonts w:hint="eastAsia"/>
          <w:sz w:val="24"/>
        </w:rPr>
        <w:t>可知，本项目环境风险潜势为</w:t>
      </w:r>
      <w:r>
        <w:rPr>
          <w:sz w:val="24"/>
          <w:szCs w:val="24"/>
        </w:rPr>
        <w:t>Ⅰ</w:t>
      </w:r>
      <w:r>
        <w:rPr>
          <w:rFonts w:hint="eastAsia"/>
          <w:sz w:val="24"/>
          <w:szCs w:val="24"/>
        </w:rPr>
        <w:t>；因此判定本项目环境环境风险评价等级为简单分析。</w:t>
      </w:r>
    </w:p>
    <w:p>
      <w:pPr>
        <w:pStyle w:val="2"/>
        <w:spacing w:before="156" w:beforeLines="50" w:after="0" w:line="480" w:lineRule="exact"/>
        <w:rPr>
          <w:sz w:val="28"/>
          <w:szCs w:val="28"/>
        </w:rPr>
      </w:pPr>
      <w:bookmarkStart w:id="115" w:name="_Toc19105471"/>
      <w:r>
        <w:rPr>
          <w:rFonts w:hint="eastAsia" w:ascii="Times New Roman" w:hAnsi="Times New Roman"/>
          <w:bCs w:val="0"/>
          <w:spacing w:val="4"/>
          <w:sz w:val="28"/>
          <w:szCs w:val="28"/>
        </w:rPr>
        <w:t>6.</w:t>
      </w:r>
      <w:r>
        <w:rPr>
          <w:rFonts w:ascii="Times New Roman" w:hAnsi="Times New Roman"/>
          <w:bCs w:val="0"/>
          <w:spacing w:val="4"/>
          <w:sz w:val="28"/>
          <w:szCs w:val="28"/>
        </w:rPr>
        <w:t>4</w:t>
      </w:r>
      <w:r>
        <w:rPr>
          <w:rFonts w:hint="eastAsia" w:ascii="Times New Roman" w:hAnsi="Times New Roman"/>
          <w:bCs w:val="0"/>
          <w:spacing w:val="4"/>
          <w:sz w:val="28"/>
          <w:szCs w:val="28"/>
        </w:rPr>
        <w:t>环境风险识别</w:t>
      </w:r>
      <w:bookmarkEnd w:id="115"/>
    </w:p>
    <w:p>
      <w:pPr>
        <w:spacing w:line="480" w:lineRule="exact"/>
        <w:rPr>
          <w:rFonts w:hAnsi="宋体"/>
          <w:b/>
          <w:bCs/>
          <w:sz w:val="24"/>
          <w:szCs w:val="24"/>
        </w:rPr>
      </w:pPr>
      <w:r>
        <w:rPr>
          <w:rFonts w:hint="eastAsia" w:hAnsi="宋体"/>
          <w:b/>
          <w:bCs/>
          <w:sz w:val="24"/>
          <w:szCs w:val="24"/>
        </w:rPr>
        <w:t>1、事故类型分析</w:t>
      </w:r>
    </w:p>
    <w:p>
      <w:pPr>
        <w:spacing w:line="480" w:lineRule="exact"/>
        <w:ind w:firstLine="480" w:firstLineChars="200"/>
        <w:rPr>
          <w:rFonts w:hAnsi="宋体"/>
          <w:bCs/>
          <w:sz w:val="24"/>
          <w:szCs w:val="24"/>
        </w:rPr>
      </w:pPr>
      <w:r>
        <w:rPr>
          <w:rFonts w:hint="eastAsia" w:hAnsi="宋体"/>
          <w:bCs/>
          <w:sz w:val="24"/>
          <w:szCs w:val="24"/>
        </w:rPr>
        <w:t>据调查，世界上95个国家在1987年以前的20-25年内登记的化学事故中，液体化学品事故占47.8%，液化气事故占27.6%，气体事故占18.8%，固体事故占8.2%；在事故来源中工艺过程事故占33.0%，贮存事故占23.1%，运输过程占34.2%；从事故原因看机械故障事故占34.2%，人为因素占22.8%。从发展趋势看90年代以来随着防灾害技术水平的提高，影响很大的灾害性事故发生频率有所降低。</w:t>
      </w:r>
    </w:p>
    <w:p>
      <w:pPr>
        <w:spacing w:line="480" w:lineRule="exact"/>
        <w:ind w:firstLine="480" w:firstLineChars="200"/>
        <w:rPr>
          <w:rFonts w:hAnsi="宋体"/>
          <w:bCs/>
          <w:sz w:val="24"/>
          <w:szCs w:val="24"/>
        </w:rPr>
      </w:pPr>
      <w:bookmarkStart w:id="116" w:name="_Hlk9002193"/>
      <w:r>
        <w:rPr>
          <w:rFonts w:hint="eastAsia" w:hAnsi="宋体"/>
          <w:bCs/>
          <w:sz w:val="24"/>
          <w:szCs w:val="24"/>
        </w:rPr>
        <w:t>本项目的环境风险主要表现在公司非正常生产工况、生产装置管道破损、环保设施非正常运转等情况下突发的泄漏事故导致大气的环境污染；以及</w:t>
      </w:r>
      <w:r>
        <w:rPr>
          <w:rFonts w:hint="eastAsia"/>
          <w:color w:val="000000"/>
          <w:sz w:val="24"/>
          <w:szCs w:val="24"/>
        </w:rPr>
        <w:t>天然气储罐发生泄露时，天然气放散进大气而影响大气环境，</w:t>
      </w:r>
      <w:r>
        <w:rPr>
          <w:rFonts w:hint="eastAsia" w:hAnsi="宋体"/>
          <w:bCs/>
          <w:sz w:val="24"/>
          <w:szCs w:val="24"/>
        </w:rPr>
        <w:t>并可能发生爆炸、火灾等次生事故。</w:t>
      </w:r>
      <w:bookmarkEnd w:id="116"/>
    </w:p>
    <w:p>
      <w:pPr>
        <w:spacing w:line="480" w:lineRule="exact"/>
        <w:rPr>
          <w:rFonts w:hAnsi="宋体"/>
          <w:b/>
          <w:bCs/>
          <w:sz w:val="24"/>
          <w:szCs w:val="24"/>
        </w:rPr>
      </w:pPr>
      <w:r>
        <w:rPr>
          <w:rFonts w:hint="eastAsia" w:hAnsi="宋体"/>
          <w:b/>
          <w:bCs/>
          <w:sz w:val="24"/>
          <w:szCs w:val="24"/>
        </w:rPr>
        <w:t>2、最大可信事故</w:t>
      </w:r>
    </w:p>
    <w:p>
      <w:pPr>
        <w:spacing w:line="480" w:lineRule="exact"/>
        <w:ind w:firstLine="480" w:firstLineChars="200"/>
        <w:rPr>
          <w:rFonts w:hAnsi="宋体"/>
          <w:bCs/>
          <w:sz w:val="24"/>
          <w:szCs w:val="24"/>
        </w:rPr>
      </w:pPr>
      <w:r>
        <w:rPr>
          <w:rFonts w:hint="eastAsia" w:hAnsi="宋体"/>
          <w:bCs/>
          <w:sz w:val="24"/>
          <w:szCs w:val="24"/>
        </w:rPr>
        <w:t>最大可信事故是基于经验统计分析，在一定可能性区间内发生的事故中，造成环境危害最严重的事故。本次风险评价不考虑工程外部事故风险因素（如地震、雷电、战争、人为蓄意破坏等），主要考虑可能对厂外环境造成危害及伤害的事故。</w:t>
      </w:r>
    </w:p>
    <w:p>
      <w:pPr>
        <w:spacing w:line="480" w:lineRule="exact"/>
        <w:ind w:firstLine="480" w:firstLineChars="200"/>
        <w:rPr>
          <w:rFonts w:hAnsi="宋体"/>
          <w:bCs/>
          <w:sz w:val="24"/>
          <w:szCs w:val="24"/>
        </w:rPr>
      </w:pPr>
      <w:r>
        <w:rPr>
          <w:rFonts w:hint="eastAsia" w:hAnsi="宋体"/>
          <w:bCs/>
          <w:sz w:val="24"/>
          <w:szCs w:val="24"/>
        </w:rPr>
        <w:t>根据物质危险性识别，生产系统危险性识别的分析结论，本项目事故类型主要是泄漏。本项目危险物质为脱硫工序脱硫罐脱硫过程中产生的苯、甲苯、二甲苯、硫化氢等污染物以及液化天然气储罐存储的液化天然气，可能影响途径为脱硫罐、液化天然气储罐泄漏喷出的高压气体扩散至大气中。</w:t>
      </w:r>
    </w:p>
    <w:p>
      <w:pPr>
        <w:spacing w:line="480" w:lineRule="exact"/>
        <w:ind w:firstLine="480" w:firstLineChars="200"/>
        <w:rPr>
          <w:rFonts w:hAnsi="宋体"/>
          <w:bCs/>
          <w:sz w:val="24"/>
          <w:szCs w:val="24"/>
        </w:rPr>
      </w:pPr>
      <w:r>
        <w:rPr>
          <w:rFonts w:hint="eastAsia" w:hAnsi="宋体"/>
          <w:bCs/>
          <w:sz w:val="24"/>
          <w:szCs w:val="24"/>
        </w:rPr>
        <w:t>泄漏事故类型如容器、管道、泵体、压缩机、装卸臂和装卸软管的泄漏和破裂等，泄漏频率详见下表。</w:t>
      </w:r>
    </w:p>
    <w:p>
      <w:pPr>
        <w:spacing w:line="480" w:lineRule="exact"/>
        <w:jc w:val="center"/>
        <w:rPr>
          <w:rFonts w:ascii="黑体" w:hAnsi="黑体" w:eastAsia="黑体"/>
          <w:sz w:val="24"/>
        </w:rPr>
      </w:pPr>
      <w:r>
        <w:rPr>
          <w:rFonts w:hint="eastAsia" w:ascii="黑体" w:hAnsi="黑体" w:eastAsia="黑体"/>
          <w:bCs/>
          <w:sz w:val="24"/>
          <w:szCs w:val="24"/>
        </w:rPr>
        <w:t>表6</w:t>
      </w:r>
      <w:r>
        <w:rPr>
          <w:rFonts w:ascii="黑体" w:hAnsi="黑体" w:eastAsia="黑体"/>
          <w:bCs/>
          <w:sz w:val="24"/>
          <w:szCs w:val="24"/>
        </w:rPr>
        <w:t>.</w:t>
      </w:r>
      <w:r>
        <w:rPr>
          <w:rFonts w:hint="eastAsia" w:ascii="黑体" w:hAnsi="黑体" w:eastAsia="黑体"/>
          <w:bCs/>
          <w:sz w:val="24"/>
          <w:szCs w:val="24"/>
        </w:rPr>
        <w:t>4</w:t>
      </w:r>
      <w:r>
        <w:rPr>
          <w:rFonts w:ascii="黑体" w:hAnsi="黑体" w:eastAsia="黑体"/>
          <w:bCs/>
          <w:sz w:val="24"/>
          <w:szCs w:val="24"/>
        </w:rPr>
        <w:t xml:space="preserve">-1 </w:t>
      </w:r>
      <w:r>
        <w:rPr>
          <w:rFonts w:hint="eastAsia" w:ascii="黑体" w:hAnsi="黑体" w:eastAsia="黑体"/>
          <w:bCs/>
          <w:sz w:val="24"/>
          <w:szCs w:val="24"/>
        </w:rPr>
        <w:t>泄漏频率表</w:t>
      </w:r>
    </w:p>
    <w:tbl>
      <w:tblPr>
        <w:tblStyle w:val="3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82"/>
        <w:gridCol w:w="2982"/>
        <w:gridCol w:w="298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982" w:type="dxa"/>
            <w:vAlign w:val="center"/>
          </w:tcPr>
          <w:p>
            <w:pPr>
              <w:jc w:val="center"/>
              <w:rPr>
                <w:szCs w:val="21"/>
              </w:rPr>
            </w:pPr>
            <w:r>
              <w:rPr>
                <w:rFonts w:hint="eastAsia"/>
                <w:szCs w:val="21"/>
              </w:rPr>
              <w:t>部件类型</w:t>
            </w:r>
          </w:p>
        </w:tc>
        <w:tc>
          <w:tcPr>
            <w:tcW w:w="2982" w:type="dxa"/>
            <w:vAlign w:val="center"/>
          </w:tcPr>
          <w:p>
            <w:pPr>
              <w:jc w:val="center"/>
              <w:rPr>
                <w:szCs w:val="21"/>
              </w:rPr>
            </w:pPr>
            <w:r>
              <w:rPr>
                <w:rFonts w:hint="eastAsia"/>
                <w:szCs w:val="21"/>
              </w:rPr>
              <w:t>泄漏模式</w:t>
            </w:r>
          </w:p>
        </w:tc>
        <w:tc>
          <w:tcPr>
            <w:tcW w:w="2982" w:type="dxa"/>
            <w:vAlign w:val="center"/>
          </w:tcPr>
          <w:p>
            <w:pPr>
              <w:jc w:val="center"/>
              <w:rPr>
                <w:szCs w:val="21"/>
              </w:rPr>
            </w:pPr>
            <w:r>
              <w:rPr>
                <w:rFonts w:hint="eastAsia"/>
                <w:szCs w:val="21"/>
              </w:rPr>
              <w:t>泄漏频率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982" w:type="dxa"/>
            <w:vAlign w:val="center"/>
          </w:tcPr>
          <w:p>
            <w:pPr>
              <w:jc w:val="left"/>
              <w:rPr>
                <w:szCs w:val="21"/>
              </w:rPr>
            </w:pPr>
            <w:r>
              <w:rPr>
                <w:rFonts w:hint="eastAsia"/>
                <w:szCs w:val="21"/>
              </w:rPr>
              <w:t>反应器/工艺储罐/气体储罐/塔器</w:t>
            </w:r>
          </w:p>
        </w:tc>
        <w:tc>
          <w:tcPr>
            <w:tcW w:w="2982" w:type="dxa"/>
            <w:vAlign w:val="center"/>
          </w:tcPr>
          <w:p>
            <w:pPr>
              <w:jc w:val="left"/>
              <w:rPr>
                <w:szCs w:val="21"/>
              </w:rPr>
            </w:pPr>
            <w:r>
              <w:rPr>
                <w:rFonts w:hint="eastAsia"/>
                <w:szCs w:val="21"/>
              </w:rPr>
              <w:t>泄漏孔径10mm孔径</w:t>
            </w:r>
          </w:p>
          <w:p>
            <w:pPr>
              <w:jc w:val="left"/>
              <w:rPr>
                <w:szCs w:val="21"/>
              </w:rPr>
            </w:pPr>
            <w:r>
              <w:rPr>
                <w:rFonts w:hint="eastAsia"/>
                <w:szCs w:val="21"/>
              </w:rPr>
              <w:t>10min内储罐泄漏完</w:t>
            </w:r>
          </w:p>
          <w:p>
            <w:pPr>
              <w:jc w:val="left"/>
              <w:rPr>
                <w:szCs w:val="21"/>
              </w:rPr>
            </w:pPr>
            <w:r>
              <w:rPr>
                <w:rFonts w:hint="eastAsia"/>
                <w:szCs w:val="21"/>
              </w:rPr>
              <w:t>储罐全破裂</w:t>
            </w:r>
          </w:p>
        </w:tc>
        <w:tc>
          <w:tcPr>
            <w:tcW w:w="2982" w:type="dxa"/>
            <w:vAlign w:val="center"/>
          </w:tcPr>
          <w:p>
            <w:pPr>
              <w:jc w:val="left"/>
              <w:rPr>
                <w:szCs w:val="21"/>
              </w:rPr>
            </w:pPr>
            <w:r>
              <w:rPr>
                <w:rFonts w:hint="eastAsia"/>
                <w:szCs w:val="21"/>
              </w:rPr>
              <w:t>1.00×10</w:t>
            </w:r>
            <w:r>
              <w:rPr>
                <w:rFonts w:hint="eastAsia"/>
                <w:szCs w:val="21"/>
                <w:vertAlign w:val="superscript"/>
              </w:rPr>
              <w:t>-4</w:t>
            </w:r>
            <w:r>
              <w:rPr>
                <w:rFonts w:hint="eastAsia"/>
                <w:szCs w:val="21"/>
              </w:rPr>
              <w:t>/a</w:t>
            </w:r>
          </w:p>
          <w:p>
            <w:pPr>
              <w:jc w:val="left"/>
              <w:rPr>
                <w:szCs w:val="21"/>
              </w:rPr>
            </w:pPr>
            <w:r>
              <w:rPr>
                <w:rFonts w:hint="eastAsia"/>
                <w:szCs w:val="21"/>
              </w:rPr>
              <w:t>5.00×10</w:t>
            </w:r>
            <w:r>
              <w:rPr>
                <w:rFonts w:hint="eastAsia"/>
                <w:szCs w:val="21"/>
                <w:vertAlign w:val="superscript"/>
              </w:rPr>
              <w:t>-6</w:t>
            </w:r>
            <w:r>
              <w:rPr>
                <w:rFonts w:hint="eastAsia"/>
                <w:szCs w:val="21"/>
              </w:rPr>
              <w:t>/a</w:t>
            </w:r>
          </w:p>
          <w:p>
            <w:pPr>
              <w:jc w:val="left"/>
              <w:rPr>
                <w:szCs w:val="21"/>
              </w:rPr>
            </w:pPr>
            <w:r>
              <w:rPr>
                <w:rFonts w:hint="eastAsia"/>
                <w:szCs w:val="21"/>
              </w:rPr>
              <w:t>5.00×10</w:t>
            </w:r>
            <w:r>
              <w:rPr>
                <w:rFonts w:hint="eastAsia"/>
                <w:szCs w:val="21"/>
                <w:vertAlign w:val="superscript"/>
              </w:rPr>
              <w:t>-6</w:t>
            </w:r>
            <w:r>
              <w:rPr>
                <w:rFonts w:hint="eastAsia"/>
                <w:szCs w:val="2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982" w:type="dxa"/>
            <w:vAlign w:val="center"/>
          </w:tcPr>
          <w:p>
            <w:pPr>
              <w:jc w:val="left"/>
              <w:rPr>
                <w:szCs w:val="21"/>
              </w:rPr>
            </w:pPr>
            <w:r>
              <w:rPr>
                <w:rFonts w:hint="eastAsia"/>
                <w:szCs w:val="21"/>
              </w:rPr>
              <w:t>内径≤75mm的管道</w:t>
            </w:r>
          </w:p>
        </w:tc>
        <w:tc>
          <w:tcPr>
            <w:tcW w:w="2982" w:type="dxa"/>
            <w:vAlign w:val="center"/>
          </w:tcPr>
          <w:p>
            <w:pPr>
              <w:jc w:val="left"/>
              <w:rPr>
                <w:szCs w:val="21"/>
              </w:rPr>
            </w:pPr>
            <w:r>
              <w:rPr>
                <w:rFonts w:hint="eastAsia"/>
                <w:szCs w:val="21"/>
              </w:rPr>
              <w:t>泄漏孔径为10%孔径</w:t>
            </w:r>
          </w:p>
          <w:p>
            <w:pPr>
              <w:jc w:val="left"/>
              <w:rPr>
                <w:szCs w:val="21"/>
              </w:rPr>
            </w:pPr>
            <w:r>
              <w:rPr>
                <w:rFonts w:hint="eastAsia"/>
                <w:szCs w:val="21"/>
              </w:rPr>
              <w:t>全管径泄漏</w:t>
            </w:r>
          </w:p>
        </w:tc>
        <w:tc>
          <w:tcPr>
            <w:tcW w:w="2982" w:type="dxa"/>
            <w:vAlign w:val="center"/>
          </w:tcPr>
          <w:p>
            <w:pPr>
              <w:jc w:val="left"/>
              <w:rPr>
                <w:szCs w:val="21"/>
              </w:rPr>
            </w:pPr>
            <w:r>
              <w:rPr>
                <w:rFonts w:hint="eastAsia"/>
                <w:szCs w:val="21"/>
              </w:rPr>
              <w:t>5.00×10</w:t>
            </w:r>
            <w:r>
              <w:rPr>
                <w:rFonts w:hint="eastAsia"/>
                <w:szCs w:val="21"/>
                <w:vertAlign w:val="superscript"/>
              </w:rPr>
              <w:t>-6</w:t>
            </w:r>
            <w:r>
              <w:rPr>
                <w:rFonts w:hint="eastAsia"/>
                <w:szCs w:val="21"/>
              </w:rPr>
              <w:t>/（m·a）</w:t>
            </w:r>
          </w:p>
          <w:p>
            <w:pPr>
              <w:jc w:val="left"/>
              <w:rPr>
                <w:szCs w:val="21"/>
              </w:rPr>
            </w:pPr>
            <w:r>
              <w:rPr>
                <w:rFonts w:hint="eastAsia"/>
                <w:szCs w:val="21"/>
              </w:rPr>
              <w:t>1.00×10</w:t>
            </w:r>
            <w:r>
              <w:rPr>
                <w:rFonts w:hint="eastAsia"/>
                <w:szCs w:val="21"/>
                <w:vertAlign w:val="superscript"/>
              </w:rPr>
              <w:t>-6</w:t>
            </w:r>
            <w:r>
              <w:rPr>
                <w:rFonts w:hint="eastAsia"/>
                <w:szCs w:val="21"/>
              </w:rPr>
              <w:t>/（m·a）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982" w:type="dxa"/>
            <w:vAlign w:val="center"/>
          </w:tcPr>
          <w:p>
            <w:pPr>
              <w:jc w:val="left"/>
              <w:rPr>
                <w:szCs w:val="21"/>
              </w:rPr>
            </w:pPr>
            <w:r>
              <w:rPr>
                <w:rFonts w:hint="eastAsia"/>
                <w:szCs w:val="21"/>
              </w:rPr>
              <w:t>75mm＜内径≤150mm的管道</w:t>
            </w:r>
          </w:p>
        </w:tc>
        <w:tc>
          <w:tcPr>
            <w:tcW w:w="2982" w:type="dxa"/>
            <w:vAlign w:val="center"/>
          </w:tcPr>
          <w:p>
            <w:pPr>
              <w:jc w:val="left"/>
              <w:rPr>
                <w:szCs w:val="21"/>
              </w:rPr>
            </w:pPr>
            <w:r>
              <w:rPr>
                <w:rFonts w:hint="eastAsia"/>
                <w:szCs w:val="21"/>
              </w:rPr>
              <w:t>泄漏孔径为10%孔径</w:t>
            </w:r>
          </w:p>
          <w:p>
            <w:pPr>
              <w:jc w:val="left"/>
              <w:rPr>
                <w:szCs w:val="21"/>
              </w:rPr>
            </w:pPr>
            <w:r>
              <w:rPr>
                <w:rFonts w:hint="eastAsia"/>
                <w:szCs w:val="21"/>
              </w:rPr>
              <w:t>全管径泄漏</w:t>
            </w:r>
          </w:p>
        </w:tc>
        <w:tc>
          <w:tcPr>
            <w:tcW w:w="2982" w:type="dxa"/>
            <w:vAlign w:val="center"/>
          </w:tcPr>
          <w:p>
            <w:pPr>
              <w:jc w:val="left"/>
              <w:rPr>
                <w:szCs w:val="21"/>
              </w:rPr>
            </w:pPr>
            <w:r>
              <w:rPr>
                <w:rFonts w:hint="eastAsia"/>
                <w:szCs w:val="21"/>
              </w:rPr>
              <w:t>2.00×10</w:t>
            </w:r>
            <w:r>
              <w:rPr>
                <w:rFonts w:hint="eastAsia"/>
                <w:szCs w:val="21"/>
                <w:vertAlign w:val="superscript"/>
              </w:rPr>
              <w:t>-6</w:t>
            </w:r>
            <w:r>
              <w:rPr>
                <w:rFonts w:hint="eastAsia"/>
                <w:szCs w:val="21"/>
              </w:rPr>
              <w:t>/（m·a）</w:t>
            </w:r>
          </w:p>
          <w:p>
            <w:pPr>
              <w:jc w:val="left"/>
              <w:rPr>
                <w:szCs w:val="21"/>
              </w:rPr>
            </w:pPr>
            <w:r>
              <w:rPr>
                <w:rFonts w:hint="eastAsia"/>
                <w:szCs w:val="21"/>
              </w:rPr>
              <w:t>3.00×10</w:t>
            </w:r>
            <w:r>
              <w:rPr>
                <w:rFonts w:hint="eastAsia"/>
                <w:szCs w:val="21"/>
                <w:vertAlign w:val="superscript"/>
              </w:rPr>
              <w:t>-7</w:t>
            </w:r>
            <w:r>
              <w:rPr>
                <w:rFonts w:hint="eastAsia"/>
                <w:szCs w:val="21"/>
              </w:rPr>
              <w:t>/（m·a）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982" w:type="dxa"/>
            <w:vAlign w:val="center"/>
          </w:tcPr>
          <w:p>
            <w:pPr>
              <w:jc w:val="left"/>
              <w:rPr>
                <w:szCs w:val="21"/>
              </w:rPr>
            </w:pPr>
            <w:r>
              <w:rPr>
                <w:rFonts w:hint="eastAsia"/>
                <w:szCs w:val="21"/>
              </w:rPr>
              <w:t>内径＞150mm的管道</w:t>
            </w:r>
          </w:p>
        </w:tc>
        <w:tc>
          <w:tcPr>
            <w:tcW w:w="2982" w:type="dxa"/>
            <w:vAlign w:val="center"/>
          </w:tcPr>
          <w:p>
            <w:pPr>
              <w:jc w:val="left"/>
              <w:rPr>
                <w:szCs w:val="21"/>
              </w:rPr>
            </w:pPr>
            <w:r>
              <w:rPr>
                <w:rFonts w:hint="eastAsia"/>
                <w:szCs w:val="21"/>
              </w:rPr>
              <w:t>泄漏孔径为10%孔径（最大50mm）</w:t>
            </w:r>
          </w:p>
          <w:p>
            <w:pPr>
              <w:jc w:val="left"/>
              <w:rPr>
                <w:szCs w:val="21"/>
              </w:rPr>
            </w:pPr>
            <w:r>
              <w:rPr>
                <w:rFonts w:hint="eastAsia"/>
                <w:szCs w:val="21"/>
              </w:rPr>
              <w:t>全管径泄漏</w:t>
            </w:r>
          </w:p>
        </w:tc>
        <w:tc>
          <w:tcPr>
            <w:tcW w:w="2982" w:type="dxa"/>
            <w:vAlign w:val="center"/>
          </w:tcPr>
          <w:p>
            <w:pPr>
              <w:jc w:val="left"/>
              <w:rPr>
                <w:szCs w:val="21"/>
              </w:rPr>
            </w:pPr>
            <w:r>
              <w:rPr>
                <w:rFonts w:hint="eastAsia"/>
                <w:szCs w:val="21"/>
              </w:rPr>
              <w:t>2.40×10</w:t>
            </w:r>
            <w:r>
              <w:rPr>
                <w:rFonts w:hint="eastAsia"/>
                <w:szCs w:val="21"/>
                <w:vertAlign w:val="superscript"/>
              </w:rPr>
              <w:t>-6</w:t>
            </w:r>
            <w:r>
              <w:rPr>
                <w:rFonts w:hint="eastAsia"/>
                <w:szCs w:val="21"/>
              </w:rPr>
              <w:t>/（m·a）</w:t>
            </w:r>
          </w:p>
          <w:p>
            <w:pPr>
              <w:jc w:val="left"/>
              <w:rPr>
                <w:szCs w:val="21"/>
              </w:rPr>
            </w:pPr>
          </w:p>
          <w:p>
            <w:pPr>
              <w:jc w:val="left"/>
              <w:rPr>
                <w:szCs w:val="21"/>
              </w:rPr>
            </w:pPr>
            <w:r>
              <w:rPr>
                <w:rFonts w:hint="eastAsia"/>
                <w:szCs w:val="21"/>
              </w:rPr>
              <w:t>1.00×10</w:t>
            </w:r>
            <w:r>
              <w:rPr>
                <w:rFonts w:hint="eastAsia"/>
                <w:szCs w:val="21"/>
                <w:vertAlign w:val="superscript"/>
              </w:rPr>
              <w:t>-7</w:t>
            </w:r>
            <w:r>
              <w:rPr>
                <w:rFonts w:hint="eastAsia"/>
                <w:szCs w:val="21"/>
              </w:rPr>
              <w:t>/（m·a）</w:t>
            </w:r>
          </w:p>
        </w:tc>
      </w:tr>
    </w:tbl>
    <w:p>
      <w:pPr>
        <w:spacing w:line="480" w:lineRule="exact"/>
        <w:ind w:firstLine="480" w:firstLineChars="200"/>
        <w:rPr>
          <w:rFonts w:hAnsi="宋体"/>
          <w:bCs/>
          <w:sz w:val="24"/>
          <w:szCs w:val="24"/>
        </w:rPr>
      </w:pPr>
      <w:r>
        <w:rPr>
          <w:rFonts w:hint="eastAsia" w:hAnsi="宋体"/>
          <w:bCs/>
          <w:sz w:val="24"/>
          <w:szCs w:val="24"/>
        </w:rPr>
        <w:t>从上表可见，生产车间反应器、储罐、输送管等损坏泄漏事故的概率相对较大，发生概率为10</w:t>
      </w:r>
      <w:r>
        <w:rPr>
          <w:rFonts w:hint="eastAsia" w:hAnsi="宋体"/>
          <w:bCs/>
          <w:sz w:val="24"/>
          <w:szCs w:val="24"/>
          <w:vertAlign w:val="superscript"/>
        </w:rPr>
        <w:t>-4</w:t>
      </w:r>
      <w:r>
        <w:rPr>
          <w:rFonts w:hint="eastAsia" w:hAnsi="宋体"/>
          <w:bCs/>
          <w:sz w:val="24"/>
          <w:szCs w:val="24"/>
        </w:rPr>
        <w:t>~10</w:t>
      </w:r>
      <w:r>
        <w:rPr>
          <w:rFonts w:hint="eastAsia" w:hAnsi="宋体"/>
          <w:bCs/>
          <w:sz w:val="24"/>
          <w:szCs w:val="24"/>
          <w:vertAlign w:val="superscript"/>
        </w:rPr>
        <w:t>-6</w:t>
      </w:r>
      <w:r>
        <w:rPr>
          <w:rFonts w:hint="eastAsia" w:hAnsi="宋体"/>
          <w:bCs/>
          <w:sz w:val="24"/>
          <w:szCs w:val="24"/>
        </w:rPr>
        <w:t>，而管道泄漏事故概率为10</w:t>
      </w:r>
      <w:r>
        <w:rPr>
          <w:rFonts w:hint="eastAsia" w:hAnsi="宋体"/>
          <w:bCs/>
          <w:sz w:val="24"/>
          <w:szCs w:val="24"/>
          <w:vertAlign w:val="superscript"/>
        </w:rPr>
        <w:t>-6</w:t>
      </w:r>
      <w:r>
        <w:rPr>
          <w:rFonts w:hint="eastAsia" w:hAnsi="宋体"/>
          <w:bCs/>
          <w:sz w:val="24"/>
          <w:szCs w:val="24"/>
        </w:rPr>
        <w:t>~10</w:t>
      </w:r>
      <w:r>
        <w:rPr>
          <w:rFonts w:hint="eastAsia" w:hAnsi="宋体"/>
          <w:bCs/>
          <w:sz w:val="24"/>
          <w:szCs w:val="24"/>
          <w:vertAlign w:val="superscript"/>
        </w:rPr>
        <w:t>-7</w:t>
      </w:r>
      <w:r>
        <w:rPr>
          <w:rFonts w:hint="eastAsia" w:hAnsi="宋体"/>
          <w:bCs/>
          <w:sz w:val="24"/>
          <w:szCs w:val="24"/>
        </w:rPr>
        <w:t>，属于极少发生的事故。本次评价根据HJ169-2018选择发生频率为10</w:t>
      </w:r>
      <w:r>
        <w:rPr>
          <w:rFonts w:hint="eastAsia" w:hAnsi="宋体"/>
          <w:bCs/>
          <w:sz w:val="24"/>
          <w:szCs w:val="24"/>
          <w:vertAlign w:val="superscript"/>
        </w:rPr>
        <w:t>-6</w:t>
      </w:r>
      <w:r>
        <w:rPr>
          <w:rFonts w:hint="eastAsia" w:hAnsi="宋体"/>
          <w:bCs/>
          <w:sz w:val="24"/>
          <w:szCs w:val="24"/>
        </w:rPr>
        <w:t>/年的事件作为代表性事故情形中最大可信事故。</w:t>
      </w:r>
    </w:p>
    <w:p>
      <w:pPr>
        <w:spacing w:line="480" w:lineRule="exact"/>
        <w:rPr>
          <w:rFonts w:hAnsi="宋体"/>
          <w:b/>
          <w:bCs/>
          <w:sz w:val="24"/>
          <w:szCs w:val="24"/>
        </w:rPr>
      </w:pPr>
      <w:r>
        <w:rPr>
          <w:rFonts w:hint="eastAsia" w:hAnsi="宋体"/>
          <w:b/>
          <w:bCs/>
          <w:sz w:val="24"/>
          <w:szCs w:val="24"/>
        </w:rPr>
        <w:t>3、源项分析</w:t>
      </w:r>
    </w:p>
    <w:p>
      <w:pPr>
        <w:spacing w:line="480" w:lineRule="exact"/>
        <w:ind w:firstLine="480" w:firstLineChars="200"/>
        <w:rPr>
          <w:sz w:val="24"/>
        </w:rPr>
      </w:pPr>
      <w:bookmarkStart w:id="117" w:name="_Hlk9002205"/>
      <w:bookmarkStart w:id="118" w:name="_Hlk8212768"/>
      <w:r>
        <w:rPr>
          <w:rFonts w:hint="eastAsia"/>
          <w:sz w:val="24"/>
        </w:rPr>
        <w:t>加压存储的可燃液化气体，由于机械碰撞、制造上的缺陷及腐蚀等使内部压力过高时造成容器破裂，所盛液体瞬时泄漏，并在环境温度高于其沸点时急剧气化，如果遇到火源就会发生剧烈的燃烧，产生巨大的火球，形成强烈的热辐射；此种现象称为沸腾液体扩展为蒸汽爆炸；本项目设有1个2</w:t>
      </w:r>
      <w:r>
        <w:rPr>
          <w:sz w:val="24"/>
        </w:rPr>
        <w:t>0</w:t>
      </w:r>
      <w:r>
        <w:rPr>
          <w:rFonts w:hint="eastAsia"/>
          <w:sz w:val="24"/>
        </w:rPr>
        <w:t>m</w:t>
      </w:r>
      <w:r>
        <w:rPr>
          <w:sz w:val="24"/>
          <w:vertAlign w:val="superscript"/>
        </w:rPr>
        <w:t>3</w:t>
      </w:r>
      <w:r>
        <w:rPr>
          <w:rFonts w:hint="eastAsia"/>
          <w:sz w:val="24"/>
        </w:rPr>
        <w:t>液化天然气储罐，最大储存量为8</w:t>
      </w:r>
      <w:r>
        <w:rPr>
          <w:sz w:val="24"/>
        </w:rPr>
        <w:t>.1</w:t>
      </w:r>
      <w:r>
        <w:rPr>
          <w:rFonts w:hint="eastAsia"/>
          <w:sz w:val="24"/>
        </w:rPr>
        <w:t>t；泄漏发生后，短时间内将全部泄漏。</w:t>
      </w:r>
      <w:bookmarkEnd w:id="117"/>
      <w:bookmarkEnd w:id="118"/>
    </w:p>
    <w:p>
      <w:pPr>
        <w:pStyle w:val="2"/>
        <w:spacing w:before="156" w:beforeLines="50" w:after="0" w:line="480" w:lineRule="exact"/>
        <w:rPr>
          <w:rFonts w:ascii="Times New Roman" w:hAnsi="Times New Roman"/>
          <w:bCs w:val="0"/>
          <w:spacing w:val="4"/>
          <w:sz w:val="28"/>
          <w:szCs w:val="28"/>
        </w:rPr>
      </w:pPr>
      <w:bookmarkStart w:id="119" w:name="_Toc19105472"/>
      <w:r>
        <w:rPr>
          <w:rFonts w:hint="eastAsia" w:ascii="Times New Roman" w:hAnsi="Times New Roman"/>
          <w:bCs w:val="0"/>
          <w:spacing w:val="4"/>
          <w:sz w:val="28"/>
          <w:szCs w:val="28"/>
        </w:rPr>
        <w:t>6.</w:t>
      </w:r>
      <w:r>
        <w:rPr>
          <w:rFonts w:ascii="Times New Roman" w:hAnsi="Times New Roman"/>
          <w:bCs w:val="0"/>
          <w:spacing w:val="4"/>
          <w:sz w:val="28"/>
          <w:szCs w:val="28"/>
        </w:rPr>
        <w:t>5</w:t>
      </w:r>
      <w:r>
        <w:rPr>
          <w:rFonts w:hint="eastAsia"/>
          <w:sz w:val="28"/>
          <w:szCs w:val="28"/>
        </w:rPr>
        <w:t>环境风险分析</w:t>
      </w:r>
      <w:bookmarkEnd w:id="119"/>
    </w:p>
    <w:p>
      <w:pPr>
        <w:spacing w:line="480" w:lineRule="exact"/>
        <w:ind w:firstLine="480" w:firstLineChars="200"/>
        <w:rPr>
          <w:rFonts w:ascii="宋体" w:hAnsi="宋体"/>
          <w:color w:val="000000"/>
          <w:sz w:val="24"/>
        </w:rPr>
      </w:pPr>
      <w:r>
        <w:rPr>
          <w:rFonts w:hint="eastAsia" w:ascii="宋体" w:hAnsi="宋体"/>
          <w:color w:val="000000"/>
          <w:sz w:val="24"/>
        </w:rPr>
        <w:t>风险的单位多采用“死亡/年”，由此可以看出安全和风险是相伴而生的，风险事故的发生频率不可能为零。通常事故危害所导致的风险水平可分为最大可接受水平和可忽略水平。下表列出了一些机构和研究者推荐的最大可接受风险水平和可忽略水平。</w:t>
      </w:r>
    </w:p>
    <w:p>
      <w:pPr>
        <w:spacing w:line="480" w:lineRule="exact"/>
        <w:ind w:firstLine="480" w:firstLineChars="200"/>
        <w:jc w:val="center"/>
        <w:rPr>
          <w:rFonts w:ascii="黑体" w:hAnsi="黑体" w:eastAsia="黑体"/>
          <w:bCs/>
          <w:sz w:val="24"/>
          <w:szCs w:val="24"/>
        </w:rPr>
      </w:pPr>
      <w:r>
        <w:rPr>
          <w:rFonts w:hint="eastAsia" w:ascii="黑体" w:hAnsi="黑体" w:eastAsia="黑体"/>
          <w:bCs/>
          <w:sz w:val="24"/>
          <w:szCs w:val="24"/>
        </w:rPr>
        <w:t>表6.</w:t>
      </w:r>
      <w:r>
        <w:rPr>
          <w:rFonts w:ascii="黑体" w:hAnsi="黑体" w:eastAsia="黑体"/>
          <w:bCs/>
          <w:sz w:val="24"/>
          <w:szCs w:val="24"/>
        </w:rPr>
        <w:t>5</w:t>
      </w:r>
      <w:r>
        <w:rPr>
          <w:rFonts w:hint="eastAsia" w:ascii="黑体" w:hAnsi="黑体" w:eastAsia="黑体"/>
          <w:bCs/>
          <w:sz w:val="24"/>
          <w:szCs w:val="24"/>
        </w:rPr>
        <w:t>-1  最大可接受水平和可忽略水平的推荐值</w:t>
      </w:r>
    </w:p>
    <w:tbl>
      <w:tblPr>
        <w:tblStyle w:val="31"/>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655"/>
        <w:gridCol w:w="2707"/>
        <w:gridCol w:w="2218"/>
        <w:gridCol w:w="14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5"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机构</w:t>
            </w:r>
            <w:r>
              <w:rPr>
                <w:rFonts w:cs="宋体"/>
                <w:color w:val="000000"/>
                <w:kern w:val="0"/>
                <w:szCs w:val="21"/>
              </w:rPr>
              <w:t>/</w:t>
            </w:r>
            <w:r>
              <w:rPr>
                <w:rFonts w:hint="eastAsia" w:cs="宋体"/>
                <w:color w:val="000000"/>
                <w:kern w:val="0"/>
                <w:szCs w:val="21"/>
              </w:rPr>
              <w:t>研究者</w:t>
            </w:r>
          </w:p>
        </w:tc>
        <w:tc>
          <w:tcPr>
            <w:tcW w:w="149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最大可接受水平（</w:t>
            </w:r>
            <w:r>
              <w:rPr>
                <w:rFonts w:cs="宋体"/>
                <w:color w:val="000000"/>
                <w:kern w:val="0"/>
                <w:szCs w:val="21"/>
              </w:rPr>
              <w:t>a</w:t>
            </w:r>
            <w:r>
              <w:rPr>
                <w:rFonts w:cs="宋体"/>
                <w:color w:val="000000"/>
                <w:kern w:val="0"/>
                <w:szCs w:val="21"/>
                <w:vertAlign w:val="superscript"/>
              </w:rPr>
              <w:t>-1</w:t>
            </w:r>
            <w:r>
              <w:rPr>
                <w:rFonts w:hint="eastAsia" w:cs="宋体"/>
                <w:color w:val="000000"/>
                <w:kern w:val="0"/>
                <w:szCs w:val="21"/>
              </w:rPr>
              <w:t>）</w:t>
            </w:r>
          </w:p>
        </w:tc>
        <w:tc>
          <w:tcPr>
            <w:tcW w:w="122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可忽略水平（</w:t>
            </w:r>
            <w:r>
              <w:rPr>
                <w:rFonts w:cs="宋体"/>
                <w:color w:val="000000"/>
                <w:kern w:val="0"/>
                <w:szCs w:val="21"/>
              </w:rPr>
              <w:t>a</w:t>
            </w:r>
            <w:r>
              <w:rPr>
                <w:rFonts w:cs="宋体"/>
                <w:color w:val="000000"/>
                <w:kern w:val="0"/>
                <w:szCs w:val="21"/>
                <w:vertAlign w:val="superscript"/>
              </w:rPr>
              <w:t>-1</w:t>
            </w:r>
            <w:r>
              <w:rPr>
                <w:rFonts w:hint="eastAsia" w:cs="宋体"/>
                <w:color w:val="000000"/>
                <w:kern w:val="0"/>
                <w:szCs w:val="21"/>
              </w:rPr>
              <w:t>）</w:t>
            </w:r>
          </w:p>
        </w:tc>
        <w:tc>
          <w:tcPr>
            <w:tcW w:w="81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5"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瑞典环境保护局</w:t>
            </w:r>
          </w:p>
        </w:tc>
        <w:tc>
          <w:tcPr>
            <w:tcW w:w="149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1×10</w:t>
            </w:r>
            <w:r>
              <w:rPr>
                <w:rFonts w:cs="宋体"/>
                <w:color w:val="000000"/>
                <w:kern w:val="0"/>
                <w:szCs w:val="21"/>
                <w:vertAlign w:val="superscript"/>
              </w:rPr>
              <w:t>-6</w:t>
            </w:r>
          </w:p>
        </w:tc>
        <w:tc>
          <w:tcPr>
            <w:tcW w:w="122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w:t>
            </w:r>
          </w:p>
        </w:tc>
        <w:tc>
          <w:tcPr>
            <w:tcW w:w="81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化学污染物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5"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荷兰建设和环境部</w:t>
            </w:r>
          </w:p>
        </w:tc>
        <w:tc>
          <w:tcPr>
            <w:tcW w:w="149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1×10</w:t>
            </w:r>
            <w:r>
              <w:rPr>
                <w:rFonts w:cs="宋体"/>
                <w:color w:val="000000"/>
                <w:kern w:val="0"/>
                <w:szCs w:val="21"/>
                <w:vertAlign w:val="superscript"/>
              </w:rPr>
              <w:t>-6</w:t>
            </w:r>
          </w:p>
        </w:tc>
        <w:tc>
          <w:tcPr>
            <w:tcW w:w="122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1×10</w:t>
            </w:r>
            <w:r>
              <w:rPr>
                <w:rFonts w:cs="宋体"/>
                <w:color w:val="000000"/>
                <w:kern w:val="0"/>
                <w:szCs w:val="21"/>
                <w:vertAlign w:val="superscript"/>
              </w:rPr>
              <w:t>-8</w:t>
            </w:r>
          </w:p>
        </w:tc>
        <w:tc>
          <w:tcPr>
            <w:tcW w:w="81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化学污染物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5"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英国皇家协会</w:t>
            </w:r>
          </w:p>
        </w:tc>
        <w:tc>
          <w:tcPr>
            <w:tcW w:w="149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1×10</w:t>
            </w:r>
            <w:r>
              <w:rPr>
                <w:rFonts w:cs="宋体"/>
                <w:color w:val="000000"/>
                <w:kern w:val="0"/>
                <w:szCs w:val="21"/>
                <w:vertAlign w:val="superscript"/>
              </w:rPr>
              <w:t>-6</w:t>
            </w:r>
          </w:p>
        </w:tc>
        <w:tc>
          <w:tcPr>
            <w:tcW w:w="122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1×10</w:t>
            </w:r>
            <w:r>
              <w:rPr>
                <w:rFonts w:cs="宋体"/>
                <w:color w:val="000000"/>
                <w:kern w:val="0"/>
                <w:szCs w:val="21"/>
                <w:vertAlign w:val="superscript"/>
              </w:rPr>
              <w:t>-7</w:t>
            </w:r>
          </w:p>
        </w:tc>
        <w:tc>
          <w:tcPr>
            <w:tcW w:w="81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5"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IAEA</w:t>
            </w:r>
          </w:p>
        </w:tc>
        <w:tc>
          <w:tcPr>
            <w:tcW w:w="149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w:t>
            </w:r>
          </w:p>
        </w:tc>
        <w:tc>
          <w:tcPr>
            <w:tcW w:w="122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5×10-</w:t>
            </w:r>
            <w:r>
              <w:rPr>
                <w:rFonts w:cs="宋体"/>
                <w:color w:val="000000"/>
                <w:kern w:val="0"/>
                <w:szCs w:val="21"/>
                <w:vertAlign w:val="superscript"/>
              </w:rPr>
              <w:t>7</w:t>
            </w:r>
          </w:p>
        </w:tc>
        <w:tc>
          <w:tcPr>
            <w:tcW w:w="81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辐射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5"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ICRP</w:t>
            </w:r>
          </w:p>
        </w:tc>
        <w:tc>
          <w:tcPr>
            <w:tcW w:w="149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5×10</w:t>
            </w:r>
            <w:r>
              <w:rPr>
                <w:rFonts w:cs="宋体"/>
                <w:color w:val="000000"/>
                <w:kern w:val="0"/>
                <w:szCs w:val="21"/>
                <w:vertAlign w:val="superscript"/>
              </w:rPr>
              <w:t>-5</w:t>
            </w:r>
          </w:p>
        </w:tc>
        <w:tc>
          <w:tcPr>
            <w:tcW w:w="122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w:t>
            </w:r>
          </w:p>
        </w:tc>
        <w:tc>
          <w:tcPr>
            <w:tcW w:w="81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辐射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5"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Miljostyrelsen</w:t>
            </w:r>
            <w:r>
              <w:rPr>
                <w:rFonts w:hint="eastAsia" w:cs="宋体"/>
                <w:color w:val="000000"/>
                <w:kern w:val="0"/>
                <w:szCs w:val="21"/>
              </w:rPr>
              <w:t>（丹麦）</w:t>
            </w:r>
          </w:p>
        </w:tc>
        <w:tc>
          <w:tcPr>
            <w:tcW w:w="149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1×10</w:t>
            </w:r>
            <w:r>
              <w:rPr>
                <w:rFonts w:cs="宋体"/>
                <w:color w:val="000000"/>
                <w:kern w:val="0"/>
                <w:szCs w:val="21"/>
                <w:vertAlign w:val="superscript"/>
              </w:rPr>
              <w:t>-6</w:t>
            </w:r>
          </w:p>
        </w:tc>
        <w:tc>
          <w:tcPr>
            <w:tcW w:w="122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w:t>
            </w:r>
          </w:p>
        </w:tc>
        <w:tc>
          <w:tcPr>
            <w:tcW w:w="81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化学污染物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5"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Gunnar Bengtsson</w:t>
            </w:r>
          </w:p>
        </w:tc>
        <w:tc>
          <w:tcPr>
            <w:tcW w:w="149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1×10</w:t>
            </w:r>
            <w:r>
              <w:rPr>
                <w:rFonts w:cs="宋体"/>
                <w:color w:val="000000"/>
                <w:kern w:val="0"/>
                <w:szCs w:val="21"/>
                <w:vertAlign w:val="superscript"/>
              </w:rPr>
              <w:t>-6</w:t>
            </w:r>
          </w:p>
        </w:tc>
        <w:tc>
          <w:tcPr>
            <w:tcW w:w="122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1×10</w:t>
            </w:r>
            <w:r>
              <w:rPr>
                <w:rFonts w:cs="宋体"/>
                <w:color w:val="000000"/>
                <w:kern w:val="0"/>
                <w:szCs w:val="21"/>
                <w:vertAlign w:val="superscript"/>
              </w:rPr>
              <w:t>-8</w:t>
            </w:r>
          </w:p>
        </w:tc>
        <w:tc>
          <w:tcPr>
            <w:tcW w:w="81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5"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Travis</w:t>
            </w:r>
            <w:r>
              <w:rPr>
                <w:rFonts w:hint="eastAsia" w:cs="宋体"/>
                <w:color w:val="000000"/>
                <w:kern w:val="0"/>
                <w:szCs w:val="21"/>
              </w:rPr>
              <w:t>（美国）</w:t>
            </w:r>
          </w:p>
        </w:tc>
        <w:tc>
          <w:tcPr>
            <w:tcW w:w="149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1×10</w:t>
            </w:r>
            <w:r>
              <w:rPr>
                <w:rFonts w:cs="宋体"/>
                <w:color w:val="000000"/>
                <w:kern w:val="0"/>
                <w:szCs w:val="21"/>
                <w:vertAlign w:val="superscript"/>
              </w:rPr>
              <w:t>-6</w:t>
            </w:r>
          </w:p>
        </w:tc>
        <w:tc>
          <w:tcPr>
            <w:tcW w:w="1224"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w:t>
            </w:r>
          </w:p>
        </w:tc>
        <w:tc>
          <w:tcPr>
            <w:tcW w:w="81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w:t>
            </w:r>
          </w:p>
        </w:tc>
      </w:tr>
    </w:tbl>
    <w:p>
      <w:pPr>
        <w:spacing w:line="480" w:lineRule="exact"/>
        <w:ind w:firstLine="480" w:firstLineChars="200"/>
        <w:rPr>
          <w:color w:val="000000"/>
          <w:sz w:val="24"/>
        </w:rPr>
      </w:pPr>
      <w:r>
        <w:rPr>
          <w:rFonts w:hint="eastAsia"/>
          <w:color w:val="000000"/>
          <w:sz w:val="24"/>
        </w:rPr>
        <w:t>对于社会公众而言最大可接受风险不应高于常见的风险值。在工业及其它活动中，各种风险水平及其可接受程度参见下表。一般而言，环境风险值的可接受程度，对有毒有害工业以自然灾害风险值，即</w:t>
      </w:r>
      <w:r>
        <w:rPr>
          <w:color w:val="000000"/>
          <w:sz w:val="24"/>
        </w:rPr>
        <w:t>10</w:t>
      </w:r>
      <w:r>
        <w:rPr>
          <w:color w:val="000000"/>
          <w:sz w:val="24"/>
          <w:vertAlign w:val="superscript"/>
        </w:rPr>
        <w:t>-6</w:t>
      </w:r>
      <w:r>
        <w:rPr>
          <w:color w:val="000000"/>
          <w:sz w:val="24"/>
        </w:rPr>
        <w:t>/a</w:t>
      </w:r>
      <w:r>
        <w:rPr>
          <w:rFonts w:hint="eastAsia"/>
          <w:color w:val="000000"/>
          <w:sz w:val="24"/>
        </w:rPr>
        <w:t>为背景值；人类遭受火灾、淹死、中毒的风险值为</w:t>
      </w:r>
      <w:r>
        <w:rPr>
          <w:color w:val="000000"/>
          <w:sz w:val="24"/>
        </w:rPr>
        <w:t>10</w:t>
      </w:r>
      <w:r>
        <w:rPr>
          <w:color w:val="000000"/>
          <w:sz w:val="24"/>
          <w:vertAlign w:val="superscript"/>
        </w:rPr>
        <w:t>-5</w:t>
      </w:r>
      <w:r>
        <w:rPr>
          <w:color w:val="000000"/>
          <w:sz w:val="24"/>
        </w:rPr>
        <w:t>/a</w:t>
      </w:r>
      <w:r>
        <w:rPr>
          <w:rFonts w:hint="eastAsia"/>
          <w:color w:val="000000"/>
          <w:sz w:val="24"/>
        </w:rPr>
        <w:t>，社会对此没有安全投资，仅告诫人们小心，是一种可接受风险值；当风险值达</w:t>
      </w:r>
      <w:r>
        <w:rPr>
          <w:color w:val="000000"/>
          <w:sz w:val="24"/>
        </w:rPr>
        <w:t>10</w:t>
      </w:r>
      <w:r>
        <w:rPr>
          <w:color w:val="000000"/>
          <w:sz w:val="24"/>
          <w:vertAlign w:val="superscript"/>
        </w:rPr>
        <w:t>-4</w:t>
      </w:r>
      <w:r>
        <w:rPr>
          <w:color w:val="000000"/>
          <w:sz w:val="24"/>
        </w:rPr>
        <w:t>/a</w:t>
      </w:r>
      <w:r>
        <w:rPr>
          <w:rFonts w:hint="eastAsia"/>
          <w:color w:val="000000"/>
          <w:sz w:val="24"/>
        </w:rPr>
        <w:t>，则必须投资采取防范措施；</w:t>
      </w:r>
      <w:r>
        <w:rPr>
          <w:color w:val="000000"/>
          <w:sz w:val="24"/>
        </w:rPr>
        <w:t>10</w:t>
      </w:r>
      <w:r>
        <w:rPr>
          <w:color w:val="000000"/>
          <w:sz w:val="24"/>
          <w:vertAlign w:val="superscript"/>
        </w:rPr>
        <w:t>-3</w:t>
      </w:r>
      <w:r>
        <w:rPr>
          <w:color w:val="000000"/>
          <w:sz w:val="24"/>
        </w:rPr>
        <w:t>/a</w:t>
      </w:r>
      <w:r>
        <w:rPr>
          <w:rFonts w:hint="eastAsia"/>
          <w:color w:val="000000"/>
          <w:sz w:val="24"/>
        </w:rPr>
        <w:t>风险值属不可接受值，必须立即采取改进措施，否则就放弃该项活动。</w:t>
      </w:r>
    </w:p>
    <w:p>
      <w:pPr>
        <w:spacing w:line="480" w:lineRule="exact"/>
        <w:ind w:firstLine="480" w:firstLineChars="200"/>
        <w:jc w:val="center"/>
        <w:rPr>
          <w:rFonts w:ascii="黑体" w:hAnsi="黑体" w:eastAsia="黑体"/>
          <w:bCs/>
          <w:sz w:val="24"/>
          <w:szCs w:val="24"/>
        </w:rPr>
      </w:pPr>
      <w:r>
        <w:rPr>
          <w:rFonts w:hint="eastAsia" w:ascii="黑体" w:hAnsi="黑体" w:eastAsia="黑体"/>
          <w:bCs/>
          <w:sz w:val="24"/>
          <w:szCs w:val="24"/>
        </w:rPr>
        <w:t>表6.</w:t>
      </w:r>
      <w:r>
        <w:rPr>
          <w:rFonts w:ascii="黑体" w:hAnsi="黑体" w:eastAsia="黑体"/>
          <w:bCs/>
          <w:sz w:val="24"/>
          <w:szCs w:val="24"/>
        </w:rPr>
        <w:t>5</w:t>
      </w:r>
      <w:r>
        <w:rPr>
          <w:rFonts w:hint="eastAsia" w:ascii="黑体" w:hAnsi="黑体" w:eastAsia="黑体"/>
          <w:bCs/>
          <w:sz w:val="24"/>
          <w:szCs w:val="24"/>
        </w:rPr>
        <w:t>-2 最大可接受水平和可忽略水平的推荐值</w:t>
      </w:r>
    </w:p>
    <w:tbl>
      <w:tblPr>
        <w:tblStyle w:val="31"/>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29"/>
        <w:gridCol w:w="3521"/>
        <w:gridCol w:w="35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exact"/>
        </w:trPr>
        <w:tc>
          <w:tcPr>
            <w:tcW w:w="1120" w:type="pct"/>
            <w:tcBorders>
              <w:top w:val="single" w:color="000000" w:sz="6" w:space="0"/>
              <w:left w:val="single" w:color="000000" w:sz="6" w:space="0"/>
              <w:bottom w:val="single" w:color="000000" w:sz="6" w:space="0"/>
              <w:right w:val="single" w:color="000000" w:sz="6" w:space="0"/>
            </w:tcBorders>
          </w:tcPr>
          <w:p>
            <w:pPr>
              <w:widowControl/>
              <w:rPr>
                <w:rFonts w:cs="宋体"/>
                <w:color w:val="000000"/>
                <w:kern w:val="0"/>
                <w:szCs w:val="21"/>
              </w:rPr>
            </w:pPr>
            <w:r>
              <w:rPr>
                <w:rFonts w:hint="eastAsia" w:cs="宋体"/>
                <w:color w:val="000000"/>
                <w:kern w:val="0"/>
                <w:szCs w:val="21"/>
              </w:rPr>
              <w:t>风险值（死亡</w:t>
            </w:r>
            <w:r>
              <w:rPr>
                <w:rFonts w:cs="宋体"/>
                <w:color w:val="000000"/>
                <w:kern w:val="0"/>
                <w:szCs w:val="21"/>
              </w:rPr>
              <w:t>/</w:t>
            </w:r>
            <w:r>
              <w:rPr>
                <w:rFonts w:hint="eastAsia" w:cs="宋体"/>
                <w:color w:val="000000"/>
                <w:kern w:val="0"/>
                <w:szCs w:val="21"/>
              </w:rPr>
              <w:t>年）</w:t>
            </w:r>
          </w:p>
        </w:tc>
        <w:tc>
          <w:tcPr>
            <w:tcW w:w="1943"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危险性</w:t>
            </w:r>
          </w:p>
        </w:tc>
        <w:tc>
          <w:tcPr>
            <w:tcW w:w="193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可接受程度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0" w:hRule="exact"/>
        </w:trPr>
        <w:tc>
          <w:tcPr>
            <w:tcW w:w="1120"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10</w:t>
            </w:r>
            <w:r>
              <w:rPr>
                <w:rFonts w:cs="宋体"/>
                <w:color w:val="000000"/>
                <w:kern w:val="0"/>
                <w:szCs w:val="21"/>
                <w:vertAlign w:val="superscript"/>
              </w:rPr>
              <w:t>-3</w:t>
            </w:r>
            <w:r>
              <w:rPr>
                <w:rFonts w:hint="eastAsia" w:cs="宋体"/>
                <w:color w:val="000000"/>
                <w:kern w:val="0"/>
                <w:szCs w:val="21"/>
              </w:rPr>
              <w:t>数量级</w:t>
            </w:r>
          </w:p>
        </w:tc>
        <w:tc>
          <w:tcPr>
            <w:tcW w:w="1943"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操作危险性特别高，相当于人的自然死亡</w:t>
            </w:r>
          </w:p>
          <w:p>
            <w:pPr>
              <w:widowControl/>
              <w:jc w:val="center"/>
              <w:rPr>
                <w:rFonts w:cs="宋体"/>
                <w:color w:val="000000"/>
                <w:kern w:val="0"/>
                <w:szCs w:val="21"/>
              </w:rPr>
            </w:pPr>
            <w:r>
              <w:rPr>
                <w:rFonts w:hint="eastAsia" w:cs="宋体"/>
                <w:color w:val="000000"/>
                <w:kern w:val="0"/>
                <w:szCs w:val="21"/>
              </w:rPr>
              <w:t>率</w:t>
            </w:r>
          </w:p>
        </w:tc>
        <w:tc>
          <w:tcPr>
            <w:tcW w:w="193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不可接受，必须立即采取措施改进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1120"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10</w:t>
            </w:r>
            <w:r>
              <w:rPr>
                <w:rFonts w:cs="宋体"/>
                <w:color w:val="000000"/>
                <w:kern w:val="0"/>
                <w:szCs w:val="21"/>
                <w:vertAlign w:val="superscript"/>
              </w:rPr>
              <w:t>-4</w:t>
            </w:r>
            <w:r>
              <w:rPr>
                <w:rFonts w:hint="eastAsia" w:cs="宋体"/>
                <w:color w:val="000000"/>
                <w:kern w:val="0"/>
                <w:szCs w:val="21"/>
              </w:rPr>
              <w:t>数量级</w:t>
            </w:r>
          </w:p>
        </w:tc>
        <w:tc>
          <w:tcPr>
            <w:tcW w:w="1943"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操作危险性中等</w:t>
            </w:r>
          </w:p>
        </w:tc>
        <w:tc>
          <w:tcPr>
            <w:tcW w:w="193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应采取改进措施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5" w:hRule="exact"/>
        </w:trPr>
        <w:tc>
          <w:tcPr>
            <w:tcW w:w="1120"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10</w:t>
            </w:r>
            <w:r>
              <w:rPr>
                <w:rFonts w:cs="宋体"/>
                <w:color w:val="000000"/>
                <w:kern w:val="0"/>
                <w:szCs w:val="21"/>
                <w:vertAlign w:val="superscript"/>
              </w:rPr>
              <w:t>-5</w:t>
            </w:r>
            <w:r>
              <w:rPr>
                <w:rFonts w:hint="eastAsia" w:cs="宋体"/>
                <w:color w:val="000000"/>
                <w:kern w:val="0"/>
                <w:szCs w:val="21"/>
              </w:rPr>
              <w:t>数量级</w:t>
            </w:r>
          </w:p>
        </w:tc>
        <w:tc>
          <w:tcPr>
            <w:tcW w:w="1943"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与旅游事故和煤气中毒事故属同一量级</w:t>
            </w:r>
          </w:p>
        </w:tc>
        <w:tc>
          <w:tcPr>
            <w:tcW w:w="193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人们对此关心，愿采取措施预防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exact"/>
        </w:trPr>
        <w:tc>
          <w:tcPr>
            <w:tcW w:w="1120"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10</w:t>
            </w:r>
            <w:r>
              <w:rPr>
                <w:rFonts w:cs="宋体"/>
                <w:color w:val="000000"/>
                <w:kern w:val="0"/>
                <w:szCs w:val="21"/>
                <w:vertAlign w:val="superscript"/>
              </w:rPr>
              <w:t>-6</w:t>
            </w:r>
            <w:r>
              <w:rPr>
                <w:rFonts w:hint="eastAsia" w:cs="宋体"/>
                <w:color w:val="000000"/>
                <w:kern w:val="0"/>
                <w:szCs w:val="21"/>
              </w:rPr>
              <w:t>数量级</w:t>
            </w:r>
          </w:p>
        </w:tc>
        <w:tc>
          <w:tcPr>
            <w:tcW w:w="1943"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相当于地震和天灾的风险</w:t>
            </w:r>
          </w:p>
        </w:tc>
        <w:tc>
          <w:tcPr>
            <w:tcW w:w="193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人们并不担心这类事故发生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5" w:hRule="exact"/>
        </w:trPr>
        <w:tc>
          <w:tcPr>
            <w:tcW w:w="1120"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cs="宋体"/>
                <w:color w:val="000000"/>
                <w:kern w:val="0"/>
                <w:szCs w:val="21"/>
              </w:rPr>
              <w:t>10</w:t>
            </w:r>
            <w:r>
              <w:rPr>
                <w:rFonts w:cs="宋体"/>
                <w:color w:val="000000"/>
                <w:kern w:val="0"/>
                <w:szCs w:val="21"/>
                <w:vertAlign w:val="superscript"/>
              </w:rPr>
              <w:t>-7</w:t>
            </w:r>
            <w:r>
              <w:rPr>
                <w:rFonts w:cs="宋体"/>
                <w:color w:val="000000"/>
                <w:kern w:val="0"/>
                <w:szCs w:val="21"/>
              </w:rPr>
              <w:t>~10</w:t>
            </w:r>
            <w:r>
              <w:rPr>
                <w:rFonts w:cs="宋体"/>
                <w:color w:val="000000"/>
                <w:kern w:val="0"/>
                <w:szCs w:val="21"/>
                <w:vertAlign w:val="superscript"/>
              </w:rPr>
              <w:t>-8</w:t>
            </w:r>
            <w:r>
              <w:rPr>
                <w:rFonts w:hint="eastAsia" w:cs="宋体"/>
                <w:color w:val="000000"/>
                <w:kern w:val="0"/>
                <w:szCs w:val="21"/>
              </w:rPr>
              <w:t>数量级</w:t>
            </w:r>
          </w:p>
        </w:tc>
        <w:tc>
          <w:tcPr>
            <w:tcW w:w="1943"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相当于陨石坠落伤人</w:t>
            </w:r>
          </w:p>
        </w:tc>
        <w:tc>
          <w:tcPr>
            <w:tcW w:w="1937" w:type="pct"/>
            <w:tcBorders>
              <w:top w:val="single" w:color="000000" w:sz="6" w:space="0"/>
              <w:left w:val="single" w:color="000000" w:sz="6" w:space="0"/>
              <w:bottom w:val="single" w:color="000000" w:sz="6" w:space="0"/>
              <w:right w:val="single" w:color="000000" w:sz="6" w:space="0"/>
            </w:tcBorders>
          </w:tcPr>
          <w:p>
            <w:pPr>
              <w:widowControl/>
              <w:jc w:val="center"/>
              <w:rPr>
                <w:rFonts w:cs="宋体"/>
                <w:color w:val="000000"/>
                <w:kern w:val="0"/>
                <w:szCs w:val="21"/>
              </w:rPr>
            </w:pPr>
            <w:r>
              <w:rPr>
                <w:rFonts w:hint="eastAsia" w:cs="宋体"/>
                <w:color w:val="000000"/>
                <w:kern w:val="0"/>
                <w:szCs w:val="21"/>
              </w:rPr>
              <w:t>没人愿为这种事故投资加以预防</w:t>
            </w:r>
          </w:p>
        </w:tc>
      </w:tr>
    </w:tbl>
    <w:p>
      <w:pPr>
        <w:spacing w:line="480" w:lineRule="exact"/>
        <w:ind w:firstLine="480" w:firstLineChars="200"/>
        <w:rPr>
          <w:color w:val="000000"/>
          <w:sz w:val="24"/>
        </w:rPr>
      </w:pPr>
      <w:r>
        <w:rPr>
          <w:rFonts w:hint="eastAsia"/>
          <w:color w:val="000000"/>
          <w:kern w:val="0"/>
          <w:sz w:val="24"/>
        </w:rPr>
        <w:t>事故往往是造成严重污染事故的主要原因，由于灾害事故类型各异，同一类型事故下有毒有害物质泄露也是多种多样的，本次评价利用调查统计资料分析引起泄漏的概率和危险性大小。发生泄漏的概率参照反应器泄漏概率为</w:t>
      </w:r>
      <w:r>
        <w:rPr>
          <w:color w:val="000000"/>
          <w:kern w:val="0"/>
          <w:sz w:val="24"/>
        </w:rPr>
        <w:t>5.00×10-</w:t>
      </w:r>
      <w:r>
        <w:rPr>
          <w:color w:val="000000"/>
          <w:kern w:val="0"/>
          <w:sz w:val="24"/>
          <w:vertAlign w:val="superscript"/>
        </w:rPr>
        <w:t>6</w:t>
      </w:r>
      <w:r>
        <w:rPr>
          <w:color w:val="000000"/>
          <w:kern w:val="0"/>
          <w:sz w:val="24"/>
        </w:rPr>
        <w:t>/a</w:t>
      </w:r>
      <w:r>
        <w:rPr>
          <w:rFonts w:hint="eastAsia"/>
          <w:color w:val="000000"/>
          <w:kern w:val="0"/>
          <w:sz w:val="24"/>
        </w:rPr>
        <w:t>，属很难发生的风险事故。</w:t>
      </w:r>
    </w:p>
    <w:p>
      <w:pPr>
        <w:spacing w:line="480" w:lineRule="exact"/>
        <w:ind w:firstLine="480" w:firstLineChars="200"/>
        <w:rPr>
          <w:color w:val="000000"/>
          <w:sz w:val="24"/>
        </w:rPr>
      </w:pPr>
      <w:r>
        <w:rPr>
          <w:rFonts w:hint="eastAsia"/>
          <w:color w:val="000000"/>
          <w:sz w:val="24"/>
        </w:rPr>
        <w:t>根据类比调查同类型企业，在事故情况下不会发生周围村庄居民或相邻工业企业职工的中毒、死亡等严重后果，拟建项目环境危害程度较小，属于可接受水平。</w:t>
      </w:r>
    </w:p>
    <w:p>
      <w:pPr>
        <w:pStyle w:val="2"/>
        <w:spacing w:before="156" w:beforeLines="50" w:after="0" w:line="480" w:lineRule="exact"/>
        <w:rPr>
          <w:rFonts w:ascii="Times New Roman" w:hAnsi="Times New Roman"/>
          <w:bCs w:val="0"/>
          <w:spacing w:val="4"/>
          <w:sz w:val="28"/>
          <w:szCs w:val="28"/>
        </w:rPr>
      </w:pPr>
      <w:bookmarkStart w:id="120" w:name="_Toc19105473"/>
      <w:r>
        <w:rPr>
          <w:rFonts w:hint="eastAsia" w:ascii="Times New Roman" w:hAnsi="Times New Roman"/>
          <w:bCs w:val="0"/>
          <w:spacing w:val="4"/>
          <w:sz w:val="28"/>
          <w:szCs w:val="28"/>
        </w:rPr>
        <w:t>6.</w:t>
      </w:r>
      <w:r>
        <w:rPr>
          <w:rFonts w:ascii="Times New Roman" w:hAnsi="Times New Roman"/>
          <w:bCs w:val="0"/>
          <w:spacing w:val="4"/>
          <w:sz w:val="28"/>
          <w:szCs w:val="28"/>
        </w:rPr>
        <w:t>6</w:t>
      </w:r>
      <w:r>
        <w:rPr>
          <w:rFonts w:ascii="Times New Roman" w:hAnsi="Times New Roman" w:cs="Times New Roman"/>
          <w:sz w:val="30"/>
          <w:szCs w:val="30"/>
        </w:rPr>
        <w:t>风险管理</w:t>
      </w:r>
      <w:bookmarkEnd w:id="120"/>
    </w:p>
    <w:p>
      <w:pPr>
        <w:spacing w:line="480" w:lineRule="exact"/>
        <w:ind w:firstLine="480" w:firstLineChars="200"/>
        <w:rPr>
          <w:bCs/>
          <w:sz w:val="24"/>
        </w:rPr>
      </w:pPr>
      <w:r>
        <w:rPr>
          <w:rFonts w:hint="eastAsia"/>
          <w:color w:val="000000"/>
          <w:sz w:val="24"/>
        </w:rPr>
        <w:t>风险管理是研究风险发生规律和风险控制技术的一门管理科学，各组织通过风险识别、风险估测、风险评价，并在此基础上优化组合各种风险管理技术，对风险实施有效的控制和妥善处理风险所致损失的后果，是期望以最小的成本获得最大安全保障目标的管理活动。</w:t>
      </w:r>
    </w:p>
    <w:p>
      <w:pPr>
        <w:pStyle w:val="3"/>
        <w:spacing w:before="0" w:after="0" w:line="480" w:lineRule="exact"/>
        <w:rPr>
          <w:sz w:val="24"/>
          <w:szCs w:val="24"/>
        </w:rPr>
      </w:pPr>
      <w:r>
        <w:rPr>
          <w:sz w:val="24"/>
          <w:szCs w:val="24"/>
        </w:rPr>
        <w:t>6.6.1</w:t>
      </w:r>
      <w:r>
        <w:rPr>
          <w:rFonts w:hint="eastAsia"/>
          <w:sz w:val="24"/>
          <w:szCs w:val="24"/>
        </w:rPr>
        <w:t>风险防范措施</w:t>
      </w:r>
    </w:p>
    <w:p>
      <w:pPr>
        <w:spacing w:line="480" w:lineRule="exact"/>
        <w:ind w:firstLine="480" w:firstLineChars="200"/>
        <w:rPr>
          <w:color w:val="000000"/>
          <w:sz w:val="24"/>
        </w:rPr>
      </w:pPr>
      <w:r>
        <w:rPr>
          <w:rFonts w:hint="eastAsia"/>
          <w:color w:val="000000"/>
          <w:sz w:val="24"/>
        </w:rPr>
        <w:t>为使环境风险减小到最低限度，必须加强劳动安全卫生管理，制定完善、有效的安全防范措施，尽可能降低拟建项目环境风险事故发生的概率。</w:t>
      </w:r>
    </w:p>
    <w:p>
      <w:pPr>
        <w:pStyle w:val="9"/>
        <w:snapToGrid w:val="0"/>
        <w:spacing w:after="0" w:line="480" w:lineRule="exact"/>
        <w:ind w:left="0" w:leftChars="0"/>
        <w:rPr>
          <w:b/>
          <w:sz w:val="24"/>
        </w:rPr>
      </w:pPr>
      <w:r>
        <w:rPr>
          <w:rFonts w:hint="eastAsia"/>
          <w:b/>
          <w:sz w:val="24"/>
          <w:szCs w:val="24"/>
        </w:rPr>
        <w:t>1、工艺装置区风险防范措施</w:t>
      </w:r>
    </w:p>
    <w:p>
      <w:pPr>
        <w:pStyle w:val="9"/>
        <w:snapToGrid w:val="0"/>
        <w:spacing w:after="0" w:line="480" w:lineRule="exact"/>
        <w:ind w:left="0" w:leftChars="0" w:firstLine="480" w:firstLineChars="200"/>
        <w:rPr>
          <w:sz w:val="24"/>
        </w:rPr>
      </w:pPr>
      <w:r>
        <w:rPr>
          <w:rFonts w:hint="eastAsia"/>
          <w:sz w:val="24"/>
        </w:rPr>
        <w:t>根据上述生产过程涉及物质的性质特点，本工程建设时应采用如下的事故防范措施。</w:t>
      </w:r>
    </w:p>
    <w:p>
      <w:pPr>
        <w:pStyle w:val="9"/>
        <w:snapToGrid w:val="0"/>
        <w:spacing w:after="0" w:line="480" w:lineRule="exact"/>
        <w:ind w:left="0" w:leftChars="0" w:firstLine="480" w:firstLineChars="200"/>
        <w:rPr>
          <w:sz w:val="24"/>
        </w:rPr>
      </w:pPr>
      <w:r>
        <w:rPr>
          <w:rFonts w:hint="eastAsia"/>
          <w:sz w:val="24"/>
        </w:rPr>
        <w:t>（</w:t>
      </w:r>
      <w:r>
        <w:rPr>
          <w:sz w:val="24"/>
        </w:rPr>
        <w:t>1</w:t>
      </w:r>
      <w:r>
        <w:rPr>
          <w:rFonts w:hint="eastAsia"/>
          <w:sz w:val="24"/>
        </w:rPr>
        <w:t>）管道、设备的制造及安装严格进行气密实验，防止泄漏；</w:t>
      </w:r>
    </w:p>
    <w:p>
      <w:pPr>
        <w:pStyle w:val="9"/>
        <w:snapToGrid w:val="0"/>
        <w:spacing w:after="0" w:line="480" w:lineRule="exact"/>
        <w:ind w:left="0" w:leftChars="0" w:firstLine="480" w:firstLineChars="200"/>
        <w:rPr>
          <w:sz w:val="24"/>
        </w:rPr>
      </w:pPr>
      <w:r>
        <w:rPr>
          <w:rFonts w:hint="eastAsia"/>
          <w:sz w:val="24"/>
        </w:rPr>
        <w:t>（</w:t>
      </w:r>
      <w:r>
        <w:rPr>
          <w:sz w:val="24"/>
        </w:rPr>
        <w:t>2</w:t>
      </w:r>
      <w:r>
        <w:rPr>
          <w:rFonts w:hint="eastAsia"/>
          <w:sz w:val="24"/>
        </w:rPr>
        <w:t>）在工艺生产装置区等可能有可燃有毒气体泄漏的场所设置可燃气体检测报警仪；</w:t>
      </w:r>
    </w:p>
    <w:p>
      <w:pPr>
        <w:pStyle w:val="9"/>
        <w:snapToGrid w:val="0"/>
        <w:spacing w:after="0" w:line="480" w:lineRule="exact"/>
        <w:ind w:left="0" w:leftChars="0" w:firstLine="480" w:firstLineChars="200"/>
        <w:rPr>
          <w:sz w:val="24"/>
        </w:rPr>
      </w:pPr>
      <w:r>
        <w:rPr>
          <w:rFonts w:hint="eastAsia"/>
          <w:sz w:val="24"/>
        </w:rPr>
        <w:t>（</w:t>
      </w:r>
      <w:r>
        <w:rPr>
          <w:sz w:val="24"/>
        </w:rPr>
        <w:t>3</w:t>
      </w:r>
      <w:r>
        <w:rPr>
          <w:rFonts w:hint="eastAsia"/>
          <w:sz w:val="24"/>
        </w:rPr>
        <w:t>）工程应对生产装置的生产过程实行集中检测、显示、连锁，控制和报警；</w:t>
      </w:r>
    </w:p>
    <w:p>
      <w:pPr>
        <w:pStyle w:val="9"/>
        <w:snapToGrid w:val="0"/>
        <w:spacing w:after="0" w:line="480" w:lineRule="exact"/>
        <w:ind w:left="0" w:leftChars="0" w:firstLine="480" w:firstLineChars="200"/>
        <w:rPr>
          <w:sz w:val="24"/>
        </w:rPr>
      </w:pPr>
      <w:r>
        <w:rPr>
          <w:rFonts w:hint="eastAsia"/>
          <w:sz w:val="24"/>
        </w:rPr>
        <w:t>（</w:t>
      </w:r>
      <w:r>
        <w:rPr>
          <w:sz w:val="24"/>
        </w:rPr>
        <w:t>4</w:t>
      </w:r>
      <w:r>
        <w:rPr>
          <w:rFonts w:hint="eastAsia"/>
          <w:sz w:val="24"/>
        </w:rPr>
        <w:t>）对管道、贮槽破裂应有排放口控制措施，杜绝有毒有害液体排出厂外。</w:t>
      </w:r>
    </w:p>
    <w:p>
      <w:pPr>
        <w:pStyle w:val="9"/>
        <w:snapToGrid w:val="0"/>
        <w:spacing w:after="0" w:line="480" w:lineRule="exact"/>
        <w:ind w:left="0" w:leftChars="0" w:firstLine="480" w:firstLineChars="200"/>
        <w:rPr>
          <w:sz w:val="24"/>
        </w:rPr>
      </w:pPr>
      <w:r>
        <w:rPr>
          <w:rFonts w:hint="eastAsia"/>
          <w:sz w:val="24"/>
        </w:rPr>
        <w:t>（</w:t>
      </w:r>
      <w:r>
        <w:rPr>
          <w:sz w:val="24"/>
        </w:rPr>
        <w:t>5</w:t>
      </w:r>
      <w:r>
        <w:rPr>
          <w:rFonts w:hint="eastAsia"/>
          <w:sz w:val="24"/>
        </w:rPr>
        <w:t>）生产设施配备必要的消防用品：沙土、灭火器、堵漏物料，氧气呼吸器等。</w:t>
      </w:r>
    </w:p>
    <w:p>
      <w:pPr>
        <w:pStyle w:val="9"/>
        <w:snapToGrid w:val="0"/>
        <w:spacing w:after="0" w:line="480" w:lineRule="exact"/>
        <w:ind w:left="0" w:leftChars="0" w:firstLine="480" w:firstLineChars="200"/>
        <w:rPr>
          <w:sz w:val="24"/>
        </w:rPr>
      </w:pPr>
      <w:r>
        <w:rPr>
          <w:rFonts w:hint="eastAsia"/>
          <w:sz w:val="24"/>
        </w:rPr>
        <w:t>（</w:t>
      </w:r>
      <w:r>
        <w:rPr>
          <w:sz w:val="24"/>
        </w:rPr>
        <w:t>6</w:t>
      </w:r>
      <w:r>
        <w:rPr>
          <w:rFonts w:hint="eastAsia"/>
          <w:sz w:val="24"/>
        </w:rPr>
        <w:t>）根据地质资料，对地基、防水、结构进行综合处理。</w:t>
      </w:r>
    </w:p>
    <w:p>
      <w:pPr>
        <w:pStyle w:val="9"/>
        <w:snapToGrid w:val="0"/>
        <w:spacing w:after="0" w:line="480" w:lineRule="exact"/>
        <w:ind w:left="0" w:leftChars="0"/>
        <w:rPr>
          <w:b/>
          <w:sz w:val="24"/>
        </w:rPr>
      </w:pPr>
      <w:r>
        <w:rPr>
          <w:rFonts w:hint="eastAsia"/>
          <w:b/>
          <w:sz w:val="24"/>
        </w:rPr>
        <w:t>2、</w:t>
      </w:r>
      <w:r>
        <w:rPr>
          <w:rFonts w:hint="eastAsia"/>
          <w:b/>
          <w:sz w:val="24"/>
          <w:szCs w:val="24"/>
        </w:rPr>
        <w:t>物料的环境保护、安全与劳动保护措施</w:t>
      </w:r>
    </w:p>
    <w:p>
      <w:pPr>
        <w:pStyle w:val="12"/>
        <w:spacing w:line="480" w:lineRule="exact"/>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1</w:t>
      </w:r>
      <w:r>
        <w:rPr>
          <w:rFonts w:hint="eastAsia" w:ascii="Times New Roman" w:hAnsi="Times New Roman"/>
          <w:sz w:val="24"/>
        </w:rPr>
        <w:t>）急救与治疗</w:t>
      </w:r>
      <w:r>
        <w:rPr>
          <w:rFonts w:ascii="Times New Roman" w:hAnsi="Times New Roman"/>
          <w:sz w:val="24"/>
        </w:rPr>
        <w:t xml:space="preserve">  </w:t>
      </w:r>
      <w:r>
        <w:rPr>
          <w:rFonts w:hint="eastAsia" w:ascii="Times New Roman" w:hAnsi="Times New Roman"/>
          <w:sz w:val="24"/>
        </w:rPr>
        <w:t>主要治疗原则如下：</w:t>
      </w:r>
    </w:p>
    <w:p>
      <w:pPr>
        <w:widowControl/>
        <w:spacing w:line="480" w:lineRule="exact"/>
        <w:ind w:firstLine="480" w:firstLineChars="200"/>
        <w:rPr>
          <w:sz w:val="24"/>
        </w:rPr>
      </w:pPr>
      <w:r>
        <w:rPr>
          <w:rFonts w:hint="eastAsia" w:ascii="宋体" w:hAnsi="宋体" w:cs="宋体"/>
          <w:sz w:val="24"/>
        </w:rPr>
        <w:t>①</w:t>
      </w:r>
      <w:r>
        <w:rPr>
          <w:rFonts w:hint="eastAsia"/>
          <w:sz w:val="24"/>
        </w:rPr>
        <w:t>皮肤接触：脱去被污染的衣着，用肥皂水和清水彻底冲洗皮肤。</w:t>
      </w:r>
    </w:p>
    <w:p>
      <w:pPr>
        <w:widowControl/>
        <w:spacing w:line="480" w:lineRule="exact"/>
        <w:ind w:firstLine="480" w:firstLineChars="200"/>
        <w:rPr>
          <w:sz w:val="24"/>
        </w:rPr>
      </w:pPr>
      <w:r>
        <w:rPr>
          <w:rFonts w:hint="eastAsia" w:ascii="宋体" w:hAnsi="宋体" w:cs="宋体"/>
          <w:sz w:val="24"/>
        </w:rPr>
        <w:t>②</w:t>
      </w:r>
      <w:r>
        <w:rPr>
          <w:rFonts w:hint="eastAsia"/>
          <w:sz w:val="24"/>
        </w:rPr>
        <w:t>眼睛接触：提起眼睑，用流动清水或生理盐水冲洗。就医。</w:t>
      </w:r>
    </w:p>
    <w:p>
      <w:pPr>
        <w:widowControl/>
        <w:spacing w:line="480" w:lineRule="exact"/>
        <w:ind w:firstLine="480" w:firstLineChars="200"/>
        <w:rPr>
          <w:sz w:val="24"/>
        </w:rPr>
      </w:pPr>
      <w:r>
        <w:rPr>
          <w:rFonts w:hint="eastAsia" w:ascii="宋体" w:hAnsi="宋体" w:cs="宋体"/>
          <w:sz w:val="24"/>
        </w:rPr>
        <w:t>③</w:t>
      </w:r>
      <w:r>
        <w:rPr>
          <w:rFonts w:hint="eastAsia"/>
          <w:sz w:val="24"/>
        </w:rPr>
        <w:t>吸入：迅速脱离现场至空气新鲜处。保持呼吸道通畅。如呼吸困难，给输氧。如呼吸停止，立即进行人工呼吸。就医；食入：饮足量温水，催吐，用清水或</w:t>
      </w:r>
      <w:r>
        <w:rPr>
          <w:sz w:val="24"/>
        </w:rPr>
        <w:t>1%</w:t>
      </w:r>
      <w:r>
        <w:rPr>
          <w:rFonts w:hint="eastAsia"/>
          <w:sz w:val="24"/>
        </w:rPr>
        <w:t>硫代硫酸钠溶液洗胃。就医。</w:t>
      </w:r>
    </w:p>
    <w:p>
      <w:pPr>
        <w:widowControl/>
        <w:spacing w:line="480" w:lineRule="exact"/>
        <w:ind w:firstLine="480" w:firstLineChars="200"/>
        <w:rPr>
          <w:sz w:val="24"/>
        </w:rPr>
      </w:pPr>
      <w:r>
        <w:rPr>
          <w:rFonts w:hint="eastAsia" w:ascii="宋体" w:hAnsi="宋体" w:cs="宋体"/>
          <w:sz w:val="24"/>
        </w:rPr>
        <w:t>④</w:t>
      </w:r>
      <w:r>
        <w:rPr>
          <w:rFonts w:hint="eastAsia"/>
          <w:sz w:val="24"/>
        </w:rPr>
        <w:t>灭火方法：尽可能将容器从火场移至空旷处。喷水保持火场容器冷却，直至灭火结束。处在火场中的容器若已变色或从安全泄压装置中产生声音，必须马上撤离。灭火剂：抗溶性泡沫、干粉、二氧化碳、砂土。</w:t>
      </w:r>
    </w:p>
    <w:p>
      <w:pPr>
        <w:pStyle w:val="9"/>
        <w:spacing w:after="0" w:line="480" w:lineRule="exact"/>
        <w:ind w:left="0" w:leftChars="0" w:firstLine="480" w:firstLineChars="200"/>
        <w:rPr>
          <w:sz w:val="24"/>
        </w:rPr>
      </w:pPr>
      <w:r>
        <w:rPr>
          <w:rFonts w:hint="eastAsia"/>
          <w:sz w:val="24"/>
        </w:rPr>
        <w:t>（</w:t>
      </w:r>
      <w:r>
        <w:rPr>
          <w:sz w:val="24"/>
        </w:rPr>
        <w:t>2</w:t>
      </w:r>
      <w:r>
        <w:rPr>
          <w:rFonts w:hint="eastAsia"/>
          <w:sz w:val="24"/>
        </w:rPr>
        <w:t>）安全与劳动保护措施：</w:t>
      </w:r>
    </w:p>
    <w:p>
      <w:pPr>
        <w:pStyle w:val="9"/>
        <w:spacing w:after="0" w:line="480" w:lineRule="exact"/>
        <w:ind w:left="0" w:leftChars="0" w:firstLine="480" w:firstLineChars="200"/>
        <w:rPr>
          <w:sz w:val="24"/>
        </w:rPr>
      </w:pPr>
      <w:r>
        <w:rPr>
          <w:rFonts w:hint="eastAsia" w:ascii="宋体" w:hAnsi="宋体" w:cs="宋体"/>
          <w:sz w:val="24"/>
        </w:rPr>
        <w:t>①</w:t>
      </w:r>
      <w:r>
        <w:rPr>
          <w:rFonts w:hint="eastAsia"/>
          <w:sz w:val="24"/>
        </w:rPr>
        <w:t>呼吸系统防护：可能接触其蒸气时，应该佩戴过滤式防毒面罩</w:t>
      </w:r>
      <w:r>
        <w:rPr>
          <w:sz w:val="24"/>
        </w:rPr>
        <w:t>(</w:t>
      </w:r>
      <w:r>
        <w:rPr>
          <w:rFonts w:hint="eastAsia"/>
          <w:sz w:val="24"/>
        </w:rPr>
        <w:t>半面罩</w:t>
      </w:r>
      <w:r>
        <w:rPr>
          <w:sz w:val="24"/>
        </w:rPr>
        <w:t>)</w:t>
      </w:r>
      <w:r>
        <w:rPr>
          <w:rFonts w:hint="eastAsia"/>
          <w:sz w:val="24"/>
        </w:rPr>
        <w:t>。紧急事态抢救或撤离时，建议佩戴空气呼吸器。</w:t>
      </w:r>
    </w:p>
    <w:p>
      <w:pPr>
        <w:pStyle w:val="9"/>
        <w:spacing w:after="0" w:line="480" w:lineRule="exact"/>
        <w:ind w:left="0" w:leftChars="0" w:firstLine="480" w:firstLineChars="200"/>
        <w:rPr>
          <w:sz w:val="24"/>
        </w:rPr>
      </w:pPr>
      <w:r>
        <w:rPr>
          <w:rFonts w:hint="eastAsia" w:ascii="宋体" w:hAnsi="宋体" w:cs="宋体"/>
          <w:sz w:val="24"/>
        </w:rPr>
        <w:t>②</w:t>
      </w:r>
      <w:r>
        <w:rPr>
          <w:rFonts w:hint="eastAsia"/>
          <w:sz w:val="24"/>
        </w:rPr>
        <w:t>眼睛防护：戴化学安全防护眼镜。</w:t>
      </w:r>
    </w:p>
    <w:p>
      <w:pPr>
        <w:pStyle w:val="9"/>
        <w:spacing w:after="0" w:line="480" w:lineRule="exact"/>
        <w:ind w:left="0" w:leftChars="0" w:firstLine="480" w:firstLineChars="200"/>
        <w:rPr>
          <w:sz w:val="24"/>
        </w:rPr>
      </w:pPr>
      <w:r>
        <w:rPr>
          <w:rFonts w:hint="eastAsia" w:ascii="宋体" w:hAnsi="宋体" w:cs="宋体"/>
          <w:sz w:val="24"/>
        </w:rPr>
        <w:t>③</w:t>
      </w:r>
      <w:r>
        <w:rPr>
          <w:rFonts w:hint="eastAsia"/>
          <w:sz w:val="24"/>
        </w:rPr>
        <w:t>身体防护：穿防静电工作服。</w:t>
      </w:r>
    </w:p>
    <w:p>
      <w:pPr>
        <w:pStyle w:val="9"/>
        <w:spacing w:after="0" w:line="480" w:lineRule="exact"/>
        <w:ind w:left="0" w:leftChars="0" w:firstLine="480" w:firstLineChars="200"/>
        <w:rPr>
          <w:sz w:val="24"/>
        </w:rPr>
      </w:pPr>
      <w:r>
        <w:rPr>
          <w:rFonts w:hint="eastAsia" w:ascii="宋体" w:hAnsi="宋体" w:cs="宋体"/>
          <w:sz w:val="24"/>
        </w:rPr>
        <w:t>④</w:t>
      </w:r>
      <w:r>
        <w:rPr>
          <w:rFonts w:hint="eastAsia"/>
          <w:sz w:val="24"/>
        </w:rPr>
        <w:t>手防护：戴橡胶手套。</w:t>
      </w:r>
    </w:p>
    <w:p>
      <w:pPr>
        <w:pStyle w:val="9"/>
        <w:spacing w:after="0" w:line="480" w:lineRule="exact"/>
        <w:ind w:left="0" w:leftChars="0" w:firstLine="480" w:firstLineChars="200"/>
        <w:rPr>
          <w:sz w:val="24"/>
        </w:rPr>
      </w:pPr>
      <w:r>
        <w:rPr>
          <w:rFonts w:hint="eastAsia" w:ascii="宋体" w:hAnsi="宋体" w:cs="宋体"/>
          <w:sz w:val="24"/>
        </w:rPr>
        <w:t>⑤</w:t>
      </w:r>
      <w:r>
        <w:rPr>
          <w:rFonts w:hint="eastAsia"/>
          <w:sz w:val="24"/>
        </w:rPr>
        <w:t>其它：工作现场禁止吸烟、进食和饮水。实行就业前和定期的体检。</w:t>
      </w:r>
    </w:p>
    <w:p>
      <w:pPr>
        <w:pStyle w:val="3"/>
        <w:spacing w:before="0" w:after="0" w:line="480" w:lineRule="exact"/>
        <w:rPr>
          <w:sz w:val="24"/>
          <w:szCs w:val="24"/>
        </w:rPr>
      </w:pPr>
      <w:r>
        <w:rPr>
          <w:sz w:val="24"/>
          <w:szCs w:val="24"/>
        </w:rPr>
        <w:t>6.6.2</w:t>
      </w:r>
      <w:r>
        <w:rPr>
          <w:rFonts w:hint="eastAsia"/>
          <w:sz w:val="24"/>
          <w:szCs w:val="24"/>
        </w:rPr>
        <w:t>应急预案</w:t>
      </w:r>
    </w:p>
    <w:p>
      <w:pPr>
        <w:spacing w:line="480" w:lineRule="exact"/>
        <w:ind w:firstLine="480" w:firstLineChars="200"/>
        <w:rPr>
          <w:color w:val="000000"/>
          <w:sz w:val="24"/>
        </w:rPr>
      </w:pPr>
      <w:r>
        <w:rPr>
          <w:rFonts w:hint="eastAsia"/>
          <w:color w:val="000000"/>
          <w:sz w:val="24"/>
        </w:rPr>
        <w:t>为有效预防、及时控制和消除突发环境污染事故的危害，提高紧急救援反应速度和协调水平，确保迅速有效地处理突发事件，将损失降至最小程度，最大限度地保障生命财产安全，保护环境，应结合本企业的实际情况，制定相关应急预案。</w:t>
      </w:r>
    </w:p>
    <w:p>
      <w:pPr>
        <w:spacing w:line="480" w:lineRule="exact"/>
        <w:ind w:firstLine="480" w:firstLineChars="200"/>
        <w:rPr>
          <w:color w:val="000000"/>
          <w:sz w:val="24"/>
        </w:rPr>
      </w:pPr>
      <w:r>
        <w:rPr>
          <w:rFonts w:hint="eastAsia"/>
          <w:color w:val="000000"/>
          <w:sz w:val="24"/>
        </w:rPr>
        <w:t>应急预案的制定，应当坚持以人为本，预防为主的原则，建立环境风险防范体系，积极预防、及时控制、消除隐患，提高防范和处理能力，尽可能地避免或减少突发环境事件的发生，最大程度地保障公众健康，保护生命财产安全；坚持合法、合理的原则，环境风险事故的预防、监测、预警、报告和应急处理都必须严格依照法定的权限和程序进行。应急处理措施的行使，应当与事故的紧急和危害程度相适应，不超出合理限度；坚持“先控制后处理”的原则，迅速查明事故原因，果断提出处置措施，防止污染扩大，尽量减少污染范围；坚持平战结合，专兼结合，充分利用现有力量，整合人力、物力资源，充分发挥各方应急救援力量的作用。</w:t>
      </w:r>
    </w:p>
    <w:p>
      <w:pPr>
        <w:spacing w:line="480" w:lineRule="exact"/>
        <w:ind w:firstLine="480" w:firstLineChars="200"/>
        <w:rPr>
          <w:color w:val="000000"/>
          <w:sz w:val="24"/>
        </w:rPr>
      </w:pPr>
      <w:r>
        <w:rPr>
          <w:rFonts w:hint="eastAsia"/>
          <w:color w:val="000000"/>
          <w:sz w:val="24"/>
        </w:rPr>
        <w:t>应急预案内容见表6</w:t>
      </w:r>
      <w:r>
        <w:rPr>
          <w:color w:val="000000"/>
          <w:sz w:val="24"/>
        </w:rPr>
        <w:t>.6</w:t>
      </w:r>
      <w:r>
        <w:rPr>
          <w:rFonts w:hint="eastAsia"/>
          <w:color w:val="000000"/>
          <w:sz w:val="24"/>
        </w:rPr>
        <w:t>-1。</w:t>
      </w:r>
    </w:p>
    <w:p>
      <w:pPr>
        <w:spacing w:line="480" w:lineRule="exact"/>
        <w:jc w:val="center"/>
        <w:rPr>
          <w:rFonts w:ascii="黑体" w:hAnsi="黑体" w:eastAsia="黑体"/>
          <w:sz w:val="24"/>
        </w:rPr>
      </w:pPr>
      <w:r>
        <w:rPr>
          <w:rFonts w:hint="eastAsia" w:ascii="黑体" w:hAnsi="黑体" w:eastAsia="黑体"/>
          <w:sz w:val="24"/>
          <w:szCs w:val="24"/>
        </w:rPr>
        <w:t>表6.</w:t>
      </w:r>
      <w:r>
        <w:rPr>
          <w:rFonts w:ascii="黑体" w:hAnsi="黑体" w:eastAsia="黑体"/>
          <w:sz w:val="24"/>
          <w:szCs w:val="24"/>
        </w:rPr>
        <w:t>6</w:t>
      </w:r>
      <w:r>
        <w:rPr>
          <w:rFonts w:hint="eastAsia" w:ascii="黑体" w:hAnsi="黑体" w:eastAsia="黑体"/>
          <w:sz w:val="24"/>
          <w:szCs w:val="24"/>
        </w:rPr>
        <w:t>-1 应急预案内容</w:t>
      </w:r>
    </w:p>
    <w:tbl>
      <w:tblPr>
        <w:tblStyle w:val="31"/>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38"/>
        <w:gridCol w:w="1776"/>
        <w:gridCol w:w="65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07" w:type="pct"/>
            <w:vAlign w:val="center"/>
          </w:tcPr>
          <w:p>
            <w:pPr>
              <w:widowControl/>
              <w:jc w:val="center"/>
              <w:rPr>
                <w:rFonts w:cs="宋体"/>
                <w:color w:val="000000"/>
                <w:kern w:val="0"/>
                <w:szCs w:val="21"/>
              </w:rPr>
            </w:pPr>
            <w:r>
              <w:rPr>
                <w:rFonts w:hint="eastAsia" w:cs="宋体"/>
                <w:color w:val="000000"/>
                <w:kern w:val="0"/>
                <w:szCs w:val="21"/>
              </w:rPr>
              <w:t>序号</w:t>
            </w:r>
          </w:p>
        </w:tc>
        <w:tc>
          <w:tcPr>
            <w:tcW w:w="980" w:type="pct"/>
            <w:vAlign w:val="center"/>
          </w:tcPr>
          <w:p>
            <w:pPr>
              <w:widowControl/>
              <w:jc w:val="center"/>
              <w:rPr>
                <w:rFonts w:cs="宋体"/>
                <w:color w:val="000000"/>
                <w:kern w:val="0"/>
                <w:szCs w:val="21"/>
              </w:rPr>
            </w:pPr>
            <w:r>
              <w:rPr>
                <w:rFonts w:hint="eastAsia" w:cs="宋体"/>
                <w:color w:val="000000"/>
                <w:kern w:val="0"/>
                <w:szCs w:val="21"/>
              </w:rPr>
              <w:t>项目</w:t>
            </w:r>
          </w:p>
        </w:tc>
        <w:tc>
          <w:tcPr>
            <w:tcW w:w="3612" w:type="pct"/>
            <w:vAlign w:val="center"/>
          </w:tcPr>
          <w:p>
            <w:pPr>
              <w:widowControl/>
              <w:jc w:val="center"/>
              <w:rPr>
                <w:rFonts w:cs="宋体"/>
                <w:color w:val="000000"/>
                <w:kern w:val="0"/>
                <w:szCs w:val="21"/>
              </w:rPr>
            </w:pPr>
            <w:r>
              <w:rPr>
                <w:rFonts w:hint="eastAsia" w:cs="宋体"/>
                <w:color w:val="000000"/>
                <w:kern w:val="0"/>
                <w:szCs w:val="21"/>
              </w:rPr>
              <w:t>内容及要求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07" w:type="pct"/>
            <w:vAlign w:val="center"/>
          </w:tcPr>
          <w:p>
            <w:pPr>
              <w:widowControl/>
              <w:jc w:val="center"/>
              <w:rPr>
                <w:rFonts w:cs="宋体"/>
                <w:color w:val="000000"/>
                <w:kern w:val="0"/>
                <w:szCs w:val="21"/>
              </w:rPr>
            </w:pPr>
            <w:r>
              <w:rPr>
                <w:rFonts w:cs="宋体"/>
                <w:color w:val="000000"/>
                <w:kern w:val="0"/>
                <w:szCs w:val="21"/>
              </w:rPr>
              <w:t>1</w:t>
            </w:r>
          </w:p>
        </w:tc>
        <w:tc>
          <w:tcPr>
            <w:tcW w:w="980" w:type="pct"/>
            <w:vAlign w:val="center"/>
          </w:tcPr>
          <w:p>
            <w:pPr>
              <w:widowControl/>
              <w:jc w:val="center"/>
              <w:rPr>
                <w:rFonts w:cs="宋体"/>
                <w:color w:val="000000"/>
                <w:kern w:val="0"/>
                <w:szCs w:val="21"/>
              </w:rPr>
            </w:pPr>
            <w:r>
              <w:rPr>
                <w:rFonts w:hint="eastAsia" w:cs="宋体"/>
                <w:color w:val="000000"/>
                <w:kern w:val="0"/>
                <w:szCs w:val="21"/>
              </w:rPr>
              <w:t>应急计划区</w:t>
            </w:r>
          </w:p>
        </w:tc>
        <w:tc>
          <w:tcPr>
            <w:tcW w:w="3612" w:type="pct"/>
            <w:vAlign w:val="center"/>
          </w:tcPr>
          <w:p>
            <w:pPr>
              <w:widowControl/>
              <w:jc w:val="center"/>
              <w:rPr>
                <w:rFonts w:cs="宋体"/>
                <w:color w:val="000000"/>
                <w:kern w:val="0"/>
                <w:szCs w:val="21"/>
              </w:rPr>
            </w:pPr>
            <w:r>
              <w:rPr>
                <w:rFonts w:hint="eastAsia" w:cs="宋体"/>
                <w:color w:val="000000"/>
                <w:kern w:val="0"/>
                <w:szCs w:val="21"/>
              </w:rPr>
              <w:t>根据本企业原辅材料的储存位置及生产车间位置，按事故风险情况下可能影响到的人群及其他环境保护目标划定一定范围的应急计划区，在事故发生后，进行紧急封锁和重点防护。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07" w:type="pct"/>
            <w:vAlign w:val="center"/>
          </w:tcPr>
          <w:p>
            <w:pPr>
              <w:widowControl/>
              <w:jc w:val="center"/>
              <w:rPr>
                <w:rFonts w:cs="宋体"/>
                <w:color w:val="000000"/>
                <w:kern w:val="0"/>
                <w:szCs w:val="21"/>
              </w:rPr>
            </w:pPr>
            <w:r>
              <w:rPr>
                <w:rFonts w:cs="宋体"/>
                <w:color w:val="000000"/>
                <w:kern w:val="0"/>
                <w:szCs w:val="21"/>
              </w:rPr>
              <w:t>2</w:t>
            </w:r>
          </w:p>
        </w:tc>
        <w:tc>
          <w:tcPr>
            <w:tcW w:w="980" w:type="pct"/>
            <w:vAlign w:val="center"/>
          </w:tcPr>
          <w:p>
            <w:pPr>
              <w:widowControl/>
              <w:jc w:val="center"/>
              <w:rPr>
                <w:rFonts w:cs="宋体"/>
                <w:color w:val="000000"/>
                <w:kern w:val="0"/>
                <w:szCs w:val="21"/>
              </w:rPr>
            </w:pPr>
            <w:r>
              <w:rPr>
                <w:rFonts w:hint="eastAsia" w:cs="宋体"/>
                <w:color w:val="000000"/>
                <w:kern w:val="0"/>
                <w:szCs w:val="21"/>
              </w:rPr>
              <w:t>应急组织机构、人员</w:t>
            </w:r>
          </w:p>
        </w:tc>
        <w:tc>
          <w:tcPr>
            <w:tcW w:w="3612" w:type="pct"/>
            <w:vAlign w:val="center"/>
          </w:tcPr>
          <w:p>
            <w:pPr>
              <w:widowControl/>
              <w:jc w:val="center"/>
              <w:rPr>
                <w:rFonts w:cs="宋体"/>
                <w:color w:val="000000"/>
                <w:kern w:val="0"/>
                <w:szCs w:val="21"/>
              </w:rPr>
            </w:pPr>
            <w:r>
              <w:rPr>
                <w:rFonts w:hint="eastAsia" w:cs="宋体"/>
                <w:color w:val="000000"/>
                <w:kern w:val="0"/>
                <w:szCs w:val="21"/>
              </w:rPr>
              <w:t>成立厂指挥部</w:t>
            </w:r>
            <w:r>
              <w:rPr>
                <w:rFonts w:cs="宋体"/>
                <w:color w:val="000000"/>
                <w:kern w:val="0"/>
                <w:szCs w:val="21"/>
              </w:rPr>
              <w:t>——</w:t>
            </w:r>
            <w:r>
              <w:rPr>
                <w:rFonts w:hint="eastAsia" w:cs="宋体"/>
                <w:color w:val="000000"/>
                <w:kern w:val="0"/>
                <w:szCs w:val="21"/>
              </w:rPr>
              <w:t>负责现场全面指挥 专业救援队伍</w:t>
            </w:r>
            <w:r>
              <w:rPr>
                <w:rFonts w:cs="宋体"/>
                <w:color w:val="000000"/>
                <w:kern w:val="0"/>
                <w:szCs w:val="21"/>
              </w:rPr>
              <w:t>——</w:t>
            </w:r>
            <w:r>
              <w:rPr>
                <w:rFonts w:hint="eastAsia" w:cs="宋体"/>
                <w:color w:val="000000"/>
                <w:kern w:val="0"/>
                <w:szCs w:val="21"/>
              </w:rPr>
              <w:t>负责事故控制、救援、善后处理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07" w:type="pct"/>
            <w:vAlign w:val="center"/>
          </w:tcPr>
          <w:p>
            <w:pPr>
              <w:widowControl/>
              <w:jc w:val="center"/>
              <w:rPr>
                <w:rFonts w:cs="宋体"/>
                <w:color w:val="000000"/>
                <w:kern w:val="0"/>
                <w:szCs w:val="21"/>
              </w:rPr>
            </w:pPr>
            <w:r>
              <w:rPr>
                <w:rFonts w:cs="宋体"/>
                <w:color w:val="000000"/>
                <w:kern w:val="0"/>
                <w:szCs w:val="21"/>
              </w:rPr>
              <w:t>3</w:t>
            </w:r>
          </w:p>
        </w:tc>
        <w:tc>
          <w:tcPr>
            <w:tcW w:w="980" w:type="pct"/>
            <w:vAlign w:val="center"/>
          </w:tcPr>
          <w:p>
            <w:pPr>
              <w:widowControl/>
              <w:jc w:val="center"/>
              <w:rPr>
                <w:rFonts w:cs="宋体"/>
                <w:color w:val="000000"/>
                <w:kern w:val="0"/>
                <w:szCs w:val="21"/>
              </w:rPr>
            </w:pPr>
            <w:r>
              <w:rPr>
                <w:rFonts w:hint="eastAsia" w:cs="宋体"/>
                <w:color w:val="000000"/>
                <w:kern w:val="0"/>
                <w:szCs w:val="21"/>
              </w:rPr>
              <w:t>预案分级响应条件</w:t>
            </w:r>
          </w:p>
        </w:tc>
        <w:tc>
          <w:tcPr>
            <w:tcW w:w="3612" w:type="pct"/>
            <w:vAlign w:val="center"/>
          </w:tcPr>
          <w:p>
            <w:pPr>
              <w:widowControl/>
              <w:jc w:val="center"/>
              <w:rPr>
                <w:rFonts w:cs="宋体"/>
                <w:color w:val="000000"/>
                <w:kern w:val="0"/>
                <w:szCs w:val="21"/>
              </w:rPr>
            </w:pPr>
            <w:r>
              <w:rPr>
                <w:rFonts w:hint="eastAsia" w:cs="宋体"/>
                <w:color w:val="000000"/>
                <w:kern w:val="0"/>
                <w:szCs w:val="21"/>
              </w:rPr>
              <w:t>规定事故的级别及相应的应急分类响应程序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07" w:type="pct"/>
            <w:vAlign w:val="center"/>
          </w:tcPr>
          <w:p>
            <w:pPr>
              <w:widowControl/>
              <w:jc w:val="center"/>
              <w:rPr>
                <w:rFonts w:cs="宋体"/>
                <w:color w:val="000000"/>
                <w:kern w:val="0"/>
                <w:szCs w:val="21"/>
              </w:rPr>
            </w:pPr>
            <w:r>
              <w:rPr>
                <w:rFonts w:cs="宋体"/>
                <w:color w:val="000000"/>
                <w:kern w:val="0"/>
                <w:szCs w:val="21"/>
              </w:rPr>
              <w:t>4</w:t>
            </w:r>
          </w:p>
        </w:tc>
        <w:tc>
          <w:tcPr>
            <w:tcW w:w="980" w:type="pct"/>
            <w:vAlign w:val="center"/>
          </w:tcPr>
          <w:p>
            <w:pPr>
              <w:widowControl/>
              <w:jc w:val="center"/>
              <w:rPr>
                <w:rFonts w:cs="宋体"/>
                <w:color w:val="000000"/>
                <w:kern w:val="0"/>
                <w:szCs w:val="21"/>
              </w:rPr>
            </w:pPr>
            <w:r>
              <w:rPr>
                <w:rFonts w:hint="eastAsia" w:cs="宋体"/>
                <w:color w:val="000000"/>
                <w:kern w:val="0"/>
                <w:szCs w:val="21"/>
              </w:rPr>
              <w:t>应急救援保障</w:t>
            </w:r>
          </w:p>
        </w:tc>
        <w:tc>
          <w:tcPr>
            <w:tcW w:w="3612" w:type="pct"/>
            <w:vAlign w:val="center"/>
          </w:tcPr>
          <w:p>
            <w:pPr>
              <w:widowControl/>
              <w:jc w:val="center"/>
              <w:rPr>
                <w:rFonts w:cs="宋体"/>
                <w:color w:val="000000"/>
                <w:kern w:val="0"/>
                <w:szCs w:val="21"/>
              </w:rPr>
            </w:pPr>
            <w:r>
              <w:rPr>
                <w:rFonts w:hint="eastAsia" w:cs="宋体"/>
                <w:color w:val="000000"/>
                <w:kern w:val="0"/>
                <w:szCs w:val="21"/>
              </w:rPr>
              <w:t>规定并明确应急设施、设备与器材，并落实专人管理。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07" w:type="pct"/>
            <w:vAlign w:val="center"/>
          </w:tcPr>
          <w:p>
            <w:pPr>
              <w:widowControl/>
              <w:jc w:val="center"/>
              <w:rPr>
                <w:rFonts w:cs="宋体"/>
                <w:color w:val="000000"/>
                <w:kern w:val="0"/>
                <w:szCs w:val="21"/>
              </w:rPr>
            </w:pPr>
            <w:r>
              <w:rPr>
                <w:rFonts w:cs="宋体"/>
                <w:color w:val="000000"/>
                <w:kern w:val="0"/>
                <w:szCs w:val="21"/>
              </w:rPr>
              <w:t>5</w:t>
            </w:r>
          </w:p>
        </w:tc>
        <w:tc>
          <w:tcPr>
            <w:tcW w:w="980" w:type="pct"/>
            <w:vAlign w:val="center"/>
          </w:tcPr>
          <w:p>
            <w:pPr>
              <w:widowControl/>
              <w:jc w:val="center"/>
              <w:rPr>
                <w:rFonts w:cs="宋体"/>
                <w:color w:val="000000"/>
                <w:kern w:val="0"/>
                <w:szCs w:val="21"/>
              </w:rPr>
            </w:pPr>
            <w:r>
              <w:rPr>
                <w:rFonts w:hint="eastAsia" w:cs="宋体"/>
                <w:color w:val="000000"/>
                <w:kern w:val="0"/>
                <w:szCs w:val="21"/>
              </w:rPr>
              <w:t>报警、通讯联络方式</w:t>
            </w:r>
          </w:p>
        </w:tc>
        <w:tc>
          <w:tcPr>
            <w:tcW w:w="3612" w:type="pct"/>
            <w:vAlign w:val="center"/>
          </w:tcPr>
          <w:p>
            <w:pPr>
              <w:widowControl/>
              <w:jc w:val="center"/>
              <w:rPr>
                <w:rFonts w:cs="宋体"/>
                <w:color w:val="000000"/>
                <w:kern w:val="0"/>
                <w:szCs w:val="21"/>
              </w:rPr>
            </w:pPr>
            <w:r>
              <w:rPr>
                <w:rFonts w:hint="eastAsia" w:cs="宋体"/>
                <w:color w:val="000000"/>
                <w:kern w:val="0"/>
                <w:szCs w:val="21"/>
              </w:rPr>
              <w:t>主要包括事故报警电话号码、通讯、联络方法、较远距离的信号联络突发停电、雷电暴雨特殊情况下的报警、通讯、联络。制定不同事故 时不同求援方案和程序（例如火灾爆炸应急方案和程序、停水、电、气应急措施等），制定医护人员的常规值班表、详细地址和联络途径确定现场急救点并设置明显标志。 当发生突发性事故时，现场人员在保护好自身安全的情况下，及时检查事故部位，并向车间主任或值班长、企业调度室、应急领导小组报告和“</w:t>
            </w:r>
            <w:r>
              <w:rPr>
                <w:rFonts w:cs="宋体"/>
                <w:color w:val="000000"/>
                <w:kern w:val="0"/>
                <w:szCs w:val="21"/>
              </w:rPr>
              <w:t>119</w:t>
            </w:r>
            <w:r>
              <w:rPr>
                <w:rFonts w:hint="eastAsia" w:cs="宋体"/>
                <w:color w:val="000000"/>
                <w:kern w:val="0"/>
                <w:szCs w:val="21"/>
              </w:rPr>
              <w:t>”报警；报警内容应包括：事故单位、事故发生的时间、地点、事故性质（泄漏、爆炸、火灾）、危险程度、有无人员伤亡以及报警人姓名及联系电话。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07" w:type="pct"/>
            <w:vAlign w:val="center"/>
          </w:tcPr>
          <w:p>
            <w:pPr>
              <w:widowControl/>
              <w:jc w:val="center"/>
              <w:rPr>
                <w:rFonts w:cs="宋体"/>
                <w:color w:val="000000"/>
                <w:kern w:val="0"/>
                <w:szCs w:val="21"/>
              </w:rPr>
            </w:pPr>
            <w:r>
              <w:rPr>
                <w:rFonts w:cs="宋体"/>
                <w:color w:val="000000"/>
                <w:kern w:val="0"/>
                <w:szCs w:val="21"/>
              </w:rPr>
              <w:t>6</w:t>
            </w:r>
          </w:p>
        </w:tc>
        <w:tc>
          <w:tcPr>
            <w:tcW w:w="980" w:type="pct"/>
            <w:vAlign w:val="center"/>
          </w:tcPr>
          <w:p>
            <w:pPr>
              <w:widowControl/>
              <w:jc w:val="center"/>
              <w:rPr>
                <w:rFonts w:cs="宋体"/>
                <w:color w:val="000000"/>
                <w:kern w:val="0"/>
                <w:szCs w:val="21"/>
              </w:rPr>
            </w:pPr>
            <w:r>
              <w:rPr>
                <w:rFonts w:hint="eastAsia" w:cs="宋体"/>
                <w:color w:val="000000"/>
                <w:kern w:val="0"/>
                <w:szCs w:val="21"/>
              </w:rPr>
              <w:t>制定组织人员紧急撤离、疏散计划</w:t>
            </w:r>
          </w:p>
        </w:tc>
        <w:tc>
          <w:tcPr>
            <w:tcW w:w="3612" w:type="pct"/>
            <w:vAlign w:val="center"/>
          </w:tcPr>
          <w:p>
            <w:pPr>
              <w:widowControl/>
              <w:jc w:val="center"/>
              <w:rPr>
                <w:rFonts w:cs="宋体"/>
                <w:color w:val="000000"/>
                <w:kern w:val="0"/>
                <w:szCs w:val="21"/>
              </w:rPr>
            </w:pPr>
            <w:r>
              <w:rPr>
                <w:rFonts w:hint="eastAsia" w:cs="宋体"/>
                <w:color w:val="000000"/>
                <w:kern w:val="0"/>
                <w:szCs w:val="21"/>
              </w:rPr>
              <w:t>明确事故现场、工厂邻近区域、受事故影响的区域人员，制定医疗救 护程序。详细规定本厂事故情况下紧急集结点及周边居民区的紧急集结点，确定紧急事故情况下的安全疏散路线。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07" w:type="pct"/>
            <w:vAlign w:val="center"/>
          </w:tcPr>
          <w:p>
            <w:pPr>
              <w:widowControl/>
              <w:jc w:val="center"/>
              <w:rPr>
                <w:rFonts w:cs="宋体"/>
                <w:color w:val="000000"/>
                <w:kern w:val="0"/>
                <w:szCs w:val="21"/>
              </w:rPr>
            </w:pPr>
            <w:r>
              <w:rPr>
                <w:rFonts w:cs="宋体"/>
                <w:color w:val="000000"/>
                <w:kern w:val="0"/>
                <w:szCs w:val="21"/>
              </w:rPr>
              <w:t>7</w:t>
            </w:r>
          </w:p>
        </w:tc>
        <w:tc>
          <w:tcPr>
            <w:tcW w:w="980" w:type="pct"/>
            <w:vAlign w:val="center"/>
          </w:tcPr>
          <w:p>
            <w:pPr>
              <w:widowControl/>
              <w:jc w:val="center"/>
              <w:rPr>
                <w:rFonts w:cs="宋体"/>
                <w:color w:val="000000"/>
                <w:kern w:val="0"/>
                <w:szCs w:val="21"/>
              </w:rPr>
            </w:pPr>
            <w:r>
              <w:rPr>
                <w:rFonts w:hint="eastAsia" w:cs="宋体"/>
                <w:color w:val="000000"/>
                <w:kern w:val="0"/>
                <w:szCs w:val="21"/>
              </w:rPr>
              <w:t>事故</w:t>
            </w:r>
            <w:r>
              <w:rPr>
                <w:rFonts w:hint="eastAsia" w:cs="宋体"/>
                <w:color w:val="000000"/>
                <w:kern w:val="0"/>
                <w:szCs w:val="21"/>
                <w:lang w:eastAsia="zh-CN"/>
              </w:rPr>
              <w:t>应急救援</w:t>
            </w:r>
            <w:r>
              <w:rPr>
                <w:rFonts w:hint="eastAsia" w:cs="宋体"/>
                <w:color w:val="000000"/>
                <w:kern w:val="0"/>
                <w:szCs w:val="21"/>
              </w:rPr>
              <w:t>关闭程序与恢复措施</w:t>
            </w:r>
          </w:p>
        </w:tc>
        <w:tc>
          <w:tcPr>
            <w:tcW w:w="3612" w:type="pct"/>
            <w:vAlign w:val="center"/>
          </w:tcPr>
          <w:p>
            <w:pPr>
              <w:widowControl/>
              <w:jc w:val="center"/>
              <w:rPr>
                <w:rFonts w:cs="宋体"/>
                <w:color w:val="000000"/>
                <w:kern w:val="0"/>
                <w:szCs w:val="21"/>
              </w:rPr>
            </w:pPr>
            <w:r>
              <w:rPr>
                <w:rFonts w:hint="eastAsia" w:cs="宋体"/>
                <w:color w:val="000000"/>
                <w:kern w:val="0"/>
                <w:szCs w:val="21"/>
              </w:rPr>
              <w:t>规定应急状态终止程序，提出事故现场善后处理和恢复措施及邻近区域解除事故警戒及善后恢复措施。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07" w:type="pct"/>
            <w:vAlign w:val="center"/>
          </w:tcPr>
          <w:p>
            <w:pPr>
              <w:widowControl/>
              <w:jc w:val="center"/>
              <w:rPr>
                <w:rFonts w:cs="宋体"/>
                <w:color w:val="000000"/>
                <w:kern w:val="0"/>
                <w:szCs w:val="21"/>
              </w:rPr>
            </w:pPr>
            <w:r>
              <w:rPr>
                <w:rFonts w:cs="宋体"/>
                <w:color w:val="000000"/>
                <w:kern w:val="0"/>
                <w:szCs w:val="21"/>
              </w:rPr>
              <w:t>8</w:t>
            </w:r>
          </w:p>
        </w:tc>
        <w:tc>
          <w:tcPr>
            <w:tcW w:w="980" w:type="pct"/>
            <w:vAlign w:val="center"/>
          </w:tcPr>
          <w:p>
            <w:pPr>
              <w:widowControl/>
              <w:jc w:val="center"/>
              <w:rPr>
                <w:rFonts w:cs="宋体"/>
                <w:color w:val="000000"/>
                <w:kern w:val="0"/>
                <w:szCs w:val="21"/>
              </w:rPr>
            </w:pPr>
            <w:r>
              <w:rPr>
                <w:rFonts w:hint="eastAsia" w:cs="宋体"/>
                <w:color w:val="000000"/>
                <w:kern w:val="0"/>
                <w:szCs w:val="21"/>
              </w:rPr>
              <w:t>应急培训计划</w:t>
            </w:r>
          </w:p>
        </w:tc>
        <w:tc>
          <w:tcPr>
            <w:tcW w:w="3612" w:type="pct"/>
            <w:vAlign w:val="center"/>
          </w:tcPr>
          <w:p>
            <w:pPr>
              <w:widowControl/>
              <w:jc w:val="center"/>
              <w:rPr>
                <w:rFonts w:cs="宋体"/>
                <w:color w:val="000000"/>
                <w:kern w:val="0"/>
                <w:szCs w:val="21"/>
              </w:rPr>
            </w:pPr>
            <w:r>
              <w:rPr>
                <w:rFonts w:hint="eastAsia" w:cs="宋体"/>
                <w:color w:val="000000"/>
                <w:kern w:val="0"/>
                <w:szCs w:val="21"/>
              </w:rPr>
              <w:t>定期安排人员进行培训和演练，必要时包括附近的居民。</w:t>
            </w:r>
          </w:p>
        </w:tc>
      </w:tr>
    </w:tbl>
    <w:p>
      <w:pPr>
        <w:pStyle w:val="2"/>
        <w:spacing w:before="156" w:beforeLines="50" w:after="0" w:line="480" w:lineRule="exact"/>
        <w:rPr>
          <w:rFonts w:ascii="Times New Roman" w:hAnsi="Times New Roman"/>
          <w:bCs w:val="0"/>
          <w:spacing w:val="4"/>
          <w:sz w:val="28"/>
          <w:szCs w:val="28"/>
        </w:rPr>
      </w:pPr>
      <w:bookmarkStart w:id="121" w:name="_Toc19105474"/>
      <w:r>
        <w:rPr>
          <w:rFonts w:hint="eastAsia" w:ascii="Times New Roman" w:hAnsi="Times New Roman"/>
          <w:bCs w:val="0"/>
          <w:spacing w:val="4"/>
          <w:sz w:val="28"/>
          <w:szCs w:val="28"/>
        </w:rPr>
        <w:t>6.</w:t>
      </w:r>
      <w:r>
        <w:rPr>
          <w:rFonts w:ascii="Times New Roman" w:hAnsi="Times New Roman"/>
          <w:bCs w:val="0"/>
          <w:spacing w:val="4"/>
          <w:sz w:val="28"/>
          <w:szCs w:val="28"/>
        </w:rPr>
        <w:t>7</w:t>
      </w:r>
      <w:r>
        <w:rPr>
          <w:rFonts w:ascii="Times New Roman" w:hAnsi="Times New Roman" w:cs="Times New Roman"/>
          <w:sz w:val="30"/>
          <w:szCs w:val="30"/>
        </w:rPr>
        <w:t>环境风险评价结论</w:t>
      </w:r>
      <w:bookmarkEnd w:id="121"/>
    </w:p>
    <w:p>
      <w:pPr>
        <w:spacing w:line="480" w:lineRule="exact"/>
        <w:ind w:firstLine="480" w:firstLineChars="200"/>
        <w:rPr>
          <w:bCs/>
          <w:sz w:val="24"/>
        </w:rPr>
      </w:pPr>
      <w:r>
        <w:rPr>
          <w:rFonts w:hint="eastAsia"/>
          <w:color w:val="000000"/>
          <w:sz w:val="24"/>
        </w:rPr>
        <w:t>由风险评价分析结果得知，经采取相应应急措施，能大大减少事故发生概率，并且一旦发生事故，能迅速采取有力措施，减小对环境污染。其潜在的事故风险是可以防范的。项目建设对周围环境危害程度较小，风险值是可以接受的。</w:t>
      </w:r>
    </w:p>
    <w:p>
      <w:pPr>
        <w:spacing w:line="480" w:lineRule="exact"/>
        <w:ind w:firstLine="480" w:firstLineChars="200"/>
        <w:rPr>
          <w:bCs/>
          <w:sz w:val="24"/>
        </w:rPr>
      </w:pPr>
      <w:r>
        <w:rPr>
          <w:rFonts w:hint="eastAsia"/>
          <w:color w:val="000000"/>
          <w:sz w:val="24"/>
        </w:rPr>
        <w:t>环境风险自查表见表6.</w:t>
      </w:r>
      <w:r>
        <w:rPr>
          <w:color w:val="000000"/>
          <w:sz w:val="24"/>
        </w:rPr>
        <w:t>7</w:t>
      </w:r>
      <w:r>
        <w:rPr>
          <w:rFonts w:hint="eastAsia"/>
          <w:color w:val="000000"/>
          <w:sz w:val="24"/>
        </w:rPr>
        <w:t>-1。</w:t>
      </w:r>
    </w:p>
    <w:p>
      <w:pPr>
        <w:spacing w:line="480" w:lineRule="exact"/>
        <w:jc w:val="center"/>
        <w:rPr>
          <w:rFonts w:ascii="黑体" w:hAnsi="黑体" w:eastAsia="黑体"/>
          <w:sz w:val="24"/>
        </w:rPr>
      </w:pPr>
      <w:r>
        <w:rPr>
          <w:rFonts w:hint="eastAsia" w:ascii="黑体" w:hAnsi="黑体" w:eastAsia="黑体"/>
          <w:sz w:val="24"/>
        </w:rPr>
        <w:t>表6.</w:t>
      </w:r>
      <w:r>
        <w:rPr>
          <w:rFonts w:ascii="黑体" w:hAnsi="黑体" w:eastAsia="黑体"/>
          <w:sz w:val="24"/>
        </w:rPr>
        <w:t>7</w:t>
      </w:r>
      <w:r>
        <w:rPr>
          <w:rFonts w:hint="eastAsia" w:ascii="黑体" w:hAnsi="黑体" w:eastAsia="黑体"/>
          <w:sz w:val="24"/>
        </w:rPr>
        <w:t>-1  环境风险评价自查表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1189"/>
        <w:gridCol w:w="926"/>
        <w:gridCol w:w="373"/>
        <w:gridCol w:w="384"/>
        <w:gridCol w:w="448"/>
        <w:gridCol w:w="304"/>
        <w:gridCol w:w="203"/>
        <w:gridCol w:w="554"/>
        <w:gridCol w:w="759"/>
        <w:gridCol w:w="9"/>
        <w:gridCol w:w="743"/>
        <w:gridCol w:w="60"/>
        <w:gridCol w:w="136"/>
        <w:gridCol w:w="560"/>
        <w:gridCol w:w="11"/>
        <w:gridCol w:w="741"/>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Align w:val="center"/>
          </w:tcPr>
          <w:p>
            <w:pPr>
              <w:jc w:val="center"/>
              <w:rPr>
                <w:rFonts w:eastAsiaTheme="minorEastAsia"/>
                <w:sz w:val="18"/>
                <w:szCs w:val="18"/>
              </w:rPr>
            </w:pPr>
            <w:bookmarkStart w:id="122" w:name="_Hlk8213058"/>
            <w:r>
              <w:rPr>
                <w:rFonts w:hint="eastAsia" w:ascii="宋体" w:hAnsi="宋体" w:cs="宋体"/>
                <w:sz w:val="18"/>
                <w:szCs w:val="18"/>
              </w:rPr>
              <w:t>工作内</w:t>
            </w:r>
            <w:r>
              <w:rPr>
                <w:rFonts w:hint="eastAsia"/>
                <w:sz w:val="18"/>
                <w:szCs w:val="18"/>
              </w:rPr>
              <w:t>容</w:t>
            </w:r>
          </w:p>
        </w:tc>
        <w:tc>
          <w:tcPr>
            <w:tcW w:w="3842" w:type="pct"/>
            <w:gridSpan w:val="16"/>
            <w:vAlign w:val="center"/>
          </w:tcPr>
          <w:p>
            <w:pPr>
              <w:jc w:val="center"/>
              <w:rPr>
                <w:rFonts w:eastAsiaTheme="minorEastAsia"/>
                <w:sz w:val="18"/>
                <w:szCs w:val="18"/>
              </w:rPr>
            </w:pPr>
            <w:r>
              <w:rPr>
                <w:rFonts w:hint="eastAsia" w:ascii="宋体" w:hAnsi="宋体" w:cs="宋体"/>
                <w:sz w:val="18"/>
                <w:szCs w:val="18"/>
              </w:rPr>
              <w:t>完成情</w:t>
            </w:r>
            <w:r>
              <w:rPr>
                <w:rFonts w:hint="eastAsia"/>
                <w:sz w:val="18"/>
                <w:szCs w:val="18"/>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restart"/>
            <w:vAlign w:val="center"/>
          </w:tcPr>
          <w:p>
            <w:pPr>
              <w:jc w:val="center"/>
              <w:rPr>
                <w:rFonts w:eastAsiaTheme="minorEastAsia"/>
                <w:sz w:val="18"/>
                <w:szCs w:val="18"/>
              </w:rPr>
            </w:pPr>
            <w:r>
              <w:rPr>
                <w:rFonts w:hint="eastAsia" w:ascii="宋体" w:hAnsi="宋体" w:cs="宋体"/>
                <w:sz w:val="18"/>
                <w:szCs w:val="18"/>
              </w:rPr>
              <w:t>风险调</w:t>
            </w:r>
            <w:r>
              <w:rPr>
                <w:rFonts w:hint="eastAsia"/>
                <w:sz w:val="18"/>
                <w:szCs w:val="18"/>
              </w:rPr>
              <w:t>查</w:t>
            </w:r>
          </w:p>
        </w:tc>
        <w:tc>
          <w:tcPr>
            <w:tcW w:w="656" w:type="pct"/>
            <w:vMerge w:val="restart"/>
            <w:vAlign w:val="center"/>
          </w:tcPr>
          <w:p>
            <w:pPr>
              <w:jc w:val="center"/>
              <w:rPr>
                <w:rFonts w:eastAsiaTheme="minorEastAsia"/>
                <w:sz w:val="18"/>
                <w:szCs w:val="18"/>
              </w:rPr>
            </w:pPr>
            <w:r>
              <w:rPr>
                <w:rFonts w:hint="eastAsia" w:ascii="宋体" w:hAnsi="宋体" w:cs="宋体"/>
                <w:sz w:val="18"/>
                <w:szCs w:val="18"/>
              </w:rPr>
              <w:t>危险物</w:t>
            </w:r>
            <w:r>
              <w:rPr>
                <w:rFonts w:hint="eastAsia"/>
                <w:sz w:val="18"/>
                <w:szCs w:val="18"/>
              </w:rPr>
              <w:t>质</w:t>
            </w:r>
          </w:p>
        </w:tc>
        <w:tc>
          <w:tcPr>
            <w:tcW w:w="511" w:type="pct"/>
            <w:vAlign w:val="center"/>
          </w:tcPr>
          <w:p>
            <w:pPr>
              <w:jc w:val="center"/>
              <w:rPr>
                <w:rFonts w:eastAsiaTheme="minorEastAsia"/>
                <w:sz w:val="18"/>
                <w:szCs w:val="18"/>
              </w:rPr>
            </w:pPr>
            <w:r>
              <w:rPr>
                <w:rFonts w:hint="eastAsia" w:ascii="宋体" w:hAnsi="宋体" w:cs="宋体"/>
                <w:sz w:val="18"/>
                <w:szCs w:val="18"/>
              </w:rPr>
              <w:t>名</w:t>
            </w:r>
            <w:r>
              <w:rPr>
                <w:rFonts w:hint="eastAsia"/>
                <w:sz w:val="18"/>
                <w:szCs w:val="18"/>
              </w:rPr>
              <w:t>称</w:t>
            </w:r>
          </w:p>
        </w:tc>
        <w:tc>
          <w:tcPr>
            <w:tcW w:w="418" w:type="pct"/>
            <w:gridSpan w:val="2"/>
            <w:vAlign w:val="center"/>
          </w:tcPr>
          <w:p>
            <w:pPr>
              <w:jc w:val="center"/>
              <w:rPr>
                <w:rFonts w:eastAsiaTheme="minorEastAsia"/>
                <w:sz w:val="18"/>
                <w:szCs w:val="18"/>
              </w:rPr>
            </w:pPr>
            <w:r>
              <w:rPr>
                <w:rFonts w:hint="eastAsia" w:eastAsiaTheme="minorEastAsia"/>
                <w:sz w:val="18"/>
                <w:szCs w:val="18"/>
              </w:rPr>
              <w:t>甲烷</w:t>
            </w:r>
          </w:p>
        </w:tc>
        <w:tc>
          <w:tcPr>
            <w:tcW w:w="415" w:type="pct"/>
            <w:gridSpan w:val="2"/>
            <w:vAlign w:val="center"/>
          </w:tcPr>
          <w:p>
            <w:pPr>
              <w:jc w:val="center"/>
              <w:rPr>
                <w:rFonts w:eastAsiaTheme="minorEastAsia"/>
                <w:sz w:val="18"/>
                <w:szCs w:val="18"/>
              </w:rPr>
            </w:pPr>
          </w:p>
        </w:tc>
        <w:tc>
          <w:tcPr>
            <w:tcW w:w="418" w:type="pct"/>
            <w:gridSpan w:val="2"/>
            <w:vAlign w:val="center"/>
          </w:tcPr>
          <w:p>
            <w:pPr>
              <w:jc w:val="center"/>
              <w:rPr>
                <w:rFonts w:eastAsiaTheme="minorEastAsia"/>
                <w:sz w:val="18"/>
                <w:szCs w:val="18"/>
              </w:rPr>
            </w:pPr>
          </w:p>
        </w:tc>
        <w:tc>
          <w:tcPr>
            <w:tcW w:w="418" w:type="pct"/>
            <w:vAlign w:val="center"/>
          </w:tcPr>
          <w:p>
            <w:pPr>
              <w:jc w:val="center"/>
              <w:rPr>
                <w:rFonts w:eastAsiaTheme="minorEastAsia"/>
                <w:sz w:val="18"/>
                <w:szCs w:val="18"/>
              </w:rPr>
            </w:pPr>
          </w:p>
        </w:tc>
        <w:tc>
          <w:tcPr>
            <w:tcW w:w="415" w:type="pct"/>
            <w:gridSpan w:val="2"/>
            <w:vAlign w:val="center"/>
          </w:tcPr>
          <w:p>
            <w:pPr>
              <w:jc w:val="center"/>
              <w:rPr>
                <w:rFonts w:eastAsiaTheme="minorEastAsia"/>
                <w:sz w:val="18"/>
                <w:szCs w:val="18"/>
              </w:rPr>
            </w:pPr>
          </w:p>
        </w:tc>
        <w:tc>
          <w:tcPr>
            <w:tcW w:w="417" w:type="pct"/>
            <w:gridSpan w:val="3"/>
            <w:vAlign w:val="center"/>
          </w:tcPr>
          <w:p>
            <w:pPr>
              <w:jc w:val="center"/>
              <w:rPr>
                <w:rFonts w:eastAsiaTheme="minorEastAsia"/>
                <w:sz w:val="18"/>
                <w:szCs w:val="18"/>
              </w:rPr>
            </w:pPr>
          </w:p>
        </w:tc>
        <w:tc>
          <w:tcPr>
            <w:tcW w:w="415" w:type="pct"/>
            <w:gridSpan w:val="2"/>
            <w:vAlign w:val="center"/>
          </w:tcPr>
          <w:p>
            <w:pPr>
              <w:jc w:val="center"/>
              <w:rPr>
                <w:rFonts w:eastAsiaTheme="minorEastAsia"/>
                <w:sz w:val="18"/>
                <w:szCs w:val="18"/>
              </w:rPr>
            </w:pPr>
          </w:p>
        </w:tc>
        <w:tc>
          <w:tcPr>
            <w:tcW w:w="414" w:type="pct"/>
            <w:vAlign w:val="center"/>
          </w:tcPr>
          <w:p>
            <w:pPr>
              <w:jc w:val="center"/>
              <w:rPr>
                <w:rFonts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continue"/>
            <w:vAlign w:val="center"/>
          </w:tcPr>
          <w:p>
            <w:pPr>
              <w:widowControl/>
              <w:jc w:val="left"/>
              <w:rPr>
                <w:rFonts w:eastAsiaTheme="minorEastAsia"/>
                <w:sz w:val="18"/>
                <w:szCs w:val="18"/>
              </w:rPr>
            </w:pPr>
          </w:p>
        </w:tc>
        <w:tc>
          <w:tcPr>
            <w:tcW w:w="511" w:type="pct"/>
            <w:vAlign w:val="center"/>
          </w:tcPr>
          <w:p>
            <w:pPr>
              <w:jc w:val="center"/>
              <w:rPr>
                <w:rFonts w:eastAsiaTheme="minorEastAsia"/>
                <w:sz w:val="18"/>
                <w:szCs w:val="18"/>
              </w:rPr>
            </w:pPr>
            <w:r>
              <w:rPr>
                <w:rFonts w:hint="eastAsia" w:ascii="宋体" w:hAnsi="宋体" w:cs="宋体"/>
                <w:sz w:val="18"/>
                <w:szCs w:val="18"/>
              </w:rPr>
              <w:t>存在总量</w:t>
            </w:r>
            <w:r>
              <w:rPr>
                <w:sz w:val="18"/>
                <w:szCs w:val="18"/>
              </w:rPr>
              <w:t>/t</w:t>
            </w:r>
          </w:p>
        </w:tc>
        <w:tc>
          <w:tcPr>
            <w:tcW w:w="418" w:type="pct"/>
            <w:gridSpan w:val="2"/>
            <w:vAlign w:val="center"/>
          </w:tcPr>
          <w:p>
            <w:pPr>
              <w:jc w:val="center"/>
              <w:rPr>
                <w:rFonts w:eastAsiaTheme="minorEastAsia"/>
                <w:sz w:val="18"/>
                <w:szCs w:val="18"/>
              </w:rPr>
            </w:pPr>
            <w:r>
              <w:rPr>
                <w:rFonts w:hint="eastAsia" w:eastAsiaTheme="minorEastAsia"/>
                <w:sz w:val="18"/>
                <w:szCs w:val="18"/>
              </w:rPr>
              <w:t>8</w:t>
            </w:r>
            <w:r>
              <w:rPr>
                <w:rFonts w:eastAsiaTheme="minorEastAsia"/>
                <w:sz w:val="18"/>
                <w:szCs w:val="18"/>
              </w:rPr>
              <w:t>.1</w:t>
            </w:r>
          </w:p>
        </w:tc>
        <w:tc>
          <w:tcPr>
            <w:tcW w:w="415" w:type="pct"/>
            <w:gridSpan w:val="2"/>
            <w:vAlign w:val="center"/>
          </w:tcPr>
          <w:p>
            <w:pPr>
              <w:jc w:val="center"/>
              <w:rPr>
                <w:rFonts w:eastAsiaTheme="minorEastAsia"/>
                <w:sz w:val="18"/>
                <w:szCs w:val="18"/>
              </w:rPr>
            </w:pPr>
          </w:p>
        </w:tc>
        <w:tc>
          <w:tcPr>
            <w:tcW w:w="418" w:type="pct"/>
            <w:gridSpan w:val="2"/>
            <w:vAlign w:val="center"/>
          </w:tcPr>
          <w:p>
            <w:pPr>
              <w:jc w:val="center"/>
              <w:rPr>
                <w:rFonts w:eastAsiaTheme="minorEastAsia"/>
                <w:sz w:val="18"/>
                <w:szCs w:val="18"/>
              </w:rPr>
            </w:pPr>
          </w:p>
        </w:tc>
        <w:tc>
          <w:tcPr>
            <w:tcW w:w="418" w:type="pct"/>
            <w:vAlign w:val="center"/>
          </w:tcPr>
          <w:p>
            <w:pPr>
              <w:jc w:val="center"/>
              <w:rPr>
                <w:rFonts w:eastAsiaTheme="minorEastAsia"/>
                <w:sz w:val="18"/>
                <w:szCs w:val="18"/>
              </w:rPr>
            </w:pPr>
          </w:p>
        </w:tc>
        <w:tc>
          <w:tcPr>
            <w:tcW w:w="415" w:type="pct"/>
            <w:gridSpan w:val="2"/>
            <w:vAlign w:val="center"/>
          </w:tcPr>
          <w:p>
            <w:pPr>
              <w:jc w:val="center"/>
              <w:rPr>
                <w:rFonts w:eastAsiaTheme="minorEastAsia"/>
                <w:sz w:val="18"/>
                <w:szCs w:val="18"/>
              </w:rPr>
            </w:pPr>
          </w:p>
        </w:tc>
        <w:tc>
          <w:tcPr>
            <w:tcW w:w="417" w:type="pct"/>
            <w:gridSpan w:val="3"/>
            <w:vAlign w:val="center"/>
          </w:tcPr>
          <w:p>
            <w:pPr>
              <w:jc w:val="center"/>
              <w:rPr>
                <w:rFonts w:eastAsiaTheme="minorEastAsia"/>
                <w:sz w:val="18"/>
                <w:szCs w:val="18"/>
              </w:rPr>
            </w:pPr>
          </w:p>
        </w:tc>
        <w:tc>
          <w:tcPr>
            <w:tcW w:w="415" w:type="pct"/>
            <w:gridSpan w:val="2"/>
            <w:vAlign w:val="center"/>
          </w:tcPr>
          <w:p>
            <w:pPr>
              <w:jc w:val="center"/>
              <w:rPr>
                <w:rFonts w:eastAsiaTheme="minorEastAsia"/>
                <w:sz w:val="18"/>
                <w:szCs w:val="18"/>
              </w:rPr>
            </w:pPr>
          </w:p>
        </w:tc>
        <w:tc>
          <w:tcPr>
            <w:tcW w:w="414" w:type="pct"/>
            <w:vAlign w:val="center"/>
          </w:tcPr>
          <w:p>
            <w:pPr>
              <w:jc w:val="center"/>
              <w:rPr>
                <w:rFonts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restart"/>
            <w:vAlign w:val="center"/>
          </w:tcPr>
          <w:p>
            <w:pPr>
              <w:jc w:val="center"/>
              <w:rPr>
                <w:rFonts w:eastAsiaTheme="minorEastAsia"/>
                <w:sz w:val="18"/>
                <w:szCs w:val="18"/>
              </w:rPr>
            </w:pPr>
            <w:r>
              <w:rPr>
                <w:rFonts w:hint="eastAsia" w:ascii="宋体" w:hAnsi="宋体" w:cs="宋体"/>
                <w:sz w:val="18"/>
                <w:szCs w:val="18"/>
              </w:rPr>
              <w:t>环境敏感</w:t>
            </w:r>
            <w:r>
              <w:rPr>
                <w:rFonts w:hint="eastAsia"/>
                <w:sz w:val="18"/>
                <w:szCs w:val="18"/>
              </w:rPr>
              <w:t>性</w:t>
            </w:r>
          </w:p>
        </w:tc>
        <w:tc>
          <w:tcPr>
            <w:tcW w:w="511" w:type="pct"/>
            <w:vMerge w:val="restart"/>
            <w:vAlign w:val="center"/>
          </w:tcPr>
          <w:p>
            <w:pPr>
              <w:jc w:val="center"/>
              <w:rPr>
                <w:rFonts w:eastAsiaTheme="minorEastAsia"/>
                <w:sz w:val="18"/>
                <w:szCs w:val="18"/>
              </w:rPr>
            </w:pPr>
            <w:r>
              <w:rPr>
                <w:rFonts w:hint="eastAsia" w:ascii="宋体" w:hAnsi="宋体" w:cs="宋体"/>
                <w:sz w:val="18"/>
                <w:szCs w:val="18"/>
              </w:rPr>
              <w:t>大</w:t>
            </w:r>
            <w:r>
              <w:rPr>
                <w:rFonts w:hint="eastAsia"/>
                <w:sz w:val="18"/>
                <w:szCs w:val="18"/>
              </w:rPr>
              <w:t>气</w:t>
            </w:r>
          </w:p>
        </w:tc>
        <w:tc>
          <w:tcPr>
            <w:tcW w:w="1669" w:type="pct"/>
            <w:gridSpan w:val="7"/>
            <w:vAlign w:val="center"/>
          </w:tcPr>
          <w:p>
            <w:pPr>
              <w:jc w:val="center"/>
              <w:rPr>
                <w:rFonts w:eastAsiaTheme="minorEastAsia"/>
                <w:sz w:val="18"/>
                <w:szCs w:val="18"/>
              </w:rPr>
            </w:pPr>
            <w:r>
              <w:rPr>
                <w:sz w:val="18"/>
                <w:szCs w:val="18"/>
              </w:rPr>
              <w:t>500m</w:t>
            </w:r>
            <w:r>
              <w:rPr>
                <w:rFonts w:hint="eastAsia"/>
                <w:sz w:val="18"/>
                <w:szCs w:val="18"/>
              </w:rPr>
              <w:t>范围内人口数</w:t>
            </w:r>
            <w:r>
              <w:rPr>
                <w:sz w:val="18"/>
                <w:szCs w:val="18"/>
              </w:rPr>
              <w:t>_______</w:t>
            </w:r>
            <w:r>
              <w:rPr>
                <w:rFonts w:hint="eastAsia"/>
                <w:sz w:val="18"/>
                <w:szCs w:val="18"/>
              </w:rPr>
              <w:t>人</w:t>
            </w:r>
          </w:p>
        </w:tc>
        <w:tc>
          <w:tcPr>
            <w:tcW w:w="1662" w:type="pct"/>
            <w:gridSpan w:val="8"/>
            <w:vAlign w:val="center"/>
          </w:tcPr>
          <w:p>
            <w:pPr>
              <w:jc w:val="center"/>
              <w:rPr>
                <w:rFonts w:eastAsiaTheme="minorEastAsia"/>
                <w:sz w:val="18"/>
                <w:szCs w:val="18"/>
              </w:rPr>
            </w:pPr>
            <w:r>
              <w:rPr>
                <w:sz w:val="18"/>
                <w:szCs w:val="18"/>
              </w:rPr>
              <w:t>5km</w:t>
            </w:r>
            <w:r>
              <w:rPr>
                <w:rFonts w:hint="eastAsia"/>
                <w:sz w:val="18"/>
                <w:szCs w:val="18"/>
              </w:rPr>
              <w:t>范围内人口数</w:t>
            </w:r>
            <w:r>
              <w:rPr>
                <w:sz w:val="18"/>
                <w:szCs w:val="18"/>
              </w:rPr>
              <w:t>_______</w:t>
            </w:r>
            <w:r>
              <w:rPr>
                <w:rFonts w:hint="eastAsia"/>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continue"/>
            <w:vAlign w:val="center"/>
          </w:tcPr>
          <w:p>
            <w:pPr>
              <w:widowControl/>
              <w:jc w:val="left"/>
              <w:rPr>
                <w:rFonts w:eastAsiaTheme="minorEastAsia"/>
                <w:sz w:val="18"/>
                <w:szCs w:val="18"/>
              </w:rPr>
            </w:pPr>
          </w:p>
        </w:tc>
        <w:tc>
          <w:tcPr>
            <w:tcW w:w="511" w:type="pct"/>
            <w:vMerge w:val="continue"/>
            <w:vAlign w:val="center"/>
          </w:tcPr>
          <w:p>
            <w:pPr>
              <w:widowControl/>
              <w:jc w:val="left"/>
              <w:rPr>
                <w:rFonts w:eastAsiaTheme="minorEastAsia"/>
                <w:sz w:val="18"/>
                <w:szCs w:val="18"/>
              </w:rPr>
            </w:pPr>
          </w:p>
        </w:tc>
        <w:tc>
          <w:tcPr>
            <w:tcW w:w="2502" w:type="pct"/>
            <w:gridSpan w:val="12"/>
            <w:vAlign w:val="center"/>
          </w:tcPr>
          <w:p>
            <w:pPr>
              <w:jc w:val="center"/>
              <w:rPr>
                <w:rFonts w:eastAsiaTheme="minorEastAsia"/>
                <w:sz w:val="18"/>
                <w:szCs w:val="18"/>
              </w:rPr>
            </w:pPr>
            <w:r>
              <w:rPr>
                <w:rFonts w:hint="eastAsia" w:ascii="宋体" w:hAnsi="宋体" w:cs="宋体"/>
                <w:sz w:val="18"/>
                <w:szCs w:val="18"/>
              </w:rPr>
              <w:t>每公里管段周边</w:t>
            </w:r>
            <w:r>
              <w:rPr>
                <w:sz w:val="18"/>
                <w:szCs w:val="18"/>
              </w:rPr>
              <w:t>200m</w:t>
            </w:r>
            <w:r>
              <w:rPr>
                <w:rFonts w:hint="eastAsia"/>
                <w:sz w:val="18"/>
                <w:szCs w:val="18"/>
              </w:rPr>
              <w:t>范围内人口数（最大）</w:t>
            </w:r>
          </w:p>
        </w:tc>
        <w:tc>
          <w:tcPr>
            <w:tcW w:w="829" w:type="pct"/>
            <w:gridSpan w:val="3"/>
            <w:vAlign w:val="center"/>
          </w:tcPr>
          <w:p>
            <w:pPr>
              <w:jc w:val="center"/>
              <w:rPr>
                <w:rFonts w:eastAsiaTheme="minorEastAsia"/>
                <w:sz w:val="18"/>
                <w:szCs w:val="18"/>
              </w:rPr>
            </w:pPr>
            <w:r>
              <w:rPr>
                <w:sz w:val="18"/>
                <w:szCs w:val="18"/>
              </w:rPr>
              <w:t>_______</w:t>
            </w:r>
            <w:r>
              <w:rPr>
                <w:rFonts w:hint="eastAsia"/>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continue"/>
            <w:vAlign w:val="center"/>
          </w:tcPr>
          <w:p>
            <w:pPr>
              <w:widowControl/>
              <w:jc w:val="left"/>
              <w:rPr>
                <w:rFonts w:eastAsiaTheme="minorEastAsia"/>
                <w:sz w:val="18"/>
                <w:szCs w:val="18"/>
              </w:rPr>
            </w:pPr>
          </w:p>
        </w:tc>
        <w:tc>
          <w:tcPr>
            <w:tcW w:w="511" w:type="pct"/>
            <w:vMerge w:val="restart"/>
            <w:vAlign w:val="center"/>
          </w:tcPr>
          <w:p>
            <w:pPr>
              <w:jc w:val="center"/>
              <w:rPr>
                <w:rFonts w:eastAsiaTheme="minorEastAsia"/>
                <w:sz w:val="18"/>
                <w:szCs w:val="18"/>
              </w:rPr>
            </w:pPr>
            <w:r>
              <w:rPr>
                <w:rFonts w:hint="eastAsia" w:ascii="宋体" w:hAnsi="宋体" w:cs="宋体"/>
                <w:sz w:val="18"/>
                <w:szCs w:val="18"/>
              </w:rPr>
              <w:t>地表</w:t>
            </w:r>
            <w:r>
              <w:rPr>
                <w:rFonts w:hint="eastAsia"/>
                <w:sz w:val="18"/>
                <w:szCs w:val="18"/>
              </w:rPr>
              <w:t>水</w:t>
            </w:r>
          </w:p>
        </w:tc>
        <w:tc>
          <w:tcPr>
            <w:tcW w:w="945" w:type="pct"/>
            <w:gridSpan w:val="5"/>
            <w:vAlign w:val="center"/>
          </w:tcPr>
          <w:p>
            <w:pPr>
              <w:jc w:val="center"/>
              <w:rPr>
                <w:rFonts w:eastAsiaTheme="minorEastAsia"/>
                <w:sz w:val="18"/>
                <w:szCs w:val="18"/>
              </w:rPr>
            </w:pPr>
            <w:r>
              <w:rPr>
                <w:rFonts w:hint="eastAsia" w:ascii="宋体" w:hAnsi="宋体" w:cs="宋体"/>
                <w:sz w:val="18"/>
                <w:szCs w:val="18"/>
              </w:rPr>
              <w:t>地表水功能敏感</w:t>
            </w:r>
            <w:r>
              <w:rPr>
                <w:rFonts w:hint="eastAsia"/>
                <w:sz w:val="18"/>
                <w:szCs w:val="18"/>
              </w:rPr>
              <w:t>性</w:t>
            </w:r>
          </w:p>
        </w:tc>
        <w:tc>
          <w:tcPr>
            <w:tcW w:w="725" w:type="pct"/>
            <w:gridSpan w:val="2"/>
            <w:vAlign w:val="center"/>
          </w:tcPr>
          <w:p>
            <w:pPr>
              <w:jc w:val="center"/>
              <w:rPr>
                <w:rFonts w:eastAsiaTheme="minorEastAsia"/>
                <w:sz w:val="18"/>
                <w:szCs w:val="18"/>
              </w:rPr>
            </w:pPr>
            <w:r>
              <w:rPr>
                <w:sz w:val="18"/>
                <w:szCs w:val="18"/>
              </w:rPr>
              <w:t>F1</w:t>
            </w:r>
            <w:r>
              <w:rPr>
                <w:rFonts w:hint="eastAsia" w:asciiTheme="majorEastAsia" w:hAnsiTheme="majorEastAsia" w:eastAsiaTheme="majorEastAsia"/>
                <w:sz w:val="18"/>
                <w:szCs w:val="18"/>
              </w:rPr>
              <w:t>□</w:t>
            </w:r>
          </w:p>
        </w:tc>
        <w:tc>
          <w:tcPr>
            <w:tcW w:w="832" w:type="pct"/>
            <w:gridSpan w:val="5"/>
            <w:vAlign w:val="center"/>
          </w:tcPr>
          <w:p>
            <w:pPr>
              <w:jc w:val="center"/>
              <w:rPr>
                <w:rFonts w:eastAsiaTheme="minorEastAsia"/>
                <w:sz w:val="18"/>
                <w:szCs w:val="18"/>
              </w:rPr>
            </w:pPr>
            <w:r>
              <w:rPr>
                <w:sz w:val="18"/>
                <w:szCs w:val="18"/>
              </w:rPr>
              <w:t>F2</w:t>
            </w:r>
            <w:r>
              <w:rPr>
                <w:rFonts w:hint="eastAsia" w:asciiTheme="majorEastAsia" w:hAnsiTheme="majorEastAsia" w:eastAsiaTheme="majorEastAsia"/>
                <w:sz w:val="18"/>
                <w:szCs w:val="18"/>
              </w:rPr>
              <w:t>□</w:t>
            </w:r>
          </w:p>
        </w:tc>
        <w:tc>
          <w:tcPr>
            <w:tcW w:w="829" w:type="pct"/>
            <w:gridSpan w:val="3"/>
            <w:vAlign w:val="center"/>
          </w:tcPr>
          <w:p>
            <w:pPr>
              <w:jc w:val="center"/>
              <w:rPr>
                <w:rFonts w:eastAsiaTheme="minorEastAsia"/>
                <w:sz w:val="18"/>
                <w:szCs w:val="18"/>
              </w:rPr>
            </w:pPr>
            <w:r>
              <w:rPr>
                <w:sz w:val="18"/>
                <w:szCs w:val="18"/>
              </w:rPr>
              <w:t>F3</w:t>
            </w:r>
            <w:r>
              <w:rPr>
                <w:rFonts w:hint="eastAsia" w:asciiTheme="majorEastAsia" w:hAnsiTheme="majorEastAsia" w:eastAsiaTheme="maj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continue"/>
            <w:vAlign w:val="center"/>
          </w:tcPr>
          <w:p>
            <w:pPr>
              <w:widowControl/>
              <w:jc w:val="left"/>
              <w:rPr>
                <w:rFonts w:eastAsiaTheme="minorEastAsia"/>
                <w:sz w:val="18"/>
                <w:szCs w:val="18"/>
              </w:rPr>
            </w:pPr>
          </w:p>
        </w:tc>
        <w:tc>
          <w:tcPr>
            <w:tcW w:w="511" w:type="pct"/>
            <w:vMerge w:val="continue"/>
            <w:vAlign w:val="center"/>
          </w:tcPr>
          <w:p>
            <w:pPr>
              <w:widowControl/>
              <w:jc w:val="left"/>
              <w:rPr>
                <w:rFonts w:eastAsiaTheme="minorEastAsia"/>
                <w:sz w:val="18"/>
                <w:szCs w:val="18"/>
              </w:rPr>
            </w:pPr>
          </w:p>
        </w:tc>
        <w:tc>
          <w:tcPr>
            <w:tcW w:w="945" w:type="pct"/>
            <w:gridSpan w:val="5"/>
            <w:vAlign w:val="center"/>
          </w:tcPr>
          <w:p>
            <w:pPr>
              <w:jc w:val="center"/>
              <w:rPr>
                <w:rFonts w:eastAsiaTheme="minorEastAsia"/>
                <w:sz w:val="18"/>
                <w:szCs w:val="18"/>
              </w:rPr>
            </w:pPr>
            <w:r>
              <w:rPr>
                <w:rFonts w:hint="eastAsia" w:ascii="宋体" w:hAnsi="宋体" w:cs="宋体"/>
                <w:sz w:val="18"/>
                <w:szCs w:val="18"/>
              </w:rPr>
              <w:t>环境敏感目标分</w:t>
            </w:r>
            <w:r>
              <w:rPr>
                <w:rFonts w:hint="eastAsia"/>
                <w:sz w:val="18"/>
                <w:szCs w:val="18"/>
              </w:rPr>
              <w:t>级</w:t>
            </w:r>
          </w:p>
        </w:tc>
        <w:tc>
          <w:tcPr>
            <w:tcW w:w="725" w:type="pct"/>
            <w:gridSpan w:val="2"/>
            <w:vAlign w:val="center"/>
          </w:tcPr>
          <w:p>
            <w:pPr>
              <w:jc w:val="center"/>
              <w:rPr>
                <w:rFonts w:eastAsiaTheme="minorEastAsia"/>
                <w:sz w:val="18"/>
                <w:szCs w:val="18"/>
              </w:rPr>
            </w:pPr>
            <w:r>
              <w:rPr>
                <w:sz w:val="18"/>
                <w:szCs w:val="18"/>
              </w:rPr>
              <w:t>S1</w:t>
            </w:r>
            <w:r>
              <w:rPr>
                <w:rFonts w:hint="eastAsia" w:asciiTheme="majorEastAsia" w:hAnsiTheme="majorEastAsia" w:eastAsiaTheme="majorEastAsia"/>
                <w:sz w:val="18"/>
                <w:szCs w:val="18"/>
              </w:rPr>
              <w:t>□</w:t>
            </w:r>
          </w:p>
        </w:tc>
        <w:tc>
          <w:tcPr>
            <w:tcW w:w="832" w:type="pct"/>
            <w:gridSpan w:val="5"/>
            <w:vAlign w:val="center"/>
          </w:tcPr>
          <w:p>
            <w:pPr>
              <w:jc w:val="center"/>
              <w:rPr>
                <w:rFonts w:eastAsiaTheme="minorEastAsia"/>
                <w:sz w:val="18"/>
                <w:szCs w:val="18"/>
              </w:rPr>
            </w:pPr>
            <w:r>
              <w:rPr>
                <w:sz w:val="18"/>
                <w:szCs w:val="18"/>
              </w:rPr>
              <w:t>S2</w:t>
            </w:r>
            <w:r>
              <w:rPr>
                <w:rFonts w:hint="eastAsia" w:asciiTheme="majorEastAsia" w:hAnsiTheme="majorEastAsia" w:eastAsiaTheme="majorEastAsia"/>
                <w:sz w:val="18"/>
                <w:szCs w:val="18"/>
              </w:rPr>
              <w:t>□</w:t>
            </w:r>
          </w:p>
        </w:tc>
        <w:tc>
          <w:tcPr>
            <w:tcW w:w="829" w:type="pct"/>
            <w:gridSpan w:val="3"/>
            <w:vAlign w:val="center"/>
          </w:tcPr>
          <w:p>
            <w:pPr>
              <w:jc w:val="center"/>
              <w:rPr>
                <w:rFonts w:eastAsiaTheme="minorEastAsia"/>
                <w:sz w:val="18"/>
                <w:szCs w:val="18"/>
              </w:rPr>
            </w:pPr>
            <w:r>
              <w:rPr>
                <w:sz w:val="18"/>
                <w:szCs w:val="18"/>
              </w:rPr>
              <w:t>S3</w:t>
            </w:r>
            <w:r>
              <w:rPr>
                <w:rFonts w:hint="eastAsia" w:asciiTheme="majorEastAsia" w:hAnsiTheme="majorEastAsia" w:eastAsiaTheme="maj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continue"/>
            <w:vAlign w:val="center"/>
          </w:tcPr>
          <w:p>
            <w:pPr>
              <w:widowControl/>
              <w:jc w:val="left"/>
              <w:rPr>
                <w:rFonts w:eastAsiaTheme="minorEastAsia"/>
                <w:sz w:val="18"/>
                <w:szCs w:val="18"/>
              </w:rPr>
            </w:pPr>
          </w:p>
        </w:tc>
        <w:tc>
          <w:tcPr>
            <w:tcW w:w="511" w:type="pct"/>
            <w:vMerge w:val="restart"/>
            <w:vAlign w:val="center"/>
          </w:tcPr>
          <w:p>
            <w:pPr>
              <w:jc w:val="center"/>
              <w:rPr>
                <w:rFonts w:eastAsiaTheme="minorEastAsia"/>
                <w:sz w:val="18"/>
                <w:szCs w:val="18"/>
              </w:rPr>
            </w:pPr>
            <w:r>
              <w:rPr>
                <w:rFonts w:hint="eastAsia" w:ascii="宋体" w:hAnsi="宋体" w:cs="宋体"/>
                <w:sz w:val="18"/>
                <w:szCs w:val="18"/>
              </w:rPr>
              <w:t>地下</w:t>
            </w:r>
            <w:r>
              <w:rPr>
                <w:rFonts w:hint="eastAsia"/>
                <w:sz w:val="18"/>
                <w:szCs w:val="18"/>
              </w:rPr>
              <w:t>水</w:t>
            </w:r>
          </w:p>
        </w:tc>
        <w:tc>
          <w:tcPr>
            <w:tcW w:w="945" w:type="pct"/>
            <w:gridSpan w:val="5"/>
            <w:vAlign w:val="center"/>
          </w:tcPr>
          <w:p>
            <w:pPr>
              <w:jc w:val="center"/>
              <w:rPr>
                <w:rFonts w:eastAsiaTheme="minorEastAsia"/>
                <w:sz w:val="18"/>
                <w:szCs w:val="18"/>
              </w:rPr>
            </w:pPr>
            <w:r>
              <w:rPr>
                <w:rFonts w:hint="eastAsia" w:ascii="宋体" w:hAnsi="宋体" w:cs="宋体"/>
                <w:sz w:val="18"/>
                <w:szCs w:val="18"/>
              </w:rPr>
              <w:t>地下水功能敏感</w:t>
            </w:r>
            <w:r>
              <w:rPr>
                <w:rFonts w:hint="eastAsia"/>
                <w:sz w:val="18"/>
                <w:szCs w:val="18"/>
              </w:rPr>
              <w:t>性</w:t>
            </w:r>
          </w:p>
        </w:tc>
        <w:tc>
          <w:tcPr>
            <w:tcW w:w="725" w:type="pct"/>
            <w:gridSpan w:val="2"/>
            <w:vAlign w:val="center"/>
          </w:tcPr>
          <w:p>
            <w:pPr>
              <w:jc w:val="center"/>
              <w:rPr>
                <w:rFonts w:eastAsiaTheme="minorEastAsia"/>
                <w:sz w:val="18"/>
                <w:szCs w:val="18"/>
              </w:rPr>
            </w:pPr>
            <w:r>
              <w:rPr>
                <w:sz w:val="18"/>
                <w:szCs w:val="18"/>
              </w:rPr>
              <w:t>G1</w:t>
            </w:r>
            <w:r>
              <w:rPr>
                <w:rFonts w:hint="eastAsia" w:asciiTheme="majorEastAsia" w:hAnsiTheme="majorEastAsia" w:eastAsiaTheme="majorEastAsia"/>
                <w:sz w:val="18"/>
                <w:szCs w:val="18"/>
              </w:rPr>
              <w:t>□</w:t>
            </w:r>
          </w:p>
        </w:tc>
        <w:tc>
          <w:tcPr>
            <w:tcW w:w="832" w:type="pct"/>
            <w:gridSpan w:val="5"/>
            <w:vAlign w:val="center"/>
          </w:tcPr>
          <w:p>
            <w:pPr>
              <w:jc w:val="center"/>
              <w:rPr>
                <w:rFonts w:eastAsiaTheme="minorEastAsia"/>
                <w:sz w:val="18"/>
                <w:szCs w:val="18"/>
              </w:rPr>
            </w:pPr>
            <w:r>
              <w:rPr>
                <w:sz w:val="18"/>
                <w:szCs w:val="18"/>
              </w:rPr>
              <w:t>G2</w:t>
            </w:r>
            <w:r>
              <w:rPr>
                <w:rFonts w:hint="eastAsia" w:asciiTheme="majorEastAsia" w:hAnsiTheme="majorEastAsia" w:eastAsiaTheme="majorEastAsia"/>
                <w:sz w:val="18"/>
                <w:szCs w:val="18"/>
              </w:rPr>
              <w:t>□</w:t>
            </w:r>
          </w:p>
        </w:tc>
        <w:tc>
          <w:tcPr>
            <w:tcW w:w="829" w:type="pct"/>
            <w:gridSpan w:val="3"/>
            <w:vAlign w:val="center"/>
          </w:tcPr>
          <w:p>
            <w:pPr>
              <w:jc w:val="center"/>
              <w:rPr>
                <w:rFonts w:eastAsiaTheme="minorEastAsia"/>
                <w:sz w:val="18"/>
                <w:szCs w:val="18"/>
              </w:rPr>
            </w:pPr>
            <w:r>
              <w:rPr>
                <w:sz w:val="18"/>
                <w:szCs w:val="18"/>
              </w:rPr>
              <w:t>G3</w:t>
            </w:r>
            <w:r>
              <w:rPr>
                <w:rFonts w:hint="eastAsia" w:asciiTheme="majorEastAsia" w:hAnsiTheme="majorEastAsia" w:eastAsiaTheme="maj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continue"/>
            <w:vAlign w:val="center"/>
          </w:tcPr>
          <w:p>
            <w:pPr>
              <w:widowControl/>
              <w:jc w:val="left"/>
              <w:rPr>
                <w:rFonts w:eastAsiaTheme="minorEastAsia"/>
                <w:sz w:val="18"/>
                <w:szCs w:val="18"/>
              </w:rPr>
            </w:pPr>
          </w:p>
        </w:tc>
        <w:tc>
          <w:tcPr>
            <w:tcW w:w="511" w:type="pct"/>
            <w:vMerge w:val="continue"/>
            <w:vAlign w:val="center"/>
          </w:tcPr>
          <w:p>
            <w:pPr>
              <w:widowControl/>
              <w:jc w:val="left"/>
              <w:rPr>
                <w:rFonts w:eastAsiaTheme="minorEastAsia"/>
                <w:sz w:val="18"/>
                <w:szCs w:val="18"/>
              </w:rPr>
            </w:pPr>
          </w:p>
        </w:tc>
        <w:tc>
          <w:tcPr>
            <w:tcW w:w="945" w:type="pct"/>
            <w:gridSpan w:val="5"/>
            <w:vAlign w:val="center"/>
          </w:tcPr>
          <w:p>
            <w:pPr>
              <w:jc w:val="center"/>
              <w:rPr>
                <w:rFonts w:eastAsiaTheme="minorEastAsia"/>
                <w:sz w:val="18"/>
                <w:szCs w:val="18"/>
              </w:rPr>
            </w:pPr>
            <w:r>
              <w:rPr>
                <w:rFonts w:hint="eastAsia" w:ascii="宋体" w:hAnsi="宋体" w:cs="宋体"/>
                <w:sz w:val="18"/>
                <w:szCs w:val="18"/>
              </w:rPr>
              <w:t>包气带防污性</w:t>
            </w:r>
            <w:r>
              <w:rPr>
                <w:rFonts w:hint="eastAsia"/>
                <w:sz w:val="18"/>
                <w:szCs w:val="18"/>
              </w:rPr>
              <w:t>能</w:t>
            </w:r>
          </w:p>
        </w:tc>
        <w:tc>
          <w:tcPr>
            <w:tcW w:w="725" w:type="pct"/>
            <w:gridSpan w:val="2"/>
            <w:vAlign w:val="center"/>
          </w:tcPr>
          <w:p>
            <w:pPr>
              <w:jc w:val="center"/>
              <w:rPr>
                <w:rFonts w:eastAsiaTheme="minorEastAsia"/>
                <w:sz w:val="18"/>
                <w:szCs w:val="18"/>
              </w:rPr>
            </w:pPr>
            <w:r>
              <w:rPr>
                <w:sz w:val="18"/>
                <w:szCs w:val="18"/>
              </w:rPr>
              <w:t>D1</w:t>
            </w:r>
            <w:r>
              <w:rPr>
                <w:rFonts w:hint="eastAsia" w:asciiTheme="majorEastAsia" w:hAnsiTheme="majorEastAsia" w:eastAsiaTheme="majorEastAsia"/>
                <w:sz w:val="18"/>
                <w:szCs w:val="18"/>
              </w:rPr>
              <w:t>□</w:t>
            </w:r>
          </w:p>
        </w:tc>
        <w:tc>
          <w:tcPr>
            <w:tcW w:w="832" w:type="pct"/>
            <w:gridSpan w:val="5"/>
            <w:vAlign w:val="center"/>
          </w:tcPr>
          <w:p>
            <w:pPr>
              <w:jc w:val="center"/>
              <w:rPr>
                <w:rFonts w:eastAsiaTheme="minorEastAsia"/>
                <w:sz w:val="18"/>
                <w:szCs w:val="18"/>
              </w:rPr>
            </w:pPr>
            <w:r>
              <w:rPr>
                <w:sz w:val="18"/>
                <w:szCs w:val="18"/>
              </w:rPr>
              <w:t>D2</w:t>
            </w:r>
            <w:r>
              <w:rPr>
                <w:rFonts w:hint="eastAsia" w:asciiTheme="majorEastAsia" w:hAnsiTheme="majorEastAsia" w:eastAsiaTheme="majorEastAsia"/>
                <w:sz w:val="18"/>
                <w:szCs w:val="18"/>
              </w:rPr>
              <w:t>□</w:t>
            </w:r>
          </w:p>
        </w:tc>
        <w:tc>
          <w:tcPr>
            <w:tcW w:w="829" w:type="pct"/>
            <w:gridSpan w:val="3"/>
            <w:vAlign w:val="center"/>
          </w:tcPr>
          <w:p>
            <w:pPr>
              <w:jc w:val="center"/>
              <w:rPr>
                <w:rFonts w:eastAsiaTheme="minorEastAsia"/>
                <w:sz w:val="18"/>
                <w:szCs w:val="18"/>
              </w:rPr>
            </w:pPr>
            <w:r>
              <w:rPr>
                <w:sz w:val="18"/>
                <w:szCs w:val="18"/>
              </w:rPr>
              <w:t>D3</w:t>
            </w:r>
            <w:r>
              <w:rPr>
                <w:rFonts w:hint="eastAsia" w:asciiTheme="majorEastAsia" w:hAnsiTheme="majorEastAsia" w:eastAsiaTheme="maj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Merge w:val="restart"/>
            <w:vAlign w:val="center"/>
          </w:tcPr>
          <w:p>
            <w:pPr>
              <w:jc w:val="center"/>
              <w:rPr>
                <w:rFonts w:eastAsiaTheme="minorEastAsia"/>
                <w:sz w:val="18"/>
                <w:szCs w:val="18"/>
              </w:rPr>
            </w:pPr>
            <w:r>
              <w:rPr>
                <w:rFonts w:hint="eastAsia" w:ascii="宋体" w:hAnsi="宋体" w:cs="宋体"/>
                <w:sz w:val="18"/>
                <w:szCs w:val="18"/>
              </w:rPr>
              <w:t>物质及工艺系统危险</w:t>
            </w:r>
            <w:r>
              <w:rPr>
                <w:rFonts w:hint="eastAsia"/>
                <w:sz w:val="18"/>
                <w:szCs w:val="18"/>
              </w:rPr>
              <w:t>性</w:t>
            </w:r>
          </w:p>
        </w:tc>
        <w:tc>
          <w:tcPr>
            <w:tcW w:w="511" w:type="pct"/>
            <w:vAlign w:val="center"/>
          </w:tcPr>
          <w:p>
            <w:pPr>
              <w:jc w:val="center"/>
              <w:rPr>
                <w:rFonts w:eastAsiaTheme="minorEastAsia"/>
                <w:sz w:val="18"/>
                <w:szCs w:val="18"/>
              </w:rPr>
            </w:pPr>
            <w:r>
              <w:rPr>
                <w:sz w:val="18"/>
                <w:szCs w:val="18"/>
              </w:rPr>
              <w:t>Q</w:t>
            </w:r>
            <w:r>
              <w:rPr>
                <w:rFonts w:hint="eastAsia"/>
                <w:sz w:val="18"/>
                <w:szCs w:val="18"/>
              </w:rPr>
              <w:t>值</w:t>
            </w:r>
          </w:p>
        </w:tc>
        <w:tc>
          <w:tcPr>
            <w:tcW w:w="945" w:type="pct"/>
            <w:gridSpan w:val="5"/>
            <w:vAlign w:val="center"/>
          </w:tcPr>
          <w:p>
            <w:pPr>
              <w:jc w:val="center"/>
              <w:rPr>
                <w:rFonts w:eastAsiaTheme="minorEastAsia"/>
                <w:sz w:val="18"/>
                <w:szCs w:val="18"/>
              </w:rPr>
            </w:pPr>
            <w:r>
              <w:rPr>
                <w:rFonts w:hint="eastAsia" w:asciiTheme="majorEastAsia" w:hAnsiTheme="majorEastAsia" w:eastAsiaTheme="majorEastAsia"/>
                <w:sz w:val="18"/>
                <w:szCs w:val="18"/>
              </w:rPr>
              <w:t>Q＜1</w:t>
            </w:r>
            <w:r>
              <w:rPr>
                <w:rFonts w:hint="eastAsia" w:asciiTheme="majorEastAsia" w:hAnsiTheme="majorEastAsia" w:eastAsiaTheme="majorEastAsia"/>
                <w:b/>
                <w:sz w:val="18"/>
                <w:szCs w:val="18"/>
              </w:rPr>
              <w:t>√</w:t>
            </w:r>
          </w:p>
        </w:tc>
        <w:tc>
          <w:tcPr>
            <w:tcW w:w="725" w:type="pct"/>
            <w:gridSpan w:val="2"/>
            <w:vAlign w:val="center"/>
          </w:tcPr>
          <w:p>
            <w:pPr>
              <w:jc w:val="center"/>
              <w:rPr>
                <w:rFonts w:eastAsiaTheme="minorEastAsia"/>
                <w:sz w:val="18"/>
                <w:szCs w:val="18"/>
              </w:rPr>
            </w:pPr>
            <w:r>
              <w:rPr>
                <w:rFonts w:hint="eastAsia" w:asciiTheme="majorEastAsia" w:hAnsiTheme="majorEastAsia" w:eastAsiaTheme="majorEastAsia"/>
                <w:sz w:val="18"/>
                <w:szCs w:val="18"/>
              </w:rPr>
              <w:t>1≤Q＜10□</w:t>
            </w:r>
          </w:p>
        </w:tc>
        <w:tc>
          <w:tcPr>
            <w:tcW w:w="832" w:type="pct"/>
            <w:gridSpan w:val="5"/>
            <w:vAlign w:val="center"/>
          </w:tcPr>
          <w:p>
            <w:pPr>
              <w:jc w:val="center"/>
              <w:rPr>
                <w:rFonts w:eastAsiaTheme="minorEastAsia"/>
                <w:sz w:val="18"/>
                <w:szCs w:val="18"/>
              </w:rPr>
            </w:pPr>
            <w:r>
              <w:rPr>
                <w:rFonts w:hint="eastAsia" w:asciiTheme="majorEastAsia" w:hAnsiTheme="majorEastAsia" w:eastAsiaTheme="majorEastAsia"/>
                <w:sz w:val="18"/>
                <w:szCs w:val="18"/>
              </w:rPr>
              <w:t>10≤Q＜100□</w:t>
            </w:r>
          </w:p>
        </w:tc>
        <w:tc>
          <w:tcPr>
            <w:tcW w:w="829" w:type="pct"/>
            <w:gridSpan w:val="3"/>
            <w:vAlign w:val="center"/>
          </w:tcPr>
          <w:p>
            <w:pPr>
              <w:jc w:val="center"/>
              <w:rPr>
                <w:rFonts w:eastAsiaTheme="minorEastAsia"/>
                <w:sz w:val="18"/>
                <w:szCs w:val="18"/>
              </w:rPr>
            </w:pPr>
            <w:r>
              <w:rPr>
                <w:rFonts w:hint="eastAsia" w:asciiTheme="majorEastAsia" w:hAnsiTheme="majorEastAsia" w:eastAsiaTheme="majorEastAsia"/>
                <w:sz w:val="18"/>
                <w:szCs w:val="18"/>
              </w:rP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Merge w:val="continue"/>
            <w:vAlign w:val="center"/>
          </w:tcPr>
          <w:p>
            <w:pPr>
              <w:widowControl/>
              <w:jc w:val="left"/>
              <w:rPr>
                <w:rFonts w:eastAsiaTheme="minorEastAsia"/>
                <w:sz w:val="18"/>
                <w:szCs w:val="18"/>
              </w:rPr>
            </w:pPr>
          </w:p>
        </w:tc>
        <w:tc>
          <w:tcPr>
            <w:tcW w:w="511" w:type="pct"/>
            <w:vAlign w:val="center"/>
          </w:tcPr>
          <w:p>
            <w:pPr>
              <w:jc w:val="center"/>
              <w:rPr>
                <w:rFonts w:eastAsiaTheme="minorEastAsia"/>
                <w:sz w:val="18"/>
                <w:szCs w:val="18"/>
              </w:rPr>
            </w:pPr>
            <w:r>
              <w:rPr>
                <w:sz w:val="18"/>
                <w:szCs w:val="18"/>
              </w:rPr>
              <w:t>M</w:t>
            </w:r>
            <w:r>
              <w:rPr>
                <w:rFonts w:hint="eastAsia"/>
                <w:sz w:val="18"/>
                <w:szCs w:val="18"/>
              </w:rPr>
              <w:t>值</w:t>
            </w:r>
          </w:p>
        </w:tc>
        <w:tc>
          <w:tcPr>
            <w:tcW w:w="945" w:type="pct"/>
            <w:gridSpan w:val="5"/>
            <w:vAlign w:val="center"/>
          </w:tcPr>
          <w:p>
            <w:pPr>
              <w:jc w:val="center"/>
              <w:rPr>
                <w:rFonts w:eastAsiaTheme="minorEastAsia"/>
                <w:sz w:val="18"/>
                <w:szCs w:val="18"/>
              </w:rPr>
            </w:pPr>
            <w:r>
              <w:rPr>
                <w:rFonts w:hint="eastAsia" w:asciiTheme="majorEastAsia" w:hAnsiTheme="majorEastAsia" w:eastAsiaTheme="majorEastAsia"/>
                <w:sz w:val="18"/>
                <w:szCs w:val="18"/>
              </w:rPr>
              <w:t>M1□</w:t>
            </w:r>
          </w:p>
        </w:tc>
        <w:tc>
          <w:tcPr>
            <w:tcW w:w="725" w:type="pct"/>
            <w:gridSpan w:val="2"/>
            <w:vAlign w:val="center"/>
          </w:tcPr>
          <w:p>
            <w:pPr>
              <w:jc w:val="center"/>
              <w:rPr>
                <w:rFonts w:eastAsiaTheme="minorEastAsia"/>
                <w:sz w:val="18"/>
                <w:szCs w:val="18"/>
              </w:rPr>
            </w:pPr>
            <w:r>
              <w:rPr>
                <w:rFonts w:hint="eastAsia" w:asciiTheme="majorEastAsia" w:hAnsiTheme="majorEastAsia" w:eastAsiaTheme="majorEastAsia"/>
                <w:sz w:val="18"/>
                <w:szCs w:val="18"/>
              </w:rPr>
              <w:t>M2□</w:t>
            </w:r>
          </w:p>
        </w:tc>
        <w:tc>
          <w:tcPr>
            <w:tcW w:w="832" w:type="pct"/>
            <w:gridSpan w:val="5"/>
            <w:vAlign w:val="center"/>
          </w:tcPr>
          <w:p>
            <w:pPr>
              <w:jc w:val="center"/>
              <w:rPr>
                <w:rFonts w:eastAsiaTheme="minorEastAsia"/>
                <w:sz w:val="18"/>
                <w:szCs w:val="18"/>
              </w:rPr>
            </w:pPr>
            <w:r>
              <w:rPr>
                <w:rFonts w:hint="eastAsia" w:asciiTheme="majorEastAsia" w:hAnsiTheme="majorEastAsia" w:eastAsiaTheme="majorEastAsia"/>
                <w:sz w:val="18"/>
                <w:szCs w:val="18"/>
              </w:rPr>
              <w:t>M3□</w:t>
            </w:r>
          </w:p>
        </w:tc>
        <w:tc>
          <w:tcPr>
            <w:tcW w:w="829" w:type="pct"/>
            <w:gridSpan w:val="3"/>
            <w:vAlign w:val="center"/>
          </w:tcPr>
          <w:p>
            <w:pPr>
              <w:jc w:val="center"/>
              <w:rPr>
                <w:rFonts w:eastAsiaTheme="minorEastAsia"/>
                <w:sz w:val="18"/>
                <w:szCs w:val="18"/>
              </w:rPr>
            </w:pPr>
            <w:r>
              <w:rPr>
                <w:rFonts w:hint="eastAsia" w:asciiTheme="majorEastAsia" w:hAnsiTheme="majorEastAsia" w:eastAsiaTheme="majorEastAsia"/>
                <w:sz w:val="18"/>
                <w:szCs w:val="18"/>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Merge w:val="continue"/>
            <w:vAlign w:val="center"/>
          </w:tcPr>
          <w:p>
            <w:pPr>
              <w:widowControl/>
              <w:jc w:val="left"/>
              <w:rPr>
                <w:rFonts w:eastAsiaTheme="minorEastAsia"/>
                <w:sz w:val="18"/>
                <w:szCs w:val="18"/>
              </w:rPr>
            </w:pPr>
          </w:p>
        </w:tc>
        <w:tc>
          <w:tcPr>
            <w:tcW w:w="511" w:type="pct"/>
            <w:vAlign w:val="center"/>
          </w:tcPr>
          <w:p>
            <w:pPr>
              <w:jc w:val="center"/>
              <w:rPr>
                <w:rFonts w:eastAsiaTheme="minorEastAsia"/>
                <w:sz w:val="18"/>
                <w:szCs w:val="18"/>
              </w:rPr>
            </w:pPr>
            <w:r>
              <w:rPr>
                <w:sz w:val="18"/>
                <w:szCs w:val="18"/>
              </w:rPr>
              <w:t>P</w:t>
            </w:r>
            <w:r>
              <w:rPr>
                <w:rFonts w:hint="eastAsia"/>
                <w:sz w:val="18"/>
                <w:szCs w:val="18"/>
              </w:rPr>
              <w:t>值</w:t>
            </w:r>
          </w:p>
        </w:tc>
        <w:tc>
          <w:tcPr>
            <w:tcW w:w="945" w:type="pct"/>
            <w:gridSpan w:val="5"/>
            <w:vAlign w:val="center"/>
          </w:tcPr>
          <w:p>
            <w:pPr>
              <w:jc w:val="center"/>
              <w:rPr>
                <w:rFonts w:eastAsiaTheme="minorEastAsia"/>
                <w:sz w:val="18"/>
                <w:szCs w:val="18"/>
              </w:rPr>
            </w:pPr>
            <w:r>
              <w:rPr>
                <w:rFonts w:hint="eastAsia" w:asciiTheme="majorEastAsia" w:hAnsiTheme="majorEastAsia" w:eastAsiaTheme="majorEastAsia"/>
                <w:sz w:val="18"/>
                <w:szCs w:val="18"/>
              </w:rPr>
              <w:t>P1□</w:t>
            </w:r>
          </w:p>
        </w:tc>
        <w:tc>
          <w:tcPr>
            <w:tcW w:w="725" w:type="pct"/>
            <w:gridSpan w:val="2"/>
            <w:vAlign w:val="center"/>
          </w:tcPr>
          <w:p>
            <w:pPr>
              <w:jc w:val="center"/>
              <w:rPr>
                <w:rFonts w:eastAsiaTheme="minorEastAsia"/>
                <w:sz w:val="18"/>
                <w:szCs w:val="18"/>
              </w:rPr>
            </w:pPr>
            <w:r>
              <w:rPr>
                <w:rFonts w:hint="eastAsia" w:asciiTheme="majorEastAsia" w:hAnsiTheme="majorEastAsia" w:eastAsiaTheme="majorEastAsia"/>
                <w:sz w:val="18"/>
                <w:szCs w:val="18"/>
              </w:rPr>
              <w:t>P2□</w:t>
            </w:r>
          </w:p>
        </w:tc>
        <w:tc>
          <w:tcPr>
            <w:tcW w:w="832" w:type="pct"/>
            <w:gridSpan w:val="5"/>
            <w:vAlign w:val="center"/>
          </w:tcPr>
          <w:p>
            <w:pPr>
              <w:jc w:val="center"/>
              <w:rPr>
                <w:rFonts w:eastAsiaTheme="minorEastAsia"/>
                <w:sz w:val="18"/>
                <w:szCs w:val="18"/>
              </w:rPr>
            </w:pPr>
            <w:r>
              <w:rPr>
                <w:rFonts w:hint="eastAsia" w:asciiTheme="majorEastAsia" w:hAnsiTheme="majorEastAsia" w:eastAsiaTheme="majorEastAsia"/>
                <w:sz w:val="18"/>
                <w:szCs w:val="18"/>
              </w:rPr>
              <w:t>P3□</w:t>
            </w:r>
          </w:p>
        </w:tc>
        <w:tc>
          <w:tcPr>
            <w:tcW w:w="829" w:type="pct"/>
            <w:gridSpan w:val="3"/>
            <w:vAlign w:val="center"/>
          </w:tcPr>
          <w:p>
            <w:pPr>
              <w:jc w:val="center"/>
              <w:rPr>
                <w:rFonts w:eastAsiaTheme="minorEastAsia"/>
                <w:sz w:val="18"/>
                <w:szCs w:val="18"/>
              </w:rPr>
            </w:pPr>
            <w:r>
              <w:rPr>
                <w:rFonts w:hint="eastAsia" w:asciiTheme="majorEastAsia" w:hAnsiTheme="majorEastAsia" w:eastAsiaTheme="majorEastAsia"/>
                <w:sz w:val="18"/>
                <w:szCs w:val="18"/>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Merge w:val="restart"/>
            <w:vAlign w:val="center"/>
          </w:tcPr>
          <w:p>
            <w:pPr>
              <w:jc w:val="center"/>
              <w:rPr>
                <w:rFonts w:eastAsiaTheme="minorEastAsia"/>
                <w:sz w:val="18"/>
                <w:szCs w:val="18"/>
              </w:rPr>
            </w:pPr>
            <w:r>
              <w:rPr>
                <w:rFonts w:hint="eastAsia" w:ascii="宋体" w:hAnsi="宋体" w:cs="宋体"/>
                <w:sz w:val="18"/>
                <w:szCs w:val="18"/>
              </w:rPr>
              <w:t>环境敏感程</w:t>
            </w:r>
            <w:r>
              <w:rPr>
                <w:rFonts w:hint="eastAsia"/>
                <w:sz w:val="18"/>
                <w:szCs w:val="18"/>
              </w:rPr>
              <w:t>度</w:t>
            </w:r>
          </w:p>
        </w:tc>
        <w:tc>
          <w:tcPr>
            <w:tcW w:w="929" w:type="pct"/>
            <w:gridSpan w:val="3"/>
            <w:vAlign w:val="center"/>
          </w:tcPr>
          <w:p>
            <w:pPr>
              <w:jc w:val="center"/>
              <w:rPr>
                <w:rFonts w:eastAsiaTheme="minorEastAsia"/>
                <w:sz w:val="18"/>
                <w:szCs w:val="18"/>
              </w:rPr>
            </w:pPr>
            <w:r>
              <w:rPr>
                <w:rFonts w:hint="eastAsia" w:ascii="宋体" w:hAnsi="宋体" w:cs="宋体"/>
                <w:sz w:val="18"/>
                <w:szCs w:val="18"/>
              </w:rPr>
              <w:t>大</w:t>
            </w:r>
            <w:r>
              <w:rPr>
                <w:rFonts w:hint="eastAsia"/>
                <w:sz w:val="18"/>
                <w:szCs w:val="18"/>
              </w:rPr>
              <w:t>气</w:t>
            </w:r>
          </w:p>
        </w:tc>
        <w:tc>
          <w:tcPr>
            <w:tcW w:w="833" w:type="pct"/>
            <w:gridSpan w:val="4"/>
            <w:vAlign w:val="center"/>
          </w:tcPr>
          <w:p>
            <w:pPr>
              <w:jc w:val="center"/>
              <w:rPr>
                <w:rFonts w:eastAsiaTheme="minorEastAsia"/>
                <w:sz w:val="18"/>
                <w:szCs w:val="18"/>
              </w:rPr>
            </w:pPr>
            <w:r>
              <w:rPr>
                <w:sz w:val="18"/>
                <w:szCs w:val="18"/>
              </w:rPr>
              <w:t>E1</w:t>
            </w:r>
            <w:r>
              <w:rPr>
                <w:rFonts w:hint="eastAsia" w:asciiTheme="majorEastAsia" w:hAnsiTheme="majorEastAsia" w:eastAsiaTheme="majorEastAsia"/>
                <w:sz w:val="18"/>
                <w:szCs w:val="18"/>
              </w:rPr>
              <w:t>□</w:t>
            </w:r>
          </w:p>
        </w:tc>
        <w:tc>
          <w:tcPr>
            <w:tcW w:w="942" w:type="pct"/>
            <w:gridSpan w:val="5"/>
            <w:vAlign w:val="center"/>
          </w:tcPr>
          <w:p>
            <w:pPr>
              <w:jc w:val="center"/>
              <w:rPr>
                <w:rFonts w:eastAsiaTheme="minorEastAsia"/>
                <w:sz w:val="18"/>
                <w:szCs w:val="18"/>
              </w:rPr>
            </w:pPr>
            <w:r>
              <w:rPr>
                <w:sz w:val="18"/>
                <w:szCs w:val="18"/>
              </w:rPr>
              <w:t>E2</w:t>
            </w:r>
            <w:r>
              <w:rPr>
                <w:rFonts w:hint="eastAsia" w:asciiTheme="majorEastAsia" w:hAnsiTheme="majorEastAsia" w:eastAsiaTheme="majorEastAsia"/>
                <w:sz w:val="18"/>
                <w:szCs w:val="18"/>
              </w:rPr>
              <w:t>□</w:t>
            </w:r>
          </w:p>
        </w:tc>
        <w:tc>
          <w:tcPr>
            <w:tcW w:w="1137" w:type="pct"/>
            <w:gridSpan w:val="4"/>
            <w:vAlign w:val="center"/>
          </w:tcPr>
          <w:p>
            <w:pPr>
              <w:jc w:val="center"/>
              <w:rPr>
                <w:rFonts w:eastAsiaTheme="minorEastAsia"/>
                <w:sz w:val="18"/>
                <w:szCs w:val="18"/>
              </w:rPr>
            </w:pPr>
            <w:r>
              <w:rPr>
                <w:sz w:val="18"/>
                <w:szCs w:val="18"/>
              </w:rPr>
              <w:t>E3</w:t>
            </w:r>
            <w:r>
              <w:rPr>
                <w:rFonts w:hint="eastAsia" w:asciiTheme="majorEastAsia" w:hAnsiTheme="majorEastAsia" w:eastAsiaTheme="maj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Merge w:val="continue"/>
            <w:vAlign w:val="center"/>
          </w:tcPr>
          <w:p>
            <w:pPr>
              <w:widowControl/>
              <w:jc w:val="left"/>
              <w:rPr>
                <w:rFonts w:eastAsiaTheme="minorEastAsia"/>
                <w:sz w:val="18"/>
                <w:szCs w:val="18"/>
              </w:rPr>
            </w:pPr>
          </w:p>
        </w:tc>
        <w:tc>
          <w:tcPr>
            <w:tcW w:w="929" w:type="pct"/>
            <w:gridSpan w:val="3"/>
            <w:vAlign w:val="center"/>
          </w:tcPr>
          <w:p>
            <w:pPr>
              <w:jc w:val="center"/>
              <w:rPr>
                <w:rFonts w:eastAsiaTheme="minorEastAsia"/>
                <w:sz w:val="18"/>
                <w:szCs w:val="18"/>
              </w:rPr>
            </w:pPr>
            <w:r>
              <w:rPr>
                <w:rFonts w:hint="eastAsia" w:ascii="宋体" w:hAnsi="宋体" w:cs="宋体"/>
                <w:sz w:val="18"/>
                <w:szCs w:val="18"/>
              </w:rPr>
              <w:t>地表</w:t>
            </w:r>
            <w:r>
              <w:rPr>
                <w:rFonts w:hint="eastAsia"/>
                <w:sz w:val="18"/>
                <w:szCs w:val="18"/>
              </w:rPr>
              <w:t>水</w:t>
            </w:r>
          </w:p>
        </w:tc>
        <w:tc>
          <w:tcPr>
            <w:tcW w:w="833" w:type="pct"/>
            <w:gridSpan w:val="4"/>
            <w:vAlign w:val="center"/>
          </w:tcPr>
          <w:p>
            <w:pPr>
              <w:jc w:val="center"/>
              <w:rPr>
                <w:rFonts w:eastAsiaTheme="minorEastAsia"/>
                <w:sz w:val="18"/>
                <w:szCs w:val="18"/>
              </w:rPr>
            </w:pPr>
            <w:r>
              <w:rPr>
                <w:sz w:val="18"/>
                <w:szCs w:val="18"/>
              </w:rPr>
              <w:t>E1</w:t>
            </w:r>
            <w:r>
              <w:rPr>
                <w:rFonts w:hint="eastAsia" w:asciiTheme="majorEastAsia" w:hAnsiTheme="majorEastAsia" w:eastAsiaTheme="majorEastAsia"/>
                <w:sz w:val="18"/>
                <w:szCs w:val="18"/>
              </w:rPr>
              <w:t>□</w:t>
            </w:r>
          </w:p>
        </w:tc>
        <w:tc>
          <w:tcPr>
            <w:tcW w:w="942" w:type="pct"/>
            <w:gridSpan w:val="5"/>
            <w:vAlign w:val="center"/>
          </w:tcPr>
          <w:p>
            <w:pPr>
              <w:jc w:val="center"/>
              <w:rPr>
                <w:rFonts w:eastAsiaTheme="minorEastAsia"/>
                <w:sz w:val="18"/>
                <w:szCs w:val="18"/>
              </w:rPr>
            </w:pPr>
            <w:r>
              <w:rPr>
                <w:sz w:val="18"/>
                <w:szCs w:val="18"/>
              </w:rPr>
              <w:t>E2</w:t>
            </w:r>
            <w:r>
              <w:rPr>
                <w:rFonts w:hint="eastAsia" w:asciiTheme="majorEastAsia" w:hAnsiTheme="majorEastAsia" w:eastAsiaTheme="majorEastAsia"/>
                <w:sz w:val="18"/>
                <w:szCs w:val="18"/>
              </w:rPr>
              <w:t>□</w:t>
            </w:r>
          </w:p>
        </w:tc>
        <w:tc>
          <w:tcPr>
            <w:tcW w:w="1137" w:type="pct"/>
            <w:gridSpan w:val="4"/>
            <w:vAlign w:val="center"/>
          </w:tcPr>
          <w:p>
            <w:pPr>
              <w:jc w:val="center"/>
              <w:rPr>
                <w:rFonts w:eastAsiaTheme="minorEastAsia"/>
                <w:sz w:val="18"/>
                <w:szCs w:val="18"/>
              </w:rPr>
            </w:pPr>
            <w:r>
              <w:rPr>
                <w:sz w:val="18"/>
                <w:szCs w:val="18"/>
              </w:rPr>
              <w:t>E3</w:t>
            </w:r>
            <w:r>
              <w:rPr>
                <w:rFonts w:hint="eastAsia" w:asciiTheme="majorEastAsia" w:hAnsiTheme="majorEastAsia" w:eastAsiaTheme="maj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Merge w:val="continue"/>
            <w:vAlign w:val="center"/>
          </w:tcPr>
          <w:p>
            <w:pPr>
              <w:widowControl/>
              <w:jc w:val="left"/>
              <w:rPr>
                <w:rFonts w:eastAsiaTheme="minorEastAsia"/>
                <w:sz w:val="18"/>
                <w:szCs w:val="18"/>
              </w:rPr>
            </w:pPr>
          </w:p>
        </w:tc>
        <w:tc>
          <w:tcPr>
            <w:tcW w:w="929" w:type="pct"/>
            <w:gridSpan w:val="3"/>
            <w:vAlign w:val="center"/>
          </w:tcPr>
          <w:p>
            <w:pPr>
              <w:jc w:val="center"/>
              <w:rPr>
                <w:rFonts w:eastAsiaTheme="minorEastAsia"/>
                <w:sz w:val="18"/>
                <w:szCs w:val="18"/>
              </w:rPr>
            </w:pPr>
            <w:r>
              <w:rPr>
                <w:rFonts w:hint="eastAsia" w:ascii="宋体" w:hAnsi="宋体" w:cs="宋体"/>
                <w:sz w:val="18"/>
                <w:szCs w:val="18"/>
              </w:rPr>
              <w:t>地下</w:t>
            </w:r>
            <w:r>
              <w:rPr>
                <w:rFonts w:hint="eastAsia"/>
                <w:sz w:val="18"/>
                <w:szCs w:val="18"/>
              </w:rPr>
              <w:t>水</w:t>
            </w:r>
          </w:p>
        </w:tc>
        <w:tc>
          <w:tcPr>
            <w:tcW w:w="833" w:type="pct"/>
            <w:gridSpan w:val="4"/>
            <w:vAlign w:val="center"/>
          </w:tcPr>
          <w:p>
            <w:pPr>
              <w:jc w:val="center"/>
              <w:rPr>
                <w:rFonts w:eastAsiaTheme="minorEastAsia"/>
                <w:sz w:val="18"/>
                <w:szCs w:val="18"/>
              </w:rPr>
            </w:pPr>
            <w:r>
              <w:rPr>
                <w:sz w:val="18"/>
                <w:szCs w:val="18"/>
              </w:rPr>
              <w:t>E1</w:t>
            </w:r>
            <w:r>
              <w:rPr>
                <w:rFonts w:hint="eastAsia" w:asciiTheme="majorEastAsia" w:hAnsiTheme="majorEastAsia" w:eastAsiaTheme="majorEastAsia"/>
                <w:sz w:val="18"/>
                <w:szCs w:val="18"/>
              </w:rPr>
              <w:t>□</w:t>
            </w:r>
          </w:p>
        </w:tc>
        <w:tc>
          <w:tcPr>
            <w:tcW w:w="942" w:type="pct"/>
            <w:gridSpan w:val="5"/>
            <w:vAlign w:val="center"/>
          </w:tcPr>
          <w:p>
            <w:pPr>
              <w:jc w:val="center"/>
              <w:rPr>
                <w:rFonts w:eastAsiaTheme="minorEastAsia"/>
                <w:sz w:val="18"/>
                <w:szCs w:val="18"/>
              </w:rPr>
            </w:pPr>
            <w:r>
              <w:rPr>
                <w:sz w:val="18"/>
                <w:szCs w:val="18"/>
              </w:rPr>
              <w:t>E2</w:t>
            </w:r>
            <w:r>
              <w:rPr>
                <w:rFonts w:hint="eastAsia" w:asciiTheme="majorEastAsia" w:hAnsiTheme="majorEastAsia" w:eastAsiaTheme="majorEastAsia"/>
                <w:sz w:val="18"/>
                <w:szCs w:val="18"/>
              </w:rPr>
              <w:t>□</w:t>
            </w:r>
          </w:p>
        </w:tc>
        <w:tc>
          <w:tcPr>
            <w:tcW w:w="1137" w:type="pct"/>
            <w:gridSpan w:val="4"/>
            <w:vAlign w:val="center"/>
          </w:tcPr>
          <w:p>
            <w:pPr>
              <w:jc w:val="center"/>
              <w:rPr>
                <w:rFonts w:eastAsiaTheme="minorEastAsia"/>
                <w:sz w:val="18"/>
                <w:szCs w:val="18"/>
              </w:rPr>
            </w:pPr>
            <w:r>
              <w:rPr>
                <w:sz w:val="18"/>
                <w:szCs w:val="18"/>
              </w:rPr>
              <w:t>E3</w:t>
            </w:r>
            <w:r>
              <w:rPr>
                <w:rFonts w:hint="eastAsia" w:asciiTheme="majorEastAsia" w:hAnsiTheme="majorEastAsia" w:eastAsiaTheme="maj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Align w:val="center"/>
          </w:tcPr>
          <w:p>
            <w:pPr>
              <w:jc w:val="center"/>
              <w:rPr>
                <w:rFonts w:eastAsiaTheme="minorEastAsia"/>
                <w:sz w:val="18"/>
                <w:szCs w:val="18"/>
              </w:rPr>
            </w:pPr>
            <w:r>
              <w:rPr>
                <w:rFonts w:hint="eastAsia" w:ascii="宋体" w:hAnsi="宋体" w:cs="宋体"/>
                <w:sz w:val="18"/>
                <w:szCs w:val="18"/>
              </w:rPr>
              <w:t>环境风险潜</w:t>
            </w:r>
            <w:r>
              <w:rPr>
                <w:rFonts w:hint="eastAsia"/>
                <w:sz w:val="18"/>
                <w:szCs w:val="18"/>
              </w:rPr>
              <w:t>势</w:t>
            </w:r>
          </w:p>
        </w:tc>
        <w:tc>
          <w:tcPr>
            <w:tcW w:w="717" w:type="pct"/>
            <w:gridSpan w:val="2"/>
            <w:vAlign w:val="center"/>
          </w:tcPr>
          <w:p>
            <w:pPr>
              <w:jc w:val="center"/>
              <w:rPr>
                <w:rFonts w:eastAsiaTheme="minorEastAsia"/>
                <w:sz w:val="18"/>
                <w:szCs w:val="18"/>
              </w:rPr>
            </w:pPr>
            <w:r>
              <w:rPr>
                <w:sz w:val="18"/>
                <w:szCs w:val="18"/>
              </w:rPr>
              <w:t>IV</w:t>
            </w:r>
            <w:r>
              <w:rPr>
                <w:sz w:val="18"/>
                <w:szCs w:val="18"/>
                <w:vertAlign w:val="superscript"/>
              </w:rPr>
              <w:t>+</w:t>
            </w:r>
            <w:r>
              <w:rPr>
                <w:rFonts w:hint="eastAsia" w:asciiTheme="majorEastAsia" w:hAnsiTheme="majorEastAsia" w:eastAsiaTheme="majorEastAsia"/>
                <w:sz w:val="18"/>
                <w:szCs w:val="18"/>
              </w:rPr>
              <w:t>□</w:t>
            </w:r>
          </w:p>
        </w:tc>
        <w:tc>
          <w:tcPr>
            <w:tcW w:w="738" w:type="pct"/>
            <w:gridSpan w:val="4"/>
            <w:vAlign w:val="center"/>
          </w:tcPr>
          <w:p>
            <w:pPr>
              <w:jc w:val="center"/>
              <w:rPr>
                <w:rFonts w:eastAsiaTheme="minorEastAsia"/>
                <w:sz w:val="18"/>
                <w:szCs w:val="18"/>
              </w:rPr>
            </w:pPr>
            <w:r>
              <w:rPr>
                <w:sz w:val="18"/>
                <w:szCs w:val="18"/>
              </w:rPr>
              <w:t>IV</w:t>
            </w:r>
            <w:r>
              <w:rPr>
                <w:rFonts w:hint="eastAsia" w:asciiTheme="majorEastAsia" w:hAnsiTheme="majorEastAsia" w:eastAsiaTheme="majorEastAsia"/>
                <w:sz w:val="18"/>
                <w:szCs w:val="18"/>
              </w:rPr>
              <w:t>□</w:t>
            </w:r>
          </w:p>
        </w:tc>
        <w:tc>
          <w:tcPr>
            <w:tcW w:w="730" w:type="pct"/>
            <w:gridSpan w:val="3"/>
            <w:vAlign w:val="center"/>
          </w:tcPr>
          <w:p>
            <w:pPr>
              <w:jc w:val="center"/>
              <w:rPr>
                <w:rFonts w:eastAsiaTheme="minorEastAsia"/>
                <w:sz w:val="18"/>
                <w:szCs w:val="18"/>
              </w:rPr>
            </w:pPr>
            <w:r>
              <w:rPr>
                <w:sz w:val="18"/>
                <w:szCs w:val="18"/>
              </w:rPr>
              <w:t>III</w:t>
            </w:r>
            <w:r>
              <w:rPr>
                <w:rFonts w:hint="eastAsia" w:asciiTheme="majorEastAsia" w:hAnsiTheme="majorEastAsia" w:eastAsiaTheme="majorEastAsia"/>
                <w:sz w:val="18"/>
                <w:szCs w:val="18"/>
              </w:rPr>
              <w:t>□</w:t>
            </w:r>
          </w:p>
        </w:tc>
        <w:tc>
          <w:tcPr>
            <w:tcW w:w="833" w:type="pct"/>
            <w:gridSpan w:val="5"/>
            <w:vAlign w:val="center"/>
          </w:tcPr>
          <w:p>
            <w:pPr>
              <w:jc w:val="center"/>
              <w:rPr>
                <w:rFonts w:eastAsiaTheme="minorEastAsia"/>
                <w:sz w:val="18"/>
                <w:szCs w:val="18"/>
              </w:rPr>
            </w:pPr>
            <w:r>
              <w:rPr>
                <w:sz w:val="18"/>
                <w:szCs w:val="18"/>
              </w:rPr>
              <w:t>II</w:t>
            </w:r>
            <w:r>
              <w:rPr>
                <w:rFonts w:hint="eastAsia" w:asciiTheme="majorEastAsia" w:hAnsiTheme="majorEastAsia" w:eastAsiaTheme="majorEastAsia"/>
                <w:sz w:val="18"/>
                <w:szCs w:val="18"/>
              </w:rPr>
              <w:t>□</w:t>
            </w:r>
          </w:p>
        </w:tc>
        <w:tc>
          <w:tcPr>
            <w:tcW w:w="823" w:type="pct"/>
            <w:gridSpan w:val="2"/>
            <w:vAlign w:val="center"/>
          </w:tcPr>
          <w:p>
            <w:pPr>
              <w:jc w:val="center"/>
              <w:rPr>
                <w:rFonts w:eastAsiaTheme="minorEastAsia"/>
                <w:sz w:val="18"/>
                <w:szCs w:val="18"/>
              </w:rPr>
            </w:pPr>
            <w:r>
              <w:rPr>
                <w:sz w:val="18"/>
                <w:szCs w:val="18"/>
              </w:rPr>
              <w:t>I</w:t>
            </w:r>
            <w:r>
              <w:rPr>
                <w:rFonts w:hint="eastAsia" w:asciiTheme="majorEastAsia" w:hAnsiTheme="majorEastAsia" w:eastAsiaTheme="majorEastAsia"/>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Align w:val="center"/>
          </w:tcPr>
          <w:p>
            <w:pPr>
              <w:jc w:val="center"/>
              <w:rPr>
                <w:rFonts w:eastAsiaTheme="minorEastAsia"/>
                <w:sz w:val="18"/>
                <w:szCs w:val="18"/>
              </w:rPr>
            </w:pPr>
            <w:r>
              <w:rPr>
                <w:rFonts w:hint="eastAsia" w:ascii="宋体" w:hAnsi="宋体" w:cs="宋体"/>
                <w:sz w:val="18"/>
                <w:szCs w:val="18"/>
              </w:rPr>
              <w:t>评价等</w:t>
            </w:r>
            <w:r>
              <w:rPr>
                <w:rFonts w:hint="eastAsia"/>
                <w:sz w:val="18"/>
                <w:szCs w:val="18"/>
              </w:rPr>
              <w:t>级</w:t>
            </w:r>
          </w:p>
        </w:tc>
        <w:tc>
          <w:tcPr>
            <w:tcW w:w="929" w:type="pct"/>
            <w:gridSpan w:val="3"/>
            <w:vAlign w:val="center"/>
          </w:tcPr>
          <w:p>
            <w:pPr>
              <w:jc w:val="center"/>
              <w:rPr>
                <w:rFonts w:eastAsiaTheme="minorEastAsia"/>
                <w:sz w:val="18"/>
                <w:szCs w:val="18"/>
              </w:rPr>
            </w:pPr>
            <w:r>
              <w:rPr>
                <w:rFonts w:hint="eastAsia" w:ascii="宋体" w:hAnsi="宋体" w:cs="宋体"/>
                <w:sz w:val="18"/>
                <w:szCs w:val="18"/>
              </w:rPr>
              <w:t>一级</w:t>
            </w:r>
            <w:r>
              <w:rPr>
                <w:rFonts w:hint="eastAsia" w:asciiTheme="majorEastAsia" w:hAnsiTheme="majorEastAsia" w:eastAsiaTheme="majorEastAsia"/>
                <w:sz w:val="18"/>
                <w:szCs w:val="18"/>
              </w:rPr>
              <w:t>□</w:t>
            </w:r>
          </w:p>
        </w:tc>
        <w:tc>
          <w:tcPr>
            <w:tcW w:w="833" w:type="pct"/>
            <w:gridSpan w:val="4"/>
            <w:vAlign w:val="center"/>
          </w:tcPr>
          <w:p>
            <w:pPr>
              <w:jc w:val="center"/>
              <w:rPr>
                <w:rFonts w:eastAsiaTheme="minorEastAsia"/>
                <w:sz w:val="18"/>
                <w:szCs w:val="18"/>
              </w:rPr>
            </w:pPr>
            <w:r>
              <w:rPr>
                <w:rFonts w:hint="eastAsia" w:ascii="宋体" w:hAnsi="宋体" w:cs="宋体"/>
                <w:sz w:val="18"/>
                <w:szCs w:val="18"/>
              </w:rPr>
              <w:t>二级</w:t>
            </w:r>
            <w:r>
              <w:rPr>
                <w:rFonts w:hint="eastAsia" w:asciiTheme="majorEastAsia" w:hAnsiTheme="majorEastAsia" w:eastAsiaTheme="majorEastAsia"/>
                <w:sz w:val="18"/>
                <w:szCs w:val="18"/>
              </w:rPr>
              <w:t>□</w:t>
            </w:r>
          </w:p>
        </w:tc>
        <w:tc>
          <w:tcPr>
            <w:tcW w:w="942" w:type="pct"/>
            <w:gridSpan w:val="5"/>
            <w:vAlign w:val="center"/>
          </w:tcPr>
          <w:p>
            <w:pPr>
              <w:jc w:val="center"/>
              <w:rPr>
                <w:rFonts w:eastAsiaTheme="minorEastAsia"/>
                <w:sz w:val="18"/>
                <w:szCs w:val="18"/>
              </w:rPr>
            </w:pPr>
            <w:r>
              <w:rPr>
                <w:rFonts w:hint="eastAsia" w:ascii="宋体" w:hAnsi="宋体" w:cs="宋体"/>
                <w:sz w:val="18"/>
                <w:szCs w:val="18"/>
              </w:rPr>
              <w:t>三级</w:t>
            </w:r>
            <w:r>
              <w:rPr>
                <w:rFonts w:hint="eastAsia" w:asciiTheme="majorEastAsia" w:hAnsiTheme="majorEastAsia" w:eastAsiaTheme="majorEastAsia"/>
                <w:sz w:val="18"/>
                <w:szCs w:val="18"/>
              </w:rPr>
              <w:t>□</w:t>
            </w:r>
          </w:p>
        </w:tc>
        <w:tc>
          <w:tcPr>
            <w:tcW w:w="1137" w:type="pct"/>
            <w:gridSpan w:val="4"/>
            <w:vAlign w:val="center"/>
          </w:tcPr>
          <w:p>
            <w:pPr>
              <w:jc w:val="center"/>
              <w:rPr>
                <w:rFonts w:eastAsiaTheme="minorEastAsia"/>
                <w:sz w:val="18"/>
                <w:szCs w:val="18"/>
              </w:rPr>
            </w:pPr>
            <w:r>
              <w:rPr>
                <w:rFonts w:hint="eastAsia" w:ascii="宋体" w:hAnsi="宋体" w:cs="宋体"/>
                <w:sz w:val="18"/>
                <w:szCs w:val="18"/>
              </w:rPr>
              <w:t>简单分析</w:t>
            </w:r>
            <w:r>
              <w:rPr>
                <w:rFonts w:hint="eastAsia" w:asciiTheme="majorEastAsia" w:hAnsiTheme="majorEastAsia" w:eastAsiaTheme="majorEastAsia"/>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restart"/>
            <w:vAlign w:val="center"/>
          </w:tcPr>
          <w:p>
            <w:pPr>
              <w:jc w:val="center"/>
              <w:rPr>
                <w:rFonts w:eastAsiaTheme="minorEastAsia"/>
                <w:sz w:val="18"/>
                <w:szCs w:val="18"/>
              </w:rPr>
            </w:pPr>
            <w:r>
              <w:rPr>
                <w:rFonts w:hint="eastAsia" w:ascii="宋体" w:hAnsi="宋体" w:cs="宋体"/>
                <w:sz w:val="18"/>
                <w:szCs w:val="18"/>
              </w:rPr>
              <w:t>风险识</w:t>
            </w:r>
            <w:r>
              <w:rPr>
                <w:rFonts w:hint="eastAsia"/>
                <w:sz w:val="18"/>
                <w:szCs w:val="18"/>
              </w:rPr>
              <w:t>别</w:t>
            </w:r>
          </w:p>
        </w:tc>
        <w:tc>
          <w:tcPr>
            <w:tcW w:w="656" w:type="pct"/>
            <w:vAlign w:val="center"/>
          </w:tcPr>
          <w:p>
            <w:pPr>
              <w:jc w:val="center"/>
              <w:rPr>
                <w:rFonts w:eastAsiaTheme="minorEastAsia"/>
                <w:sz w:val="18"/>
                <w:szCs w:val="18"/>
              </w:rPr>
            </w:pPr>
            <w:r>
              <w:rPr>
                <w:rFonts w:hint="eastAsia" w:ascii="宋体" w:hAnsi="宋体" w:cs="宋体"/>
                <w:sz w:val="18"/>
                <w:szCs w:val="18"/>
              </w:rPr>
              <w:t>物质危险</w:t>
            </w:r>
            <w:r>
              <w:rPr>
                <w:rFonts w:hint="eastAsia"/>
                <w:sz w:val="18"/>
                <w:szCs w:val="18"/>
              </w:rPr>
              <w:t>性</w:t>
            </w:r>
          </w:p>
        </w:tc>
        <w:tc>
          <w:tcPr>
            <w:tcW w:w="1762" w:type="pct"/>
            <w:gridSpan w:val="7"/>
            <w:vAlign w:val="center"/>
          </w:tcPr>
          <w:p>
            <w:pPr>
              <w:jc w:val="center"/>
              <w:rPr>
                <w:rFonts w:eastAsiaTheme="minorEastAsia"/>
                <w:sz w:val="18"/>
                <w:szCs w:val="18"/>
              </w:rPr>
            </w:pPr>
            <w:r>
              <w:rPr>
                <w:rFonts w:hint="eastAsia" w:ascii="宋体" w:hAnsi="宋体" w:cs="宋体"/>
                <w:sz w:val="18"/>
                <w:szCs w:val="18"/>
              </w:rPr>
              <w:t>有毒有害</w:t>
            </w:r>
            <w:r>
              <w:rPr>
                <w:rFonts w:hint="eastAsia" w:asciiTheme="majorEastAsia" w:hAnsiTheme="majorEastAsia" w:eastAsiaTheme="majorEastAsia"/>
                <w:sz w:val="18"/>
                <w:szCs w:val="18"/>
              </w:rPr>
              <w:t>□</w:t>
            </w:r>
          </w:p>
        </w:tc>
        <w:tc>
          <w:tcPr>
            <w:tcW w:w="2080" w:type="pct"/>
            <w:gridSpan w:val="9"/>
            <w:vAlign w:val="center"/>
          </w:tcPr>
          <w:p>
            <w:pPr>
              <w:jc w:val="center"/>
              <w:rPr>
                <w:rFonts w:eastAsiaTheme="minorEastAsia"/>
                <w:sz w:val="18"/>
                <w:szCs w:val="18"/>
              </w:rPr>
            </w:pPr>
            <w:r>
              <w:rPr>
                <w:rFonts w:hint="eastAsia" w:ascii="宋体" w:hAnsi="宋体" w:cs="宋体"/>
                <w:sz w:val="18"/>
                <w:szCs w:val="18"/>
              </w:rPr>
              <w:t>易燃易爆</w:t>
            </w:r>
            <w:r>
              <w:rPr>
                <w:rFonts w:hint="eastAsia" w:asciiTheme="majorEastAsia" w:hAnsiTheme="majorEastAsia" w:eastAsiaTheme="majorEastAsia"/>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Align w:val="center"/>
          </w:tcPr>
          <w:p>
            <w:pPr>
              <w:jc w:val="center"/>
              <w:rPr>
                <w:rFonts w:eastAsiaTheme="minorEastAsia"/>
                <w:sz w:val="18"/>
                <w:szCs w:val="18"/>
              </w:rPr>
            </w:pPr>
            <w:r>
              <w:rPr>
                <w:rFonts w:hint="eastAsia" w:ascii="宋体" w:hAnsi="宋体" w:cs="宋体"/>
                <w:sz w:val="18"/>
                <w:szCs w:val="18"/>
              </w:rPr>
              <w:t>环境风险类</w:t>
            </w:r>
            <w:r>
              <w:rPr>
                <w:rFonts w:hint="eastAsia"/>
                <w:sz w:val="18"/>
                <w:szCs w:val="18"/>
              </w:rPr>
              <w:t>型</w:t>
            </w:r>
          </w:p>
        </w:tc>
        <w:tc>
          <w:tcPr>
            <w:tcW w:w="1762" w:type="pct"/>
            <w:gridSpan w:val="7"/>
            <w:vAlign w:val="center"/>
          </w:tcPr>
          <w:p>
            <w:pPr>
              <w:jc w:val="center"/>
              <w:rPr>
                <w:rFonts w:eastAsiaTheme="minorEastAsia"/>
                <w:sz w:val="18"/>
                <w:szCs w:val="18"/>
              </w:rPr>
            </w:pPr>
            <w:r>
              <w:rPr>
                <w:rFonts w:hint="eastAsia" w:ascii="宋体" w:hAnsi="宋体" w:cs="宋体"/>
                <w:sz w:val="18"/>
                <w:szCs w:val="18"/>
              </w:rPr>
              <w:t>泄漏</w:t>
            </w:r>
            <w:r>
              <w:rPr>
                <w:rFonts w:hint="eastAsia" w:asciiTheme="majorEastAsia" w:hAnsiTheme="majorEastAsia" w:eastAsiaTheme="majorEastAsia"/>
                <w:b/>
                <w:sz w:val="18"/>
                <w:szCs w:val="18"/>
              </w:rPr>
              <w:t>√</w:t>
            </w:r>
          </w:p>
        </w:tc>
        <w:tc>
          <w:tcPr>
            <w:tcW w:w="2080" w:type="pct"/>
            <w:gridSpan w:val="9"/>
            <w:vAlign w:val="center"/>
          </w:tcPr>
          <w:p>
            <w:pPr>
              <w:jc w:val="center"/>
              <w:rPr>
                <w:rFonts w:eastAsiaTheme="minorEastAsia"/>
                <w:sz w:val="18"/>
                <w:szCs w:val="18"/>
              </w:rPr>
            </w:pPr>
            <w:r>
              <w:rPr>
                <w:rFonts w:hint="eastAsia" w:asciiTheme="majorEastAsia" w:hAnsiTheme="majorEastAsia" w:eastAsiaTheme="majorEastAsia"/>
                <w:sz w:val="18"/>
                <w:szCs w:val="18"/>
              </w:rPr>
              <w:t>火灾、爆炸引发伴生/次生污染物排放</w:t>
            </w:r>
            <w:r>
              <w:rPr>
                <w:rFonts w:hint="eastAsia" w:asciiTheme="majorEastAsia" w:hAnsiTheme="majorEastAsia" w:eastAsiaTheme="majorEastAsia"/>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Align w:val="center"/>
          </w:tcPr>
          <w:p>
            <w:pPr>
              <w:jc w:val="center"/>
              <w:rPr>
                <w:rFonts w:eastAsiaTheme="minorEastAsia"/>
                <w:sz w:val="18"/>
                <w:szCs w:val="18"/>
              </w:rPr>
            </w:pPr>
            <w:r>
              <w:rPr>
                <w:rFonts w:hint="eastAsia" w:ascii="宋体" w:hAnsi="宋体" w:cs="宋体"/>
                <w:sz w:val="18"/>
                <w:szCs w:val="18"/>
              </w:rPr>
              <w:t>影响途</w:t>
            </w:r>
            <w:r>
              <w:rPr>
                <w:rFonts w:hint="eastAsia"/>
                <w:sz w:val="18"/>
                <w:szCs w:val="18"/>
              </w:rPr>
              <w:t>径</w:t>
            </w:r>
          </w:p>
        </w:tc>
        <w:tc>
          <w:tcPr>
            <w:tcW w:w="1176" w:type="pct"/>
            <w:gridSpan w:val="4"/>
            <w:vAlign w:val="center"/>
          </w:tcPr>
          <w:p>
            <w:pPr>
              <w:jc w:val="center"/>
              <w:rPr>
                <w:rFonts w:eastAsiaTheme="minorEastAsia"/>
                <w:sz w:val="18"/>
                <w:szCs w:val="18"/>
              </w:rPr>
            </w:pPr>
            <w:r>
              <w:rPr>
                <w:rFonts w:hint="eastAsia" w:ascii="宋体" w:hAnsi="宋体" w:cs="宋体"/>
                <w:sz w:val="18"/>
                <w:szCs w:val="18"/>
              </w:rPr>
              <w:t>大气</w:t>
            </w:r>
            <w:r>
              <w:rPr>
                <w:rFonts w:hint="eastAsia" w:asciiTheme="majorEastAsia" w:hAnsiTheme="majorEastAsia" w:eastAsiaTheme="majorEastAsia"/>
                <w:b/>
                <w:sz w:val="18"/>
                <w:szCs w:val="18"/>
              </w:rPr>
              <w:t>√</w:t>
            </w:r>
          </w:p>
        </w:tc>
        <w:tc>
          <w:tcPr>
            <w:tcW w:w="1453" w:type="pct"/>
            <w:gridSpan w:val="7"/>
            <w:vAlign w:val="center"/>
          </w:tcPr>
          <w:p>
            <w:pPr>
              <w:jc w:val="center"/>
              <w:rPr>
                <w:rFonts w:eastAsiaTheme="minorEastAsia"/>
                <w:sz w:val="18"/>
                <w:szCs w:val="18"/>
              </w:rPr>
            </w:pPr>
            <w:r>
              <w:rPr>
                <w:rFonts w:hint="eastAsia" w:asciiTheme="majorEastAsia" w:hAnsiTheme="majorEastAsia" w:eastAsiaTheme="majorEastAsia"/>
                <w:sz w:val="18"/>
                <w:szCs w:val="18"/>
              </w:rPr>
              <w:t>地表水□</w:t>
            </w:r>
          </w:p>
        </w:tc>
        <w:tc>
          <w:tcPr>
            <w:tcW w:w="1213" w:type="pct"/>
            <w:gridSpan w:val="5"/>
            <w:vAlign w:val="center"/>
          </w:tcPr>
          <w:p>
            <w:pPr>
              <w:jc w:val="center"/>
              <w:rPr>
                <w:rFonts w:eastAsiaTheme="minorEastAsia"/>
                <w:sz w:val="18"/>
                <w:szCs w:val="18"/>
              </w:rPr>
            </w:pPr>
            <w:r>
              <w:rPr>
                <w:rFonts w:hint="eastAsia" w:ascii="宋体" w:hAnsi="宋体" w:cs="宋体"/>
                <w:sz w:val="18"/>
                <w:szCs w:val="18"/>
              </w:rPr>
              <w:t>地下水</w:t>
            </w:r>
            <w:r>
              <w:rPr>
                <w:rFonts w:hint="eastAsia" w:asciiTheme="majorEastAsia" w:hAnsiTheme="majorEastAsia" w:eastAsiaTheme="maj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58" w:type="pct"/>
            <w:gridSpan w:val="2"/>
            <w:vAlign w:val="center"/>
          </w:tcPr>
          <w:p>
            <w:pPr>
              <w:jc w:val="center"/>
              <w:rPr>
                <w:rFonts w:eastAsiaTheme="minorEastAsia"/>
                <w:sz w:val="18"/>
                <w:szCs w:val="18"/>
              </w:rPr>
            </w:pPr>
            <w:r>
              <w:rPr>
                <w:rFonts w:hint="eastAsia" w:ascii="宋体" w:hAnsi="宋体" w:cs="宋体"/>
                <w:sz w:val="18"/>
                <w:szCs w:val="18"/>
              </w:rPr>
              <w:t>事故情形分</w:t>
            </w:r>
            <w:r>
              <w:rPr>
                <w:rFonts w:hint="eastAsia"/>
                <w:sz w:val="18"/>
                <w:szCs w:val="18"/>
              </w:rPr>
              <w:t>析</w:t>
            </w:r>
          </w:p>
        </w:tc>
        <w:tc>
          <w:tcPr>
            <w:tcW w:w="929" w:type="pct"/>
            <w:gridSpan w:val="3"/>
            <w:vAlign w:val="center"/>
          </w:tcPr>
          <w:p>
            <w:pPr>
              <w:jc w:val="center"/>
              <w:rPr>
                <w:rFonts w:eastAsiaTheme="minorEastAsia"/>
                <w:sz w:val="18"/>
                <w:szCs w:val="18"/>
              </w:rPr>
            </w:pPr>
            <w:r>
              <w:rPr>
                <w:rFonts w:hint="eastAsia" w:ascii="宋体" w:hAnsi="宋体" w:cs="宋体"/>
                <w:sz w:val="18"/>
                <w:szCs w:val="18"/>
              </w:rPr>
              <w:t>源强设定方</w:t>
            </w:r>
            <w:r>
              <w:rPr>
                <w:rFonts w:hint="eastAsia"/>
                <w:sz w:val="18"/>
                <w:szCs w:val="18"/>
              </w:rPr>
              <w:t>法</w:t>
            </w:r>
          </w:p>
        </w:tc>
        <w:tc>
          <w:tcPr>
            <w:tcW w:w="833" w:type="pct"/>
            <w:gridSpan w:val="4"/>
            <w:vAlign w:val="center"/>
          </w:tcPr>
          <w:p>
            <w:pPr>
              <w:jc w:val="center"/>
              <w:rPr>
                <w:rFonts w:eastAsiaTheme="minorEastAsia"/>
                <w:sz w:val="18"/>
                <w:szCs w:val="18"/>
              </w:rPr>
            </w:pPr>
            <w:r>
              <w:rPr>
                <w:rFonts w:hint="eastAsia" w:ascii="宋体" w:hAnsi="宋体" w:cs="宋体"/>
                <w:sz w:val="18"/>
                <w:szCs w:val="18"/>
              </w:rPr>
              <w:t>计算法</w:t>
            </w:r>
            <w:r>
              <w:rPr>
                <w:rFonts w:hint="eastAsia" w:asciiTheme="majorEastAsia" w:hAnsiTheme="majorEastAsia" w:eastAsiaTheme="majorEastAsia"/>
                <w:sz w:val="18"/>
                <w:szCs w:val="18"/>
              </w:rPr>
              <w:t>□</w:t>
            </w:r>
          </w:p>
        </w:tc>
        <w:tc>
          <w:tcPr>
            <w:tcW w:w="866" w:type="pct"/>
            <w:gridSpan w:val="4"/>
            <w:vAlign w:val="center"/>
          </w:tcPr>
          <w:p>
            <w:pPr>
              <w:jc w:val="center"/>
              <w:rPr>
                <w:rFonts w:eastAsiaTheme="minorEastAsia"/>
                <w:sz w:val="18"/>
                <w:szCs w:val="18"/>
              </w:rPr>
            </w:pPr>
            <w:r>
              <w:rPr>
                <w:rFonts w:hint="eastAsia" w:asciiTheme="majorEastAsia" w:hAnsiTheme="majorEastAsia" w:eastAsiaTheme="majorEastAsia"/>
                <w:sz w:val="18"/>
                <w:szCs w:val="18"/>
              </w:rPr>
              <w:t>经验估算法□</w:t>
            </w:r>
          </w:p>
        </w:tc>
        <w:tc>
          <w:tcPr>
            <w:tcW w:w="1213" w:type="pct"/>
            <w:gridSpan w:val="5"/>
            <w:vAlign w:val="center"/>
          </w:tcPr>
          <w:p>
            <w:pPr>
              <w:jc w:val="center"/>
              <w:rPr>
                <w:rFonts w:eastAsiaTheme="minorEastAsia"/>
                <w:sz w:val="18"/>
                <w:szCs w:val="18"/>
              </w:rPr>
            </w:pPr>
            <w:r>
              <w:rPr>
                <w:rFonts w:hint="eastAsia" w:asciiTheme="majorEastAsia" w:hAnsiTheme="majorEastAsia" w:eastAsiaTheme="majorEastAsia"/>
                <w:sz w:val="18"/>
                <w:szCs w:val="18"/>
              </w:rPr>
              <w:t>其他估算法</w:t>
            </w:r>
            <w:r>
              <w:rPr>
                <w:rFonts w:hint="eastAsia" w:asciiTheme="majorEastAsia" w:hAnsiTheme="majorEastAsia" w:eastAsiaTheme="majorEastAsia"/>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restart"/>
            <w:vAlign w:val="center"/>
          </w:tcPr>
          <w:p>
            <w:pPr>
              <w:jc w:val="center"/>
              <w:rPr>
                <w:rFonts w:eastAsiaTheme="minorEastAsia"/>
                <w:sz w:val="18"/>
                <w:szCs w:val="18"/>
              </w:rPr>
            </w:pPr>
            <w:r>
              <w:rPr>
                <w:rFonts w:hint="eastAsia" w:ascii="宋体" w:hAnsi="宋体" w:cs="宋体"/>
                <w:sz w:val="18"/>
                <w:szCs w:val="18"/>
              </w:rPr>
              <w:t>风险预测与评</w:t>
            </w:r>
            <w:r>
              <w:rPr>
                <w:rFonts w:hint="eastAsia"/>
                <w:sz w:val="18"/>
                <w:szCs w:val="18"/>
              </w:rPr>
              <w:t>价</w:t>
            </w:r>
          </w:p>
        </w:tc>
        <w:tc>
          <w:tcPr>
            <w:tcW w:w="656" w:type="pct"/>
            <w:vMerge w:val="restart"/>
            <w:vAlign w:val="center"/>
          </w:tcPr>
          <w:p>
            <w:pPr>
              <w:jc w:val="center"/>
              <w:rPr>
                <w:rFonts w:eastAsiaTheme="minorEastAsia"/>
                <w:sz w:val="18"/>
                <w:szCs w:val="18"/>
              </w:rPr>
            </w:pPr>
            <w:r>
              <w:rPr>
                <w:rFonts w:hint="eastAsia" w:ascii="宋体" w:hAnsi="宋体" w:cs="宋体"/>
                <w:sz w:val="18"/>
                <w:szCs w:val="18"/>
              </w:rPr>
              <w:t>大</w:t>
            </w:r>
            <w:r>
              <w:rPr>
                <w:rFonts w:hint="eastAsia"/>
                <w:sz w:val="18"/>
                <w:szCs w:val="18"/>
              </w:rPr>
              <w:t>气</w:t>
            </w:r>
          </w:p>
        </w:tc>
        <w:tc>
          <w:tcPr>
            <w:tcW w:w="929" w:type="pct"/>
            <w:gridSpan w:val="3"/>
            <w:vAlign w:val="center"/>
          </w:tcPr>
          <w:p>
            <w:pPr>
              <w:jc w:val="center"/>
              <w:rPr>
                <w:rFonts w:eastAsiaTheme="minorEastAsia"/>
                <w:sz w:val="18"/>
                <w:szCs w:val="18"/>
              </w:rPr>
            </w:pPr>
            <w:r>
              <w:rPr>
                <w:rFonts w:hint="eastAsia" w:ascii="宋体" w:hAnsi="宋体" w:cs="宋体"/>
                <w:sz w:val="18"/>
                <w:szCs w:val="18"/>
              </w:rPr>
              <w:t>预测模</w:t>
            </w:r>
            <w:r>
              <w:rPr>
                <w:rFonts w:hint="eastAsia"/>
                <w:sz w:val="18"/>
                <w:szCs w:val="18"/>
              </w:rPr>
              <w:t>型</w:t>
            </w:r>
          </w:p>
        </w:tc>
        <w:tc>
          <w:tcPr>
            <w:tcW w:w="833" w:type="pct"/>
            <w:gridSpan w:val="4"/>
            <w:vAlign w:val="center"/>
          </w:tcPr>
          <w:p>
            <w:pPr>
              <w:jc w:val="center"/>
              <w:rPr>
                <w:rFonts w:eastAsiaTheme="minorEastAsia"/>
                <w:sz w:val="18"/>
                <w:szCs w:val="18"/>
              </w:rPr>
            </w:pPr>
            <w:r>
              <w:rPr>
                <w:sz w:val="18"/>
                <w:szCs w:val="18"/>
              </w:rPr>
              <w:t>SLAB</w:t>
            </w:r>
            <w:r>
              <w:rPr>
                <w:rFonts w:hint="eastAsia" w:asciiTheme="majorEastAsia" w:hAnsiTheme="majorEastAsia" w:eastAsiaTheme="majorEastAsia"/>
                <w:sz w:val="18"/>
                <w:szCs w:val="18"/>
              </w:rPr>
              <w:t>□</w:t>
            </w:r>
          </w:p>
        </w:tc>
        <w:tc>
          <w:tcPr>
            <w:tcW w:w="942" w:type="pct"/>
            <w:gridSpan w:val="5"/>
            <w:vAlign w:val="center"/>
          </w:tcPr>
          <w:p>
            <w:pPr>
              <w:jc w:val="center"/>
              <w:rPr>
                <w:rFonts w:eastAsiaTheme="minorEastAsia"/>
                <w:sz w:val="18"/>
                <w:szCs w:val="18"/>
              </w:rPr>
            </w:pPr>
            <w:r>
              <w:rPr>
                <w:rFonts w:hint="eastAsia" w:asciiTheme="majorEastAsia" w:hAnsiTheme="majorEastAsia" w:eastAsiaTheme="majorEastAsia"/>
                <w:sz w:val="18"/>
                <w:szCs w:val="18"/>
              </w:rPr>
              <w:t>AFTOX□</w:t>
            </w:r>
          </w:p>
        </w:tc>
        <w:tc>
          <w:tcPr>
            <w:tcW w:w="1137" w:type="pct"/>
            <w:gridSpan w:val="4"/>
            <w:vAlign w:val="center"/>
          </w:tcPr>
          <w:p>
            <w:pPr>
              <w:jc w:val="center"/>
              <w:rPr>
                <w:rFonts w:eastAsiaTheme="minorEastAsia"/>
                <w:sz w:val="18"/>
                <w:szCs w:val="18"/>
              </w:rPr>
            </w:pPr>
            <w:r>
              <w:rPr>
                <w:rFonts w:hint="eastAsia" w:asciiTheme="majorEastAsia" w:hAnsiTheme="majorEastAsia" w:eastAsiaTheme="majorEastAsia"/>
                <w:sz w:val="18"/>
                <w:szCs w:val="18"/>
              </w:rPr>
              <w:t>其他</w:t>
            </w:r>
            <w:r>
              <w:rPr>
                <w:rFonts w:hint="eastAsia" w:asciiTheme="majorEastAsia" w:hAnsiTheme="majorEastAsia" w:eastAsiaTheme="majorEastAsia"/>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continue"/>
            <w:vAlign w:val="center"/>
          </w:tcPr>
          <w:p>
            <w:pPr>
              <w:widowControl/>
              <w:jc w:val="left"/>
              <w:rPr>
                <w:rFonts w:eastAsiaTheme="minorEastAsia"/>
                <w:sz w:val="18"/>
                <w:szCs w:val="18"/>
              </w:rPr>
            </w:pPr>
          </w:p>
        </w:tc>
        <w:tc>
          <w:tcPr>
            <w:tcW w:w="929" w:type="pct"/>
            <w:gridSpan w:val="3"/>
            <w:vMerge w:val="restart"/>
            <w:vAlign w:val="center"/>
          </w:tcPr>
          <w:p>
            <w:pPr>
              <w:jc w:val="center"/>
              <w:rPr>
                <w:rFonts w:eastAsiaTheme="minorEastAsia"/>
                <w:sz w:val="18"/>
                <w:szCs w:val="18"/>
              </w:rPr>
            </w:pPr>
            <w:r>
              <w:rPr>
                <w:rFonts w:hint="eastAsia" w:ascii="宋体" w:hAnsi="宋体" w:cs="宋体"/>
                <w:sz w:val="18"/>
                <w:szCs w:val="18"/>
              </w:rPr>
              <w:t>预测结</w:t>
            </w:r>
            <w:r>
              <w:rPr>
                <w:rFonts w:hint="eastAsia"/>
                <w:sz w:val="18"/>
                <w:szCs w:val="18"/>
              </w:rPr>
              <w:t>果</w:t>
            </w:r>
          </w:p>
        </w:tc>
        <w:tc>
          <w:tcPr>
            <w:tcW w:w="2913" w:type="pct"/>
            <w:gridSpan w:val="13"/>
            <w:vAlign w:val="center"/>
          </w:tcPr>
          <w:p>
            <w:pPr>
              <w:jc w:val="center"/>
              <w:rPr>
                <w:rFonts w:eastAsiaTheme="minorEastAsia"/>
                <w:sz w:val="18"/>
                <w:szCs w:val="18"/>
              </w:rPr>
            </w:pPr>
            <w:r>
              <w:rPr>
                <w:rFonts w:hint="eastAsia" w:ascii="宋体" w:hAnsi="宋体" w:cs="宋体"/>
                <w:sz w:val="18"/>
                <w:szCs w:val="18"/>
              </w:rPr>
              <w:t>大气毒性终点浓度</w:t>
            </w:r>
            <w:r>
              <w:rPr>
                <w:sz w:val="18"/>
                <w:szCs w:val="18"/>
              </w:rPr>
              <w:t xml:space="preserve">-1  </w:t>
            </w:r>
            <w:r>
              <w:rPr>
                <w:rFonts w:hint="eastAsia"/>
                <w:sz w:val="18"/>
                <w:szCs w:val="18"/>
              </w:rPr>
              <w:t>最大影响范围</w:t>
            </w:r>
            <w:r>
              <w:rPr>
                <w:sz w:val="18"/>
                <w:szCs w:val="18"/>
              </w:rPr>
              <w:t>___m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continue"/>
            <w:vAlign w:val="center"/>
          </w:tcPr>
          <w:p>
            <w:pPr>
              <w:widowControl/>
              <w:jc w:val="left"/>
              <w:rPr>
                <w:rFonts w:eastAsiaTheme="minorEastAsia"/>
                <w:sz w:val="18"/>
                <w:szCs w:val="18"/>
              </w:rPr>
            </w:pPr>
          </w:p>
        </w:tc>
        <w:tc>
          <w:tcPr>
            <w:tcW w:w="929" w:type="pct"/>
            <w:gridSpan w:val="3"/>
            <w:vMerge w:val="continue"/>
            <w:vAlign w:val="center"/>
          </w:tcPr>
          <w:p>
            <w:pPr>
              <w:widowControl/>
              <w:jc w:val="left"/>
              <w:rPr>
                <w:rFonts w:eastAsiaTheme="minorEastAsia"/>
                <w:sz w:val="18"/>
                <w:szCs w:val="18"/>
              </w:rPr>
            </w:pPr>
          </w:p>
        </w:tc>
        <w:tc>
          <w:tcPr>
            <w:tcW w:w="2913" w:type="pct"/>
            <w:gridSpan w:val="13"/>
            <w:vAlign w:val="center"/>
          </w:tcPr>
          <w:p>
            <w:pPr>
              <w:jc w:val="center"/>
              <w:rPr>
                <w:rFonts w:eastAsiaTheme="minorEastAsia"/>
                <w:sz w:val="18"/>
                <w:szCs w:val="18"/>
              </w:rPr>
            </w:pPr>
            <w:r>
              <w:rPr>
                <w:rFonts w:hint="eastAsia" w:ascii="宋体" w:hAnsi="宋体" w:cs="宋体"/>
                <w:sz w:val="18"/>
                <w:szCs w:val="18"/>
              </w:rPr>
              <w:t>大气毒性终点浓度</w:t>
            </w:r>
            <w:r>
              <w:rPr>
                <w:sz w:val="18"/>
                <w:szCs w:val="18"/>
              </w:rPr>
              <w:t xml:space="preserve">-2  </w:t>
            </w:r>
            <w:r>
              <w:rPr>
                <w:rFonts w:hint="eastAsia"/>
                <w:sz w:val="18"/>
                <w:szCs w:val="18"/>
              </w:rPr>
              <w:t>最大影响范围</w:t>
            </w:r>
            <w:r>
              <w:rPr>
                <w:sz w:val="18"/>
                <w:szCs w:val="18"/>
              </w:rPr>
              <w:t>___m</w:t>
            </w:r>
          </w:p>
        </w:tc>
      </w:tr>
      <w:tr>
        <w:tblPrEx>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Align w:val="center"/>
          </w:tcPr>
          <w:p>
            <w:pPr>
              <w:jc w:val="center"/>
              <w:rPr>
                <w:rFonts w:eastAsiaTheme="minorEastAsia"/>
                <w:sz w:val="18"/>
                <w:szCs w:val="18"/>
              </w:rPr>
            </w:pPr>
            <w:r>
              <w:rPr>
                <w:rFonts w:hint="eastAsia" w:ascii="宋体" w:hAnsi="宋体" w:cs="宋体"/>
                <w:sz w:val="18"/>
                <w:szCs w:val="18"/>
              </w:rPr>
              <w:t>地表</w:t>
            </w:r>
            <w:r>
              <w:rPr>
                <w:rFonts w:hint="eastAsia"/>
                <w:sz w:val="18"/>
                <w:szCs w:val="18"/>
              </w:rPr>
              <w:t>水</w:t>
            </w:r>
          </w:p>
        </w:tc>
        <w:tc>
          <w:tcPr>
            <w:tcW w:w="3842" w:type="pct"/>
            <w:gridSpan w:val="16"/>
            <w:vAlign w:val="center"/>
          </w:tcPr>
          <w:p>
            <w:pPr>
              <w:jc w:val="center"/>
              <w:rPr>
                <w:rFonts w:eastAsiaTheme="minorEastAsia"/>
                <w:sz w:val="18"/>
                <w:szCs w:val="18"/>
              </w:rPr>
            </w:pPr>
            <w:r>
              <w:rPr>
                <w:rFonts w:hint="eastAsia" w:ascii="宋体" w:hAnsi="宋体" w:cs="宋体"/>
                <w:sz w:val="18"/>
                <w:szCs w:val="18"/>
              </w:rPr>
              <w:t>最近环境敏感目标</w:t>
            </w:r>
            <w:r>
              <w:rPr>
                <w:sz w:val="18"/>
                <w:szCs w:val="18"/>
              </w:rPr>
              <w:t>_____</w:t>
            </w:r>
            <w:r>
              <w:rPr>
                <w:rFonts w:hint="eastAsia"/>
                <w:sz w:val="18"/>
                <w:szCs w:val="18"/>
              </w:rPr>
              <w:t>，到达时间</w:t>
            </w:r>
            <w:r>
              <w:rPr>
                <w:sz w:val="18"/>
                <w:szCs w:val="18"/>
              </w:rPr>
              <w:t>______h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restart"/>
            <w:vAlign w:val="center"/>
          </w:tcPr>
          <w:p>
            <w:pPr>
              <w:jc w:val="center"/>
              <w:rPr>
                <w:rFonts w:eastAsiaTheme="minorEastAsia"/>
                <w:sz w:val="18"/>
                <w:szCs w:val="18"/>
              </w:rPr>
            </w:pPr>
            <w:r>
              <w:rPr>
                <w:rFonts w:hint="eastAsia" w:ascii="宋体" w:hAnsi="宋体" w:cs="宋体"/>
                <w:sz w:val="18"/>
                <w:szCs w:val="18"/>
              </w:rPr>
              <w:t>地下</w:t>
            </w:r>
            <w:r>
              <w:rPr>
                <w:rFonts w:hint="eastAsia"/>
                <w:sz w:val="18"/>
                <w:szCs w:val="18"/>
              </w:rPr>
              <w:t>水</w:t>
            </w:r>
          </w:p>
        </w:tc>
        <w:tc>
          <w:tcPr>
            <w:tcW w:w="3842" w:type="pct"/>
            <w:gridSpan w:val="16"/>
            <w:vAlign w:val="center"/>
          </w:tcPr>
          <w:p>
            <w:pPr>
              <w:jc w:val="center"/>
              <w:rPr>
                <w:rFonts w:eastAsiaTheme="minorEastAsia"/>
                <w:sz w:val="18"/>
                <w:szCs w:val="18"/>
              </w:rPr>
            </w:pPr>
            <w:r>
              <w:rPr>
                <w:rFonts w:hint="eastAsia" w:ascii="宋体" w:hAnsi="宋体" w:cs="宋体"/>
                <w:sz w:val="18"/>
                <w:szCs w:val="18"/>
              </w:rPr>
              <w:t>下游厂区边界到达时间</w:t>
            </w:r>
            <w:r>
              <w:rPr>
                <w:sz w:val="18"/>
                <w:szCs w:val="18"/>
              </w:rPr>
              <w:t>_____d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Merge w:val="continue"/>
            <w:vAlign w:val="center"/>
          </w:tcPr>
          <w:p>
            <w:pPr>
              <w:widowControl/>
              <w:jc w:val="left"/>
              <w:rPr>
                <w:rFonts w:eastAsiaTheme="minorEastAsia"/>
                <w:sz w:val="18"/>
                <w:szCs w:val="18"/>
              </w:rPr>
            </w:pPr>
          </w:p>
        </w:tc>
        <w:tc>
          <w:tcPr>
            <w:tcW w:w="656" w:type="pct"/>
            <w:vMerge w:val="continue"/>
            <w:vAlign w:val="center"/>
          </w:tcPr>
          <w:p>
            <w:pPr>
              <w:widowControl/>
              <w:jc w:val="left"/>
              <w:rPr>
                <w:rFonts w:eastAsiaTheme="minorEastAsia"/>
                <w:sz w:val="18"/>
                <w:szCs w:val="18"/>
              </w:rPr>
            </w:pPr>
          </w:p>
        </w:tc>
        <w:tc>
          <w:tcPr>
            <w:tcW w:w="3842" w:type="pct"/>
            <w:gridSpan w:val="16"/>
            <w:vAlign w:val="center"/>
          </w:tcPr>
          <w:p>
            <w:pPr>
              <w:jc w:val="center"/>
              <w:rPr>
                <w:rFonts w:eastAsiaTheme="minorEastAsia"/>
                <w:sz w:val="18"/>
                <w:szCs w:val="18"/>
              </w:rPr>
            </w:pPr>
            <w:r>
              <w:rPr>
                <w:rFonts w:hint="eastAsia" w:ascii="宋体" w:hAnsi="宋体" w:cs="宋体"/>
                <w:sz w:val="18"/>
                <w:szCs w:val="18"/>
              </w:rPr>
              <w:t>最近环境敏感目标</w:t>
            </w:r>
            <w:r>
              <w:rPr>
                <w:sz w:val="18"/>
                <w:szCs w:val="18"/>
              </w:rPr>
              <w:t>_____</w:t>
            </w:r>
            <w:r>
              <w:rPr>
                <w:rFonts w:hint="eastAsia"/>
                <w:sz w:val="18"/>
                <w:szCs w:val="18"/>
              </w:rPr>
              <w:t>，到达时间</w:t>
            </w:r>
            <w:r>
              <w:rPr>
                <w:sz w:val="18"/>
                <w:szCs w:val="18"/>
              </w:rPr>
              <w:t>______d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Align w:val="center"/>
          </w:tcPr>
          <w:p>
            <w:pPr>
              <w:jc w:val="center"/>
              <w:rPr>
                <w:rFonts w:eastAsiaTheme="minorEastAsia"/>
                <w:sz w:val="18"/>
                <w:szCs w:val="18"/>
              </w:rPr>
            </w:pPr>
            <w:r>
              <w:rPr>
                <w:rFonts w:hint="eastAsia" w:ascii="宋体" w:hAnsi="宋体" w:cs="宋体"/>
                <w:sz w:val="18"/>
                <w:szCs w:val="18"/>
              </w:rPr>
              <w:t>重点风</w:t>
            </w:r>
            <w:r>
              <w:rPr>
                <w:rFonts w:hint="eastAsia"/>
                <w:sz w:val="18"/>
                <w:szCs w:val="18"/>
              </w:rPr>
              <w:t>险</w:t>
            </w:r>
          </w:p>
          <w:p>
            <w:pPr>
              <w:jc w:val="center"/>
              <w:rPr>
                <w:rFonts w:eastAsiaTheme="minorEastAsia"/>
                <w:sz w:val="18"/>
                <w:szCs w:val="18"/>
              </w:rPr>
            </w:pPr>
            <w:r>
              <w:rPr>
                <w:rFonts w:hint="eastAsia"/>
                <w:sz w:val="18"/>
                <w:szCs w:val="18"/>
              </w:rPr>
              <w:t>防范措施</w:t>
            </w:r>
          </w:p>
        </w:tc>
        <w:tc>
          <w:tcPr>
            <w:tcW w:w="4498" w:type="pct"/>
            <w:gridSpan w:val="17"/>
            <w:vAlign w:val="center"/>
          </w:tcPr>
          <w:p>
            <w:pPr>
              <w:jc w:val="center"/>
              <w:rPr>
                <w:rFonts w:eastAsiaTheme="minorEastAsia"/>
                <w:sz w:val="18"/>
                <w:szCs w:val="18"/>
              </w:rPr>
            </w:pPr>
            <w:r>
              <w:rPr>
                <w:rFonts w:hint="eastAsia" w:eastAsiaTheme="minorEastAsia"/>
                <w:sz w:val="18"/>
                <w:szCs w:val="18"/>
              </w:rPr>
              <w:t>采取工艺装置风险防范措施，如管道、设备的制造及安装严格进行气密实验，防止泄漏；工程应对生产装置的生产过程实行集中检测、显示、连锁，控制和报警等；以及编制应急预案，实施应急演练等。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2" w:type="pct"/>
            <w:vAlign w:val="center"/>
          </w:tcPr>
          <w:p>
            <w:pPr>
              <w:jc w:val="center"/>
              <w:rPr>
                <w:rFonts w:eastAsiaTheme="minorEastAsia"/>
                <w:sz w:val="18"/>
                <w:szCs w:val="18"/>
              </w:rPr>
            </w:pPr>
            <w:r>
              <w:rPr>
                <w:rFonts w:hint="eastAsia" w:ascii="宋体" w:hAnsi="宋体" w:cs="宋体"/>
                <w:sz w:val="18"/>
                <w:szCs w:val="18"/>
              </w:rPr>
              <w:t>评价结论与建</w:t>
            </w:r>
            <w:r>
              <w:rPr>
                <w:rFonts w:hint="eastAsia"/>
                <w:sz w:val="18"/>
                <w:szCs w:val="18"/>
              </w:rPr>
              <w:t>议</w:t>
            </w:r>
          </w:p>
        </w:tc>
        <w:tc>
          <w:tcPr>
            <w:tcW w:w="4498" w:type="pct"/>
            <w:gridSpan w:val="17"/>
            <w:vAlign w:val="center"/>
          </w:tcPr>
          <w:p>
            <w:pPr>
              <w:jc w:val="center"/>
              <w:rPr>
                <w:rFonts w:eastAsiaTheme="minorEastAsia"/>
                <w:sz w:val="18"/>
                <w:szCs w:val="18"/>
              </w:rPr>
            </w:pPr>
            <w:r>
              <w:rPr>
                <w:rFonts w:hint="eastAsia" w:eastAsiaTheme="minorEastAsia"/>
                <w:sz w:val="18"/>
                <w:szCs w:val="18"/>
              </w:rPr>
              <w:t>由风险评价分析结果得知，经采取相应应急措施，能大大减少事故发生概率，并且一旦发生事故，能迅速采取有力措施，减小对环境污染。其潜在的事故风险是可以防范的。项目建设对周围环境危害程度较小，风险值是可以接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18"/>
            <w:vAlign w:val="center"/>
          </w:tcPr>
          <w:p>
            <w:pPr>
              <w:jc w:val="left"/>
              <w:rPr>
                <w:rFonts w:eastAsiaTheme="minorEastAsia"/>
                <w:sz w:val="18"/>
                <w:szCs w:val="18"/>
              </w:rPr>
            </w:pPr>
            <w:r>
              <w:rPr>
                <w:rFonts w:hint="eastAsia" w:ascii="宋体" w:hAnsi="宋体" w:cs="宋体"/>
                <w:sz w:val="18"/>
                <w:szCs w:val="18"/>
              </w:rPr>
              <w:t>注：</w:t>
            </w:r>
            <w:r>
              <w:rPr>
                <w:sz w:val="18"/>
                <w:szCs w:val="18"/>
              </w:rPr>
              <w:t>“</w:t>
            </w:r>
            <w:r>
              <w:rPr>
                <w:rFonts w:hint="eastAsia" w:asciiTheme="majorEastAsia" w:hAnsiTheme="majorEastAsia" w:eastAsiaTheme="majorEastAsia"/>
                <w:sz w:val="18"/>
                <w:szCs w:val="18"/>
              </w:rPr>
              <w:t>□</w:t>
            </w:r>
            <w:r>
              <w:rPr>
                <w:sz w:val="18"/>
                <w:szCs w:val="18"/>
              </w:rPr>
              <w:t>”</w:t>
            </w:r>
            <w:r>
              <w:rPr>
                <w:rFonts w:hint="eastAsia"/>
                <w:sz w:val="18"/>
                <w:szCs w:val="18"/>
              </w:rPr>
              <w:t>为勾选项；</w:t>
            </w:r>
            <w:r>
              <w:rPr>
                <w:sz w:val="18"/>
                <w:szCs w:val="18"/>
              </w:rPr>
              <w:t>“_____”</w:t>
            </w:r>
            <w:r>
              <w:rPr>
                <w:rFonts w:hint="eastAsia"/>
                <w:sz w:val="18"/>
                <w:szCs w:val="18"/>
              </w:rPr>
              <w:t>为填写项</w:t>
            </w:r>
          </w:p>
        </w:tc>
      </w:tr>
      <w:bookmarkEnd w:id="122"/>
    </w:tbl>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spacing w:val="4"/>
          <w:sz w:val="24"/>
        </w:rPr>
      </w:pPr>
    </w:p>
    <w:p>
      <w:pPr>
        <w:spacing w:line="480" w:lineRule="exact"/>
        <w:ind w:firstLine="496" w:firstLineChars="200"/>
        <w:rPr>
          <w:rFonts w:hint="eastAsia"/>
          <w:spacing w:val="4"/>
          <w:sz w:val="24"/>
        </w:rPr>
      </w:pPr>
    </w:p>
    <w:p>
      <w:pPr>
        <w:spacing w:line="480" w:lineRule="exact"/>
        <w:ind w:firstLine="496" w:firstLineChars="200"/>
        <w:rPr>
          <w:spacing w:val="4"/>
          <w:sz w:val="24"/>
        </w:rPr>
      </w:pPr>
    </w:p>
    <w:p>
      <w:pPr>
        <w:spacing w:line="480" w:lineRule="exact"/>
        <w:ind w:firstLine="496" w:firstLineChars="200"/>
        <w:rPr>
          <w:spacing w:val="4"/>
          <w:sz w:val="24"/>
        </w:rPr>
        <w:sectPr>
          <w:headerReference r:id="rId11" w:type="default"/>
          <w:pgSz w:w="11906" w:h="16838"/>
          <w:pgMar w:top="1418" w:right="1531" w:bottom="1418" w:left="1531" w:header="851" w:footer="992" w:gutter="0"/>
          <w:cols w:space="425" w:num="1"/>
          <w:docGrid w:type="linesAndChars" w:linePitch="312" w:charSpace="0"/>
        </w:sectPr>
      </w:pPr>
    </w:p>
    <w:p>
      <w:pPr>
        <w:spacing w:line="720" w:lineRule="auto"/>
        <w:jc w:val="center"/>
        <w:outlineLvl w:val="0"/>
        <w:rPr>
          <w:rFonts w:hAnsi="黑体" w:eastAsia="黑体"/>
          <w:b/>
          <w:bCs/>
          <w:sz w:val="44"/>
          <w:szCs w:val="44"/>
        </w:rPr>
      </w:pPr>
      <w:bookmarkStart w:id="123" w:name="_Toc19105475"/>
      <w:r>
        <w:rPr>
          <w:rFonts w:hint="eastAsia" w:hAnsi="黑体" w:eastAsia="黑体"/>
          <w:b/>
          <w:bCs/>
          <w:sz w:val="44"/>
          <w:szCs w:val="44"/>
        </w:rPr>
        <w:t xml:space="preserve">7 </w:t>
      </w:r>
      <w:r>
        <w:rPr>
          <w:rFonts w:hAnsi="黑体" w:eastAsia="黑体"/>
          <w:b/>
          <w:bCs/>
          <w:sz w:val="44"/>
          <w:szCs w:val="44"/>
        </w:rPr>
        <w:t>环境</w:t>
      </w:r>
      <w:r>
        <w:rPr>
          <w:rFonts w:hint="eastAsia" w:hAnsi="黑体" w:eastAsia="黑体"/>
          <w:b/>
          <w:bCs/>
          <w:sz w:val="44"/>
          <w:szCs w:val="44"/>
        </w:rPr>
        <w:t>保护措施</w:t>
      </w:r>
      <w:bookmarkEnd w:id="123"/>
    </w:p>
    <w:p>
      <w:pPr>
        <w:pStyle w:val="2"/>
        <w:spacing w:before="156" w:beforeLines="50" w:after="0" w:line="480" w:lineRule="exact"/>
        <w:rPr>
          <w:rFonts w:ascii="Times New Roman" w:hAnsi="Times New Roman"/>
          <w:bCs w:val="0"/>
          <w:spacing w:val="4"/>
          <w:sz w:val="28"/>
          <w:szCs w:val="28"/>
        </w:rPr>
      </w:pPr>
      <w:bookmarkStart w:id="124" w:name="_Toc19105476"/>
      <w:r>
        <w:rPr>
          <w:rFonts w:hint="eastAsia" w:ascii="Times New Roman" w:hAnsi="Times New Roman"/>
          <w:bCs w:val="0"/>
          <w:spacing w:val="4"/>
          <w:sz w:val="28"/>
          <w:szCs w:val="28"/>
        </w:rPr>
        <w:t>7.1</w:t>
      </w:r>
      <w:r>
        <w:rPr>
          <w:rFonts w:hint="eastAsia"/>
          <w:sz w:val="28"/>
          <w:szCs w:val="28"/>
        </w:rPr>
        <w:t>概述</w:t>
      </w:r>
      <w:bookmarkEnd w:id="124"/>
    </w:p>
    <w:p>
      <w:pPr>
        <w:pStyle w:val="85"/>
        <w:spacing w:line="480" w:lineRule="exact"/>
        <w:ind w:firstLine="480"/>
        <w:rPr>
          <w:sz w:val="24"/>
          <w:szCs w:val="24"/>
        </w:rPr>
      </w:pPr>
      <w:r>
        <w:rPr>
          <w:sz w:val="24"/>
          <w:szCs w:val="24"/>
        </w:rPr>
        <w:t>本评价环境保护对策，是在结合当地环境保护目标、环境现状以及本工程排污特点、企业的技术能力和经济能力等各方面因素的基础上，制定出具有合理性、可操作性和实用性的污染防措施，尽量减少工程对周围环境的不良影响。运行过程中除需满足各污染源的达标排放外，还应结合当地环境功能和环境规划的要求，满足污染物总量控制指标。通过对地表塌陷的综合整治和环境保护措施的制定、落实，维护区域生态环境，促进企业和经济的协调发展，使企业走上可持续发展的道路。</w:t>
      </w:r>
    </w:p>
    <w:p>
      <w:pPr>
        <w:spacing w:line="480" w:lineRule="exact"/>
        <w:ind w:firstLine="480" w:firstLineChars="200"/>
        <w:rPr>
          <w:rFonts w:ascii="宋体" w:hAnsi="宋体"/>
          <w:bCs/>
          <w:sz w:val="24"/>
          <w:szCs w:val="24"/>
        </w:rPr>
      </w:pPr>
      <w:r>
        <w:rPr>
          <w:sz w:val="24"/>
          <w:szCs w:val="24"/>
        </w:rPr>
        <w:t>据此，本章节将在工程分析及相关章节的基础上，对有关内容进行汇总、完善，并依据目前的政策、法规要求，在技术、管理等方面提出一一对应的环境保护措施。</w:t>
      </w:r>
    </w:p>
    <w:p>
      <w:pPr>
        <w:pStyle w:val="2"/>
        <w:spacing w:before="156" w:beforeLines="50" w:after="0" w:line="480" w:lineRule="exact"/>
        <w:rPr>
          <w:rFonts w:ascii="Times New Roman" w:hAnsi="Times New Roman"/>
          <w:bCs w:val="0"/>
          <w:spacing w:val="4"/>
          <w:sz w:val="28"/>
          <w:szCs w:val="28"/>
        </w:rPr>
      </w:pPr>
      <w:bookmarkStart w:id="125" w:name="_Toc19105477"/>
      <w:r>
        <w:rPr>
          <w:rFonts w:hint="eastAsia" w:ascii="Times New Roman" w:hAnsi="Times New Roman"/>
          <w:bCs w:val="0"/>
          <w:spacing w:val="4"/>
          <w:sz w:val="28"/>
          <w:szCs w:val="28"/>
        </w:rPr>
        <w:t>7.2</w:t>
      </w:r>
      <w:r>
        <w:rPr>
          <w:rFonts w:hint="eastAsia"/>
          <w:sz w:val="28"/>
          <w:szCs w:val="28"/>
        </w:rPr>
        <w:t>施工期污染及防治措施</w:t>
      </w:r>
      <w:bookmarkEnd w:id="125"/>
    </w:p>
    <w:p>
      <w:pPr>
        <w:spacing w:line="480" w:lineRule="exact"/>
        <w:ind w:firstLine="480" w:firstLineChars="200"/>
        <w:rPr>
          <w:color w:val="000000"/>
          <w:sz w:val="24"/>
        </w:rPr>
      </w:pPr>
      <w:r>
        <w:rPr>
          <w:color w:val="000000"/>
          <w:sz w:val="24"/>
        </w:rPr>
        <w:t>本拟建工程施工期的大气污染主要是道路扬尘、运输车辆扬尘；废水主要是施工废水与工人生活污水；噪声主要是施工机械设备噪声；固体废物主要是施工废料与废弃土石。其防治措施具体见表</w:t>
      </w:r>
      <w:r>
        <w:rPr>
          <w:rFonts w:hint="eastAsia"/>
          <w:color w:val="000000"/>
          <w:sz w:val="24"/>
        </w:rPr>
        <w:t>7.2</w:t>
      </w:r>
      <w:r>
        <w:rPr>
          <w:color w:val="000000"/>
          <w:sz w:val="24"/>
        </w:rPr>
        <w:t>-1。</w:t>
      </w:r>
    </w:p>
    <w:p>
      <w:pPr>
        <w:spacing w:line="480" w:lineRule="exact"/>
        <w:jc w:val="center"/>
        <w:rPr>
          <w:rFonts w:ascii="黑体" w:hAnsi="黑体" w:eastAsia="黑体"/>
          <w:bCs/>
          <w:color w:val="000000"/>
          <w:sz w:val="24"/>
        </w:rPr>
      </w:pPr>
      <w:r>
        <w:rPr>
          <w:rFonts w:ascii="黑体" w:hAnsi="黑体" w:eastAsia="黑体"/>
          <w:bCs/>
          <w:color w:val="000000"/>
          <w:sz w:val="24"/>
        </w:rPr>
        <w:t xml:space="preserve">表7.2-1 </w:t>
      </w:r>
      <w:r>
        <w:rPr>
          <w:rFonts w:hint="eastAsia" w:ascii="黑体" w:hAnsi="黑体" w:eastAsia="黑体"/>
          <w:bCs/>
          <w:color w:val="000000"/>
          <w:sz w:val="24"/>
        </w:rPr>
        <w:t xml:space="preserve"> </w:t>
      </w:r>
      <w:r>
        <w:rPr>
          <w:rFonts w:ascii="黑体" w:hAnsi="黑体" w:eastAsia="黑体"/>
          <w:bCs/>
          <w:color w:val="000000"/>
          <w:sz w:val="24"/>
        </w:rPr>
        <w:t>工程建设期污染防治措施汇总</w:t>
      </w:r>
    </w:p>
    <w:tbl>
      <w:tblPr>
        <w:tblStyle w:val="3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89"/>
        <w:gridCol w:w="1491"/>
        <w:gridCol w:w="65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pPr>
              <w:spacing w:line="0" w:lineRule="atLeast"/>
              <w:jc w:val="center"/>
              <w:rPr>
                <w:color w:val="000000"/>
                <w:szCs w:val="21"/>
              </w:rPr>
            </w:pPr>
            <w:r>
              <w:rPr>
                <w:rFonts w:hint="eastAsia"/>
                <w:color w:val="000000"/>
                <w:szCs w:val="21"/>
              </w:rPr>
              <w:t>项  目</w:t>
            </w:r>
          </w:p>
        </w:tc>
        <w:tc>
          <w:tcPr>
            <w:tcW w:w="823" w:type="pct"/>
            <w:tcBorders>
              <w:tl2br w:val="nil"/>
              <w:tr2bl w:val="nil"/>
            </w:tcBorders>
            <w:vAlign w:val="center"/>
          </w:tcPr>
          <w:p>
            <w:pPr>
              <w:spacing w:line="0" w:lineRule="atLeast"/>
              <w:jc w:val="center"/>
              <w:rPr>
                <w:color w:val="000000"/>
                <w:szCs w:val="21"/>
              </w:rPr>
            </w:pPr>
            <w:r>
              <w:rPr>
                <w:rFonts w:hint="eastAsia"/>
                <w:color w:val="000000"/>
                <w:szCs w:val="21"/>
              </w:rPr>
              <w:t>污染源</w:t>
            </w:r>
          </w:p>
        </w:tc>
        <w:tc>
          <w:tcPr>
            <w:tcW w:w="3631" w:type="pct"/>
            <w:tcBorders>
              <w:tl2br w:val="nil"/>
              <w:tr2bl w:val="nil"/>
            </w:tcBorders>
            <w:vAlign w:val="center"/>
          </w:tcPr>
          <w:p>
            <w:pPr>
              <w:spacing w:line="0" w:lineRule="atLeast"/>
              <w:jc w:val="center"/>
              <w:rPr>
                <w:color w:val="000000"/>
                <w:szCs w:val="21"/>
              </w:rPr>
            </w:pPr>
            <w:r>
              <w:rPr>
                <w:rFonts w:hint="eastAsia"/>
                <w:color w:val="000000"/>
                <w:szCs w:val="21"/>
              </w:rPr>
              <w:t>防治措施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pPr>
              <w:spacing w:line="0" w:lineRule="atLeast"/>
              <w:jc w:val="center"/>
              <w:rPr>
                <w:color w:val="000000"/>
                <w:szCs w:val="21"/>
              </w:rPr>
            </w:pPr>
            <w:r>
              <w:rPr>
                <w:rFonts w:hint="eastAsia"/>
                <w:color w:val="000000"/>
                <w:szCs w:val="21"/>
              </w:rPr>
              <w:t>扬尘</w:t>
            </w:r>
          </w:p>
        </w:tc>
        <w:tc>
          <w:tcPr>
            <w:tcW w:w="823" w:type="pct"/>
            <w:tcBorders>
              <w:tl2br w:val="nil"/>
              <w:tr2bl w:val="nil"/>
            </w:tcBorders>
            <w:vAlign w:val="center"/>
          </w:tcPr>
          <w:p>
            <w:pPr>
              <w:spacing w:line="0" w:lineRule="atLeast"/>
              <w:jc w:val="center"/>
              <w:rPr>
                <w:color w:val="000000"/>
                <w:szCs w:val="21"/>
              </w:rPr>
            </w:pPr>
            <w:r>
              <w:rPr>
                <w:rFonts w:hint="eastAsia"/>
                <w:color w:val="000000"/>
                <w:szCs w:val="21"/>
              </w:rPr>
              <w:t>道路扬尘、运输扬尘等</w:t>
            </w:r>
          </w:p>
        </w:tc>
        <w:tc>
          <w:tcPr>
            <w:tcW w:w="3631" w:type="pct"/>
            <w:tcBorders>
              <w:tl2br w:val="nil"/>
              <w:tr2bl w:val="nil"/>
            </w:tcBorders>
            <w:vAlign w:val="center"/>
          </w:tcPr>
          <w:p>
            <w:pPr>
              <w:spacing w:line="0" w:lineRule="atLeast"/>
              <w:jc w:val="center"/>
              <w:rPr>
                <w:color w:val="000000"/>
                <w:szCs w:val="21"/>
              </w:rPr>
            </w:pPr>
            <w:r>
              <w:rPr>
                <w:rFonts w:hint="eastAsia"/>
                <w:color w:val="000000"/>
                <w:szCs w:val="21"/>
              </w:rPr>
              <w:t>对施工现场和运输道路及时清理、定时洒水；运输车辆不得超载，应限速行驶；运输沙石、水泥等物料的车辆必须加盖篷布。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pPr>
              <w:spacing w:line="0" w:lineRule="atLeast"/>
              <w:jc w:val="center"/>
              <w:rPr>
                <w:color w:val="000000"/>
                <w:szCs w:val="21"/>
              </w:rPr>
            </w:pPr>
            <w:r>
              <w:rPr>
                <w:rFonts w:hint="eastAsia"/>
                <w:color w:val="000000"/>
                <w:szCs w:val="21"/>
              </w:rPr>
              <w:t>噪  声</w:t>
            </w:r>
          </w:p>
        </w:tc>
        <w:tc>
          <w:tcPr>
            <w:tcW w:w="823" w:type="pct"/>
            <w:tcBorders>
              <w:tl2br w:val="nil"/>
              <w:tr2bl w:val="nil"/>
            </w:tcBorders>
            <w:vAlign w:val="center"/>
          </w:tcPr>
          <w:p>
            <w:pPr>
              <w:spacing w:line="0" w:lineRule="atLeast"/>
              <w:jc w:val="center"/>
              <w:rPr>
                <w:color w:val="000000"/>
                <w:szCs w:val="21"/>
              </w:rPr>
            </w:pPr>
            <w:r>
              <w:rPr>
                <w:rFonts w:hint="eastAsia"/>
                <w:color w:val="000000"/>
                <w:szCs w:val="21"/>
              </w:rPr>
              <w:t>施工机械设备</w:t>
            </w:r>
          </w:p>
        </w:tc>
        <w:tc>
          <w:tcPr>
            <w:tcW w:w="3631" w:type="pct"/>
            <w:tcBorders>
              <w:tl2br w:val="nil"/>
              <w:tr2bl w:val="nil"/>
            </w:tcBorders>
            <w:vAlign w:val="center"/>
          </w:tcPr>
          <w:p>
            <w:pPr>
              <w:spacing w:line="0" w:lineRule="atLeast"/>
              <w:jc w:val="center"/>
              <w:rPr>
                <w:color w:val="000000"/>
                <w:szCs w:val="21"/>
              </w:rPr>
            </w:pPr>
            <w:r>
              <w:rPr>
                <w:rFonts w:hint="eastAsia"/>
                <w:color w:val="000000"/>
                <w:szCs w:val="21"/>
              </w:rPr>
              <w:t>设备安装时间应尽量安排在日间，严格控制夜间的施工；对施工机械设备应行定期维修、养护，避免因设备松动部件的震动或消声器破坏而加大其工作时的声级；并尽量减少碰撞噪声；运输车辆进入厂区应限速行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6" w:type="pct"/>
            <w:vMerge w:val="restart"/>
            <w:tcBorders>
              <w:tl2br w:val="nil"/>
              <w:tr2bl w:val="nil"/>
            </w:tcBorders>
            <w:vAlign w:val="center"/>
          </w:tcPr>
          <w:p>
            <w:pPr>
              <w:spacing w:line="0" w:lineRule="atLeast"/>
              <w:jc w:val="center"/>
              <w:rPr>
                <w:color w:val="000000"/>
                <w:szCs w:val="21"/>
              </w:rPr>
            </w:pPr>
            <w:r>
              <w:rPr>
                <w:rFonts w:hint="eastAsia"/>
                <w:color w:val="000000"/>
                <w:szCs w:val="21"/>
              </w:rPr>
              <w:t>废  水</w:t>
            </w:r>
          </w:p>
        </w:tc>
        <w:tc>
          <w:tcPr>
            <w:tcW w:w="823" w:type="pct"/>
            <w:tcBorders>
              <w:tl2br w:val="nil"/>
              <w:tr2bl w:val="nil"/>
            </w:tcBorders>
            <w:vAlign w:val="center"/>
          </w:tcPr>
          <w:p>
            <w:pPr>
              <w:spacing w:line="0" w:lineRule="atLeast"/>
              <w:jc w:val="center"/>
              <w:rPr>
                <w:color w:val="000000"/>
                <w:szCs w:val="21"/>
              </w:rPr>
            </w:pPr>
            <w:r>
              <w:rPr>
                <w:rFonts w:hint="eastAsia"/>
                <w:color w:val="000000"/>
                <w:szCs w:val="21"/>
              </w:rPr>
              <w:t>施工废水</w:t>
            </w:r>
          </w:p>
        </w:tc>
        <w:tc>
          <w:tcPr>
            <w:tcW w:w="3631" w:type="pct"/>
            <w:tcBorders>
              <w:tl2br w:val="nil"/>
              <w:tr2bl w:val="nil"/>
            </w:tcBorders>
            <w:vAlign w:val="center"/>
          </w:tcPr>
          <w:p>
            <w:pPr>
              <w:spacing w:line="0" w:lineRule="atLeast"/>
              <w:jc w:val="center"/>
              <w:rPr>
                <w:color w:val="000000"/>
                <w:szCs w:val="21"/>
              </w:rPr>
            </w:pPr>
            <w:r>
              <w:rPr>
                <w:rFonts w:hint="eastAsia"/>
                <w:color w:val="000000"/>
                <w:szCs w:val="21"/>
              </w:rPr>
              <w:t>对施工废水要求建沉淀池，废水经收集沉清后复用。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vAlign w:val="center"/>
          </w:tcPr>
          <w:p>
            <w:pPr>
              <w:spacing w:line="0" w:lineRule="atLeast"/>
              <w:jc w:val="center"/>
              <w:rPr>
                <w:color w:val="000000"/>
                <w:szCs w:val="21"/>
              </w:rPr>
            </w:pPr>
          </w:p>
        </w:tc>
        <w:tc>
          <w:tcPr>
            <w:tcW w:w="823" w:type="pct"/>
            <w:tcBorders>
              <w:tl2br w:val="nil"/>
              <w:tr2bl w:val="nil"/>
            </w:tcBorders>
            <w:vAlign w:val="center"/>
          </w:tcPr>
          <w:p>
            <w:pPr>
              <w:spacing w:line="0" w:lineRule="atLeast"/>
              <w:jc w:val="center"/>
              <w:rPr>
                <w:color w:val="000000"/>
                <w:szCs w:val="21"/>
              </w:rPr>
            </w:pPr>
            <w:r>
              <w:rPr>
                <w:rFonts w:hint="eastAsia"/>
                <w:color w:val="000000"/>
                <w:szCs w:val="21"/>
              </w:rPr>
              <w:t>生活废水</w:t>
            </w:r>
          </w:p>
        </w:tc>
        <w:tc>
          <w:tcPr>
            <w:tcW w:w="3631" w:type="pct"/>
            <w:tcBorders>
              <w:tl2br w:val="nil"/>
              <w:tr2bl w:val="nil"/>
            </w:tcBorders>
            <w:vAlign w:val="center"/>
          </w:tcPr>
          <w:p>
            <w:pPr>
              <w:spacing w:line="0" w:lineRule="atLeast"/>
              <w:jc w:val="center"/>
              <w:rPr>
                <w:color w:val="000000"/>
                <w:szCs w:val="21"/>
              </w:rPr>
            </w:pPr>
            <w:r>
              <w:rPr>
                <w:rFonts w:hint="eastAsia"/>
                <w:color w:val="000000"/>
                <w:szCs w:val="21"/>
              </w:rPr>
              <w:t>生活盥洗废水用于厂区泼洒抑尘、绿化用水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pPr>
              <w:spacing w:line="0" w:lineRule="atLeast"/>
              <w:jc w:val="center"/>
              <w:rPr>
                <w:color w:val="000000"/>
                <w:szCs w:val="21"/>
              </w:rPr>
            </w:pPr>
            <w:r>
              <w:rPr>
                <w:rFonts w:hint="eastAsia"/>
                <w:color w:val="000000"/>
                <w:szCs w:val="21"/>
              </w:rPr>
              <w:t>固  废</w:t>
            </w:r>
          </w:p>
        </w:tc>
        <w:tc>
          <w:tcPr>
            <w:tcW w:w="823" w:type="pct"/>
            <w:tcBorders>
              <w:tl2br w:val="nil"/>
              <w:tr2bl w:val="nil"/>
            </w:tcBorders>
            <w:vAlign w:val="center"/>
          </w:tcPr>
          <w:p>
            <w:pPr>
              <w:spacing w:line="0" w:lineRule="atLeast"/>
              <w:jc w:val="center"/>
              <w:rPr>
                <w:color w:val="000000"/>
                <w:szCs w:val="21"/>
              </w:rPr>
            </w:pPr>
            <w:r>
              <w:rPr>
                <w:rFonts w:hint="eastAsia"/>
                <w:color w:val="000000"/>
                <w:szCs w:val="21"/>
              </w:rPr>
              <w:t>施工废料与废弃土石</w:t>
            </w:r>
          </w:p>
        </w:tc>
        <w:tc>
          <w:tcPr>
            <w:tcW w:w="3631" w:type="pct"/>
            <w:tcBorders>
              <w:tl2br w:val="nil"/>
              <w:tr2bl w:val="nil"/>
            </w:tcBorders>
            <w:vAlign w:val="center"/>
          </w:tcPr>
          <w:p>
            <w:pPr>
              <w:spacing w:line="0" w:lineRule="atLeast"/>
              <w:jc w:val="center"/>
              <w:rPr>
                <w:color w:val="000000"/>
                <w:szCs w:val="21"/>
              </w:rPr>
            </w:pPr>
            <w:r>
              <w:rPr>
                <w:rFonts w:hint="eastAsia"/>
                <w:color w:val="000000"/>
                <w:szCs w:val="21"/>
              </w:rPr>
              <w:t>合理处置、场地平整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pPr>
              <w:spacing w:line="0" w:lineRule="atLeast"/>
              <w:jc w:val="center"/>
              <w:rPr>
                <w:color w:val="000000"/>
                <w:szCs w:val="21"/>
              </w:rPr>
            </w:pPr>
            <w:r>
              <w:rPr>
                <w:rFonts w:hint="eastAsia"/>
                <w:color w:val="000000"/>
                <w:szCs w:val="21"/>
              </w:rPr>
              <w:t>环境监理</w:t>
            </w:r>
          </w:p>
        </w:tc>
        <w:tc>
          <w:tcPr>
            <w:tcW w:w="823" w:type="pct"/>
            <w:tcBorders>
              <w:tl2br w:val="nil"/>
              <w:tr2bl w:val="nil"/>
            </w:tcBorders>
            <w:vAlign w:val="center"/>
          </w:tcPr>
          <w:p>
            <w:pPr>
              <w:spacing w:line="0" w:lineRule="atLeast"/>
              <w:jc w:val="center"/>
              <w:rPr>
                <w:color w:val="000000"/>
                <w:szCs w:val="21"/>
              </w:rPr>
            </w:pPr>
            <w:r>
              <w:rPr>
                <w:rFonts w:hint="eastAsia"/>
                <w:color w:val="000000"/>
                <w:szCs w:val="21"/>
              </w:rPr>
              <w:t>/</w:t>
            </w:r>
          </w:p>
        </w:tc>
        <w:tc>
          <w:tcPr>
            <w:tcW w:w="3631" w:type="pct"/>
            <w:tcBorders>
              <w:tl2br w:val="nil"/>
              <w:tr2bl w:val="nil"/>
            </w:tcBorders>
            <w:vAlign w:val="center"/>
          </w:tcPr>
          <w:p>
            <w:pPr>
              <w:spacing w:line="0" w:lineRule="atLeast"/>
              <w:jc w:val="center"/>
              <w:rPr>
                <w:color w:val="000000"/>
                <w:szCs w:val="21"/>
              </w:rPr>
            </w:pPr>
            <w:r>
              <w:rPr>
                <w:rFonts w:hint="eastAsia"/>
                <w:color w:val="000000"/>
                <w:szCs w:val="21"/>
              </w:rPr>
              <w:t>施工期由1-2名环境监理员对施工单位进行经常性检查，监督、查看，发现问题及时解决、纠正。</w:t>
            </w:r>
          </w:p>
        </w:tc>
      </w:tr>
    </w:tbl>
    <w:p>
      <w:pPr>
        <w:spacing w:line="480" w:lineRule="exact"/>
        <w:ind w:firstLine="480" w:firstLineChars="200"/>
        <w:rPr>
          <w:rFonts w:ascii="宋体" w:hAnsi="宋体"/>
          <w:bCs/>
          <w:sz w:val="24"/>
          <w:szCs w:val="24"/>
        </w:rPr>
      </w:pPr>
      <w:r>
        <w:rPr>
          <w:sz w:val="24"/>
        </w:rPr>
        <w:t>项目建设期污染属于短期影响，待施工结束后，污染会慢慢消失，运营期相对于建设期来说，时间较长，持续于整个生产运营期，所以，本次环评重点对运营期污染及防治措施进行论证。</w:t>
      </w:r>
    </w:p>
    <w:p>
      <w:pPr>
        <w:pStyle w:val="2"/>
        <w:spacing w:before="156" w:beforeLines="50" w:after="0" w:line="480" w:lineRule="exact"/>
        <w:rPr>
          <w:rFonts w:ascii="Times New Roman" w:hAnsi="Times New Roman"/>
          <w:bCs w:val="0"/>
          <w:spacing w:val="4"/>
          <w:sz w:val="28"/>
          <w:szCs w:val="28"/>
        </w:rPr>
      </w:pPr>
      <w:bookmarkStart w:id="126" w:name="_Toc19105478"/>
      <w:r>
        <w:rPr>
          <w:rFonts w:hint="eastAsia" w:ascii="Times New Roman" w:hAnsi="Times New Roman"/>
          <w:bCs w:val="0"/>
          <w:spacing w:val="4"/>
          <w:sz w:val="28"/>
          <w:szCs w:val="28"/>
        </w:rPr>
        <w:t>7.3</w:t>
      </w:r>
      <w:r>
        <w:rPr>
          <w:rFonts w:hint="eastAsia"/>
          <w:sz w:val="28"/>
          <w:szCs w:val="28"/>
        </w:rPr>
        <w:t>运营期污染及防治措施</w:t>
      </w:r>
      <w:bookmarkEnd w:id="126"/>
    </w:p>
    <w:p>
      <w:pPr>
        <w:pStyle w:val="3"/>
        <w:spacing w:before="0" w:after="0" w:line="480" w:lineRule="exact"/>
        <w:rPr>
          <w:sz w:val="24"/>
          <w:szCs w:val="24"/>
        </w:rPr>
      </w:pPr>
      <w:r>
        <w:rPr>
          <w:rFonts w:hint="eastAsia"/>
          <w:sz w:val="24"/>
          <w:szCs w:val="24"/>
        </w:rPr>
        <w:t>7.3.1运营期大气污染防治措施</w:t>
      </w:r>
    </w:p>
    <w:p>
      <w:pPr>
        <w:tabs>
          <w:tab w:val="left" w:pos="7470"/>
        </w:tabs>
        <w:spacing w:line="480" w:lineRule="exact"/>
        <w:rPr>
          <w:b/>
          <w:spacing w:val="6"/>
          <w:sz w:val="24"/>
        </w:rPr>
      </w:pPr>
      <w:bookmarkStart w:id="127" w:name="_Hlk9002280"/>
      <w:r>
        <w:rPr>
          <w:rFonts w:hint="eastAsia"/>
          <w:b/>
          <w:spacing w:val="6"/>
          <w:sz w:val="24"/>
        </w:rPr>
        <w:t>1、鸡舍恶臭气体防治措施</w:t>
      </w:r>
    </w:p>
    <w:p>
      <w:pPr>
        <w:tabs>
          <w:tab w:val="left" w:pos="7470"/>
        </w:tabs>
        <w:spacing w:line="480" w:lineRule="exact"/>
        <w:ind w:firstLine="480" w:firstLineChars="200"/>
        <w:rPr>
          <w:kern w:val="0"/>
          <w:sz w:val="24"/>
          <w:szCs w:val="24"/>
        </w:rPr>
      </w:pPr>
      <w:r>
        <w:rPr>
          <w:rFonts w:hint="eastAsia"/>
          <w:kern w:val="0"/>
          <w:sz w:val="24"/>
          <w:szCs w:val="24"/>
        </w:rPr>
        <w:t>项目鸡舍恶臭气体主要是采取加强鸡舍卫生管理、改善饲料营养结构和增加清粪次数等措施，具体方法如下：</w:t>
      </w:r>
    </w:p>
    <w:p>
      <w:pPr>
        <w:tabs>
          <w:tab w:val="left" w:pos="7470"/>
        </w:tabs>
        <w:spacing w:line="480" w:lineRule="exact"/>
        <w:ind w:firstLine="480" w:firstLineChars="200"/>
        <w:rPr>
          <w:kern w:val="0"/>
          <w:sz w:val="24"/>
          <w:szCs w:val="24"/>
        </w:rPr>
      </w:pPr>
      <w:r>
        <w:rPr>
          <w:rFonts w:hint="eastAsia"/>
          <w:kern w:val="0"/>
          <w:sz w:val="24"/>
          <w:szCs w:val="24"/>
        </w:rPr>
        <w:t>①保持鸡舍的清洁：要经常清扫，及时清除鸡舍粪便，定时对鸡舍进行冲洗，保持干燥清洁；并加强鸡舍的通风换气，及时排除有害气体，保持鸡舍空气清新。</w:t>
      </w:r>
    </w:p>
    <w:p>
      <w:pPr>
        <w:tabs>
          <w:tab w:val="left" w:pos="7470"/>
        </w:tabs>
        <w:spacing w:line="480" w:lineRule="exact"/>
        <w:ind w:firstLine="480" w:firstLineChars="200"/>
        <w:rPr>
          <w:kern w:val="0"/>
          <w:sz w:val="24"/>
          <w:szCs w:val="24"/>
        </w:rPr>
      </w:pPr>
      <w:r>
        <w:rPr>
          <w:rFonts w:hint="eastAsia"/>
          <w:kern w:val="0"/>
          <w:sz w:val="24"/>
          <w:szCs w:val="24"/>
        </w:rPr>
        <w:t>②鸡舍可定期采取喷洒植物除臭剂，可起到降低鸡舍内氨浓度的作用。这种方法投资较小，简便易行，具有较好的效果。但采用的除臭剂必须是无毒、无害，在环境中不会蓄积的。</w:t>
      </w:r>
    </w:p>
    <w:p>
      <w:pPr>
        <w:tabs>
          <w:tab w:val="left" w:pos="7470"/>
        </w:tabs>
        <w:spacing w:line="480" w:lineRule="exact"/>
        <w:ind w:firstLine="480" w:firstLineChars="200"/>
        <w:rPr>
          <w:kern w:val="0"/>
          <w:sz w:val="24"/>
          <w:szCs w:val="24"/>
        </w:rPr>
      </w:pPr>
      <w:r>
        <w:rPr>
          <w:kern w:val="0"/>
          <w:sz w:val="24"/>
          <w:szCs w:val="24"/>
        </w:rPr>
        <w:fldChar w:fldCharType="begin"/>
      </w:r>
      <w:r>
        <w:rPr>
          <w:kern w:val="0"/>
          <w:sz w:val="24"/>
          <w:szCs w:val="24"/>
        </w:rPr>
        <w:instrText xml:space="preserve"> = 3 \* GB3 </w:instrText>
      </w:r>
      <w:r>
        <w:rPr>
          <w:kern w:val="0"/>
          <w:sz w:val="24"/>
          <w:szCs w:val="24"/>
        </w:rPr>
        <w:fldChar w:fldCharType="separate"/>
      </w:r>
      <w:r>
        <w:rPr>
          <w:rFonts w:hint="eastAsia"/>
          <w:kern w:val="0"/>
          <w:sz w:val="24"/>
          <w:szCs w:val="24"/>
        </w:rPr>
        <w:t>③</w:t>
      </w:r>
      <w:r>
        <w:rPr>
          <w:kern w:val="0"/>
          <w:sz w:val="24"/>
          <w:szCs w:val="24"/>
        </w:rPr>
        <w:fldChar w:fldCharType="end"/>
      </w:r>
      <w:r>
        <w:rPr>
          <w:rFonts w:hint="eastAsia"/>
          <w:kern w:val="0"/>
          <w:sz w:val="24"/>
          <w:szCs w:val="24"/>
        </w:rPr>
        <w:t>在畜舍内、粪便和日粮中投放</w:t>
      </w:r>
      <w:r>
        <w:rPr>
          <w:kern w:val="0"/>
          <w:sz w:val="24"/>
          <w:szCs w:val="24"/>
        </w:rPr>
        <w:t>EM</w:t>
      </w:r>
      <w:r>
        <w:rPr>
          <w:rFonts w:hint="eastAsia"/>
          <w:kern w:val="0"/>
          <w:sz w:val="24"/>
          <w:szCs w:val="24"/>
        </w:rPr>
        <w:t>菌剂等有益微生物复合制剂，能有效地降解</w:t>
      </w:r>
      <w:r>
        <w:rPr>
          <w:kern w:val="0"/>
          <w:sz w:val="24"/>
          <w:szCs w:val="24"/>
        </w:rPr>
        <w:t>NH</w:t>
      </w:r>
      <w:r>
        <w:rPr>
          <w:kern w:val="0"/>
          <w:sz w:val="24"/>
          <w:szCs w:val="24"/>
          <w:vertAlign w:val="subscript"/>
        </w:rPr>
        <w:t>3</w:t>
      </w:r>
      <w:r>
        <w:rPr>
          <w:rFonts w:hint="eastAsia"/>
          <w:kern w:val="0"/>
          <w:sz w:val="24"/>
          <w:szCs w:val="24"/>
        </w:rPr>
        <w:t>、</w:t>
      </w:r>
      <w:r>
        <w:rPr>
          <w:kern w:val="0"/>
          <w:sz w:val="24"/>
          <w:szCs w:val="24"/>
        </w:rPr>
        <w:t>H</w:t>
      </w:r>
      <w:r>
        <w:rPr>
          <w:kern w:val="0"/>
          <w:sz w:val="24"/>
          <w:szCs w:val="24"/>
          <w:vertAlign w:val="subscript"/>
        </w:rPr>
        <w:t>2</w:t>
      </w:r>
      <w:r>
        <w:rPr>
          <w:kern w:val="0"/>
          <w:sz w:val="24"/>
          <w:szCs w:val="24"/>
        </w:rPr>
        <w:t>S</w:t>
      </w:r>
      <w:r>
        <w:rPr>
          <w:rFonts w:hint="eastAsia"/>
          <w:kern w:val="0"/>
          <w:sz w:val="24"/>
          <w:szCs w:val="24"/>
        </w:rPr>
        <w:t>等有害气体，</w:t>
      </w:r>
      <w:r>
        <w:rPr>
          <w:kern w:val="0"/>
          <w:sz w:val="24"/>
          <w:szCs w:val="24"/>
        </w:rPr>
        <w:t>EM</w:t>
      </w:r>
      <w:r>
        <w:rPr>
          <w:rFonts w:hint="eastAsia"/>
          <w:kern w:val="0"/>
          <w:sz w:val="24"/>
          <w:szCs w:val="24"/>
        </w:rPr>
        <w:t>菌剂中含有多种有效微生物菌群，其中的好气和光合微生物能利用</w:t>
      </w:r>
      <w:r>
        <w:rPr>
          <w:kern w:val="0"/>
          <w:sz w:val="24"/>
          <w:szCs w:val="24"/>
        </w:rPr>
        <w:t>H</w:t>
      </w:r>
      <w:r>
        <w:rPr>
          <w:kern w:val="0"/>
          <w:sz w:val="24"/>
          <w:szCs w:val="24"/>
          <w:vertAlign w:val="subscript"/>
        </w:rPr>
        <w:t>2</w:t>
      </w:r>
      <w:r>
        <w:rPr>
          <w:kern w:val="0"/>
          <w:sz w:val="24"/>
          <w:szCs w:val="24"/>
        </w:rPr>
        <w:t>S</w:t>
      </w:r>
      <w:r>
        <w:rPr>
          <w:rFonts w:hint="eastAsia"/>
          <w:kern w:val="0"/>
          <w:sz w:val="24"/>
          <w:szCs w:val="24"/>
        </w:rPr>
        <w:t>进行光合作用，放线菌产生的分泌物对病原微生物有抑制作用等；一方面抑制臭气成分的产生，另一方面对上述有害成分直接利用，从而达到净化空气的目的。</w:t>
      </w:r>
    </w:p>
    <w:p>
      <w:pPr>
        <w:tabs>
          <w:tab w:val="left" w:pos="7470"/>
        </w:tabs>
        <w:spacing w:line="480" w:lineRule="exact"/>
        <w:ind w:firstLine="480" w:firstLineChars="200"/>
        <w:rPr>
          <w:kern w:val="0"/>
          <w:sz w:val="24"/>
          <w:szCs w:val="24"/>
        </w:rPr>
      </w:pPr>
      <w:r>
        <w:rPr>
          <w:kern w:val="0"/>
          <w:sz w:val="24"/>
          <w:szCs w:val="24"/>
        </w:rPr>
        <w:fldChar w:fldCharType="begin"/>
      </w:r>
      <w:r>
        <w:rPr>
          <w:kern w:val="0"/>
          <w:sz w:val="24"/>
          <w:szCs w:val="24"/>
        </w:rPr>
        <w:instrText xml:space="preserve"> = 4 \* GB3 </w:instrText>
      </w:r>
      <w:r>
        <w:rPr>
          <w:kern w:val="0"/>
          <w:sz w:val="24"/>
          <w:szCs w:val="24"/>
        </w:rPr>
        <w:fldChar w:fldCharType="separate"/>
      </w:r>
      <w:r>
        <w:rPr>
          <w:rFonts w:hint="eastAsia"/>
          <w:kern w:val="0"/>
          <w:sz w:val="24"/>
          <w:szCs w:val="24"/>
        </w:rPr>
        <w:t>④</w:t>
      </w:r>
      <w:r>
        <w:rPr>
          <w:kern w:val="0"/>
          <w:sz w:val="24"/>
          <w:szCs w:val="24"/>
        </w:rPr>
        <w:fldChar w:fldCharType="end"/>
      </w:r>
      <w:r>
        <w:rPr>
          <w:rFonts w:hint="eastAsia"/>
          <w:kern w:val="0"/>
          <w:sz w:val="24"/>
          <w:szCs w:val="24"/>
        </w:rPr>
        <w:t>合理配合日粮和使用添加剂以减少有害气体的排放量。采用理想蛋白质体系，适当降低日粮中粗蛋白质含量，添加必要的必需氨基酸，提高日粮蛋白质的利用率，可以尽量减少粪便中氮、磷、硫的含量，减少粪便和肠道臭气的排放量。例如，在保持生产性能不变的情况下，添加必需氨基酸，将育肥鸡日粮粗蛋白质从</w:t>
      </w:r>
      <w:r>
        <w:rPr>
          <w:kern w:val="0"/>
          <w:sz w:val="24"/>
          <w:szCs w:val="24"/>
        </w:rPr>
        <w:t>16%</w:t>
      </w:r>
      <w:r>
        <w:rPr>
          <w:rFonts w:hint="eastAsia"/>
          <w:kern w:val="0"/>
          <w:sz w:val="24"/>
          <w:szCs w:val="24"/>
        </w:rPr>
        <w:t>减至</w:t>
      </w:r>
      <w:r>
        <w:rPr>
          <w:kern w:val="0"/>
          <w:sz w:val="24"/>
          <w:szCs w:val="24"/>
        </w:rPr>
        <w:t>12%</w:t>
      </w:r>
      <w:r>
        <w:rPr>
          <w:rFonts w:hint="eastAsia"/>
          <w:kern w:val="0"/>
          <w:sz w:val="24"/>
          <w:szCs w:val="24"/>
        </w:rPr>
        <w:t>时，鸡粪中氨气的散发量减少</w:t>
      </w:r>
      <w:r>
        <w:rPr>
          <w:kern w:val="0"/>
          <w:sz w:val="24"/>
          <w:szCs w:val="24"/>
        </w:rPr>
        <w:t>79%</w:t>
      </w:r>
      <w:r>
        <w:rPr>
          <w:rFonts w:hint="eastAsia"/>
          <w:kern w:val="0"/>
          <w:sz w:val="24"/>
          <w:szCs w:val="24"/>
        </w:rPr>
        <w:t>。在日粮中添加非营养性添加剂如膨润土和沸石粉，可吸附粪尿中的有害气体。在幼畜日粮中添加酶制剂，可有效提高饲料消化利用率，降低粪尿中有害气体的产生量。</w:t>
      </w:r>
    </w:p>
    <w:p>
      <w:pPr>
        <w:tabs>
          <w:tab w:val="left" w:pos="7470"/>
        </w:tabs>
        <w:spacing w:line="480" w:lineRule="exact"/>
        <w:ind w:firstLine="480" w:firstLineChars="200"/>
        <w:rPr>
          <w:kern w:val="0"/>
          <w:sz w:val="24"/>
          <w:szCs w:val="24"/>
        </w:rPr>
      </w:pPr>
      <w:r>
        <w:rPr>
          <w:rFonts w:hint="eastAsia"/>
          <w:kern w:val="0"/>
          <w:sz w:val="24"/>
          <w:szCs w:val="24"/>
        </w:rPr>
        <w:t>在场区内道路两边种植灌木，场界边缘地带种植杨、槐等高大乔木树种，形成多层防护林带，以降低恶臭污染的影响。</w:t>
      </w:r>
    </w:p>
    <w:p>
      <w:pPr>
        <w:tabs>
          <w:tab w:val="left" w:pos="7470"/>
        </w:tabs>
        <w:spacing w:line="480" w:lineRule="exact"/>
        <w:ind w:firstLine="480" w:firstLineChars="200"/>
        <w:rPr>
          <w:kern w:val="0"/>
          <w:sz w:val="24"/>
          <w:szCs w:val="24"/>
        </w:rPr>
      </w:pPr>
      <w:r>
        <w:rPr>
          <w:rFonts w:hint="eastAsia"/>
          <w:kern w:val="0"/>
          <w:sz w:val="24"/>
          <w:szCs w:val="24"/>
        </w:rPr>
        <w:t>鸡舍在采取以上措施后，臭气浓度满足《畜禽养殖业污染物排放标准》（</w:t>
      </w:r>
      <w:r>
        <w:rPr>
          <w:kern w:val="0"/>
          <w:sz w:val="24"/>
          <w:szCs w:val="24"/>
        </w:rPr>
        <w:t>GB18596-2001</w:t>
      </w:r>
      <w:r>
        <w:rPr>
          <w:rFonts w:hint="eastAsia"/>
          <w:kern w:val="0"/>
          <w:sz w:val="24"/>
          <w:szCs w:val="24"/>
        </w:rPr>
        <w:t>）中表</w:t>
      </w:r>
      <w:r>
        <w:rPr>
          <w:kern w:val="0"/>
          <w:sz w:val="24"/>
          <w:szCs w:val="24"/>
        </w:rPr>
        <w:t>7</w:t>
      </w:r>
      <w:r>
        <w:rPr>
          <w:rFonts w:hint="eastAsia"/>
          <w:kern w:val="0"/>
          <w:sz w:val="24"/>
          <w:szCs w:val="24"/>
        </w:rPr>
        <w:t>标准，硫化氢、氨在场界浓度执行《恶臭污染物排放标准》（</w:t>
      </w:r>
      <w:r>
        <w:rPr>
          <w:kern w:val="0"/>
          <w:sz w:val="24"/>
          <w:szCs w:val="24"/>
        </w:rPr>
        <w:t>GB14554-93</w:t>
      </w:r>
      <w:r>
        <w:rPr>
          <w:rFonts w:hint="eastAsia"/>
          <w:kern w:val="0"/>
          <w:sz w:val="24"/>
          <w:szCs w:val="24"/>
        </w:rPr>
        <w:t>）表</w:t>
      </w:r>
      <w:r>
        <w:rPr>
          <w:kern w:val="0"/>
          <w:sz w:val="24"/>
          <w:szCs w:val="24"/>
        </w:rPr>
        <w:t>1</w:t>
      </w:r>
      <w:r>
        <w:rPr>
          <w:rFonts w:hint="eastAsia"/>
          <w:kern w:val="0"/>
          <w:sz w:val="24"/>
          <w:szCs w:val="24"/>
        </w:rPr>
        <w:t>中二级新改扩建标准。</w:t>
      </w:r>
    </w:p>
    <w:p>
      <w:pPr>
        <w:tabs>
          <w:tab w:val="left" w:pos="7470"/>
        </w:tabs>
        <w:spacing w:line="480" w:lineRule="exact"/>
        <w:rPr>
          <w:b/>
          <w:spacing w:val="6"/>
          <w:sz w:val="24"/>
        </w:rPr>
      </w:pPr>
      <w:r>
        <w:rPr>
          <w:b/>
          <w:spacing w:val="6"/>
          <w:sz w:val="24"/>
        </w:rPr>
        <w:t>2</w:t>
      </w:r>
      <w:r>
        <w:rPr>
          <w:rFonts w:hint="eastAsia"/>
          <w:b/>
          <w:spacing w:val="6"/>
          <w:sz w:val="24"/>
        </w:rPr>
        <w:t>、</w:t>
      </w:r>
      <w:r>
        <w:rPr>
          <w:rFonts w:hint="eastAsia"/>
          <w:b/>
          <w:bCs/>
          <w:spacing w:val="6"/>
          <w:sz w:val="24"/>
        </w:rPr>
        <w:t>粪污处理各工艺单元恶臭气体防治措施</w:t>
      </w:r>
    </w:p>
    <w:p>
      <w:pPr>
        <w:pStyle w:val="26"/>
        <w:spacing w:beforeAutospacing="0" w:afterAutospacing="0" w:line="480" w:lineRule="exact"/>
        <w:ind w:firstLine="480" w:firstLineChars="200"/>
        <w:jc w:val="both"/>
      </w:pPr>
      <w:bookmarkStart w:id="128" w:name="_Hlk8213111"/>
      <w:r>
        <w:rPr>
          <w:rFonts w:hint="eastAsia"/>
        </w:rPr>
        <w:t>（1）耗氧发酵罐废气防治措施</w:t>
      </w:r>
    </w:p>
    <w:p>
      <w:pPr>
        <w:pStyle w:val="26"/>
        <w:spacing w:beforeAutospacing="0" w:afterAutospacing="0" w:line="480" w:lineRule="exact"/>
        <w:ind w:firstLine="480" w:firstLineChars="200"/>
        <w:jc w:val="both"/>
      </w:pPr>
      <w:r>
        <w:rPr>
          <w:rFonts w:hint="eastAsia"/>
        </w:rPr>
        <w:t>NH</w:t>
      </w:r>
      <w:r>
        <w:rPr>
          <w:rFonts w:hint="eastAsia"/>
          <w:vertAlign w:val="subscript"/>
        </w:rPr>
        <w:t>3</w:t>
      </w:r>
      <w:r>
        <w:rPr>
          <w:rFonts w:hint="eastAsia"/>
        </w:rPr>
        <w:t>和H</w:t>
      </w:r>
      <w:r>
        <w:rPr>
          <w:rFonts w:hint="eastAsia"/>
          <w:vertAlign w:val="subscript"/>
        </w:rPr>
        <w:t>2</w:t>
      </w:r>
      <w:r>
        <w:rPr>
          <w:rFonts w:hint="eastAsia"/>
        </w:rPr>
        <w:t>S是耗氧发酵过程中产生的重要臭气物质，NH</w:t>
      </w:r>
      <w:r>
        <w:rPr>
          <w:rFonts w:hint="eastAsia"/>
          <w:vertAlign w:val="subscript"/>
        </w:rPr>
        <w:t>3</w:t>
      </w:r>
      <w:r>
        <w:rPr>
          <w:rFonts w:hint="eastAsia"/>
        </w:rPr>
        <w:t>主要来自耗氧发酵过程中有机物（如蛋白质、氨基酸等）的降解，而H</w:t>
      </w:r>
      <w:r>
        <w:rPr>
          <w:rFonts w:hint="eastAsia"/>
          <w:vertAlign w:val="subscript"/>
        </w:rPr>
        <w:t>2</w:t>
      </w:r>
      <w:r>
        <w:rPr>
          <w:rFonts w:hint="eastAsia"/>
        </w:rPr>
        <w:t>S则是氧气供应不足时，厌氧细菌对有机物分解不彻底的产物。臭气物质还包括一部分挥发性有机物，如含氮有机物、含硫有机物、挥发性脂肪酸及部分碳氢化合物和醛类物质。</w:t>
      </w:r>
    </w:p>
    <w:p>
      <w:pPr>
        <w:pStyle w:val="26"/>
        <w:spacing w:beforeAutospacing="0" w:afterAutospacing="0" w:line="480" w:lineRule="exact"/>
        <w:ind w:firstLine="480" w:firstLineChars="200"/>
        <w:jc w:val="both"/>
        <w:rPr>
          <w:rFonts w:hAnsi="宋体"/>
          <w:bCs/>
        </w:rPr>
      </w:pPr>
      <w:r>
        <w:rPr>
          <w:rFonts w:hint="eastAsia" w:hAnsi="宋体"/>
          <w:bCs/>
        </w:rPr>
        <w:t>本项目2台耗氧发酵罐废气采用</w:t>
      </w:r>
      <w:r>
        <w:rPr>
          <w:rFonts w:hAnsi="宋体"/>
          <w:bCs/>
        </w:rPr>
        <w:t>1</w:t>
      </w:r>
      <w:r>
        <w:rPr>
          <w:rFonts w:hint="eastAsia" w:hAnsi="宋体"/>
          <w:bCs/>
        </w:rPr>
        <w:t>套生物除臭塔生化处理后由</w:t>
      </w:r>
      <w:r>
        <w:rPr>
          <w:rFonts w:hAnsi="宋体"/>
          <w:bCs/>
        </w:rPr>
        <w:t>1</w:t>
      </w:r>
      <w:r>
        <w:rPr>
          <w:rFonts w:hint="eastAsia" w:hAnsi="宋体"/>
          <w:bCs/>
        </w:rPr>
        <w:t>根</w:t>
      </w:r>
      <w:r>
        <w:rPr>
          <w:rFonts w:hAnsi="宋体"/>
          <w:bCs/>
        </w:rPr>
        <w:t>15m</w:t>
      </w:r>
      <w:r>
        <w:rPr>
          <w:rFonts w:hint="eastAsia" w:hAnsi="宋体"/>
          <w:bCs/>
        </w:rPr>
        <w:t>高排气筒外排，生物锅炉除臭系统核心为高效生物滤塔，有利于生物附着和生长的复合填料和微生物优势菌种。在适宜的条件下，滤塔中的微生物在填料表面形成生物膜，利用废气的无机和有机物作用为碳源和能源，通过降解恶臭物质维持其生命活动，将恶臭物质分解为水、二氧化碳和矿物质等无臭物，达到净化恶臭气体的目的。</w:t>
      </w:r>
    </w:p>
    <w:p>
      <w:pPr>
        <w:pStyle w:val="26"/>
        <w:spacing w:beforeAutospacing="0" w:afterAutospacing="0" w:line="480" w:lineRule="exact"/>
        <w:ind w:firstLine="480" w:firstLineChars="200"/>
        <w:jc w:val="both"/>
        <w:rPr>
          <w:rFonts w:hAnsi="宋体"/>
          <w:bCs/>
        </w:rPr>
      </w:pPr>
      <w:r>
        <w:rPr>
          <w:rFonts w:hint="eastAsia" w:hAnsi="宋体"/>
          <w:bCs/>
        </w:rPr>
        <w:t>其工作原理为恶臭气体物质与生物滤塔填料-生物膜表面的水接触溶于水，由气相转移至液相水中，溶解在水中的H2S等恶臭物质被栖息在填料上的生物所吸附，由液相转移到生物相。生物填料表面形成的生物膜中的微生物以恶臭气体物质为食栖息，恶臭物及有机废气被生物氧化分解，在转化过程中产生能量，为微生物的生长与繁殖提供能源，使恶臭气体物质的转化持续进行。专用微生物复合菌是采用来源广泛易得经特殊生物培养驯化的一种混合微生物菌群，既有针对大量臭物质元素的降解生物菌，又有协同作用互为上下接续分解工作的生物菌，也有协调平衡共存多种的生物菌，吞噬死亡细菌残体的生物菌与原生动物群，上述多种生物菌群与原生动物共生于同一体系中，在耗氧或厌氧条件下诱导各类生物菌生长繁衍、互利共生，互助互容保持稳定高效的生物分解能力。</w:t>
      </w:r>
    </w:p>
    <w:p>
      <w:pPr>
        <w:pStyle w:val="26"/>
        <w:spacing w:beforeAutospacing="0" w:afterAutospacing="0" w:line="480" w:lineRule="exact"/>
        <w:ind w:firstLine="480" w:firstLineChars="200"/>
        <w:jc w:val="both"/>
        <w:rPr>
          <w:rFonts w:hAnsi="宋体"/>
          <w:bCs/>
        </w:rPr>
      </w:pPr>
      <w:r>
        <w:rPr>
          <w:rFonts w:hint="eastAsia" w:hAnsi="宋体"/>
          <w:bCs/>
        </w:rPr>
        <w:t>该套设备具有以下特点：可全天候运行，运行稳定，耐负荷冲击能力达；采用自然的生物降解方法，将污染物分解成CO</w:t>
      </w:r>
      <w:r>
        <w:rPr>
          <w:rFonts w:hint="eastAsia" w:hAnsi="宋体"/>
          <w:bCs/>
          <w:vertAlign w:val="subscript"/>
        </w:rPr>
        <w:t>2</w:t>
      </w:r>
      <w:r>
        <w:rPr>
          <w:rFonts w:hint="eastAsia" w:hAnsi="宋体"/>
          <w:bCs/>
        </w:rPr>
        <w:t>和H</w:t>
      </w:r>
      <w:r>
        <w:rPr>
          <w:rFonts w:hint="eastAsia" w:hAnsi="宋体"/>
          <w:bCs/>
          <w:vertAlign w:val="subscript"/>
        </w:rPr>
        <w:t>2</w:t>
      </w:r>
      <w:r>
        <w:rPr>
          <w:rFonts w:hint="eastAsia" w:hAnsi="宋体"/>
          <w:bCs/>
        </w:rPr>
        <w:t>O，无二次污染物生成；去除效率高；高性能的防腐设计延长了设备使用寿命。</w:t>
      </w:r>
    </w:p>
    <w:p>
      <w:pPr>
        <w:pStyle w:val="26"/>
        <w:spacing w:beforeAutospacing="0" w:afterAutospacing="0" w:line="480" w:lineRule="exact"/>
        <w:ind w:firstLine="480" w:firstLineChars="200"/>
        <w:jc w:val="both"/>
        <w:rPr>
          <w:rFonts w:hAnsi="宋体"/>
          <w:bCs/>
        </w:rPr>
      </w:pPr>
      <w:r>
        <w:rPr>
          <w:rFonts w:hint="eastAsia" w:hAnsi="宋体"/>
          <w:bCs/>
        </w:rPr>
        <w:t>综上所述，本项目2台耗氧发酵罐废气采用</w:t>
      </w:r>
      <w:r>
        <w:rPr>
          <w:rFonts w:hAnsi="宋体"/>
          <w:bCs/>
        </w:rPr>
        <w:t>1</w:t>
      </w:r>
      <w:r>
        <w:rPr>
          <w:rFonts w:hint="eastAsia" w:hAnsi="宋体"/>
          <w:bCs/>
        </w:rPr>
        <w:t>套生物除臭塔生化处理后由</w:t>
      </w:r>
      <w:r>
        <w:rPr>
          <w:rFonts w:hAnsi="宋体"/>
          <w:bCs/>
        </w:rPr>
        <w:t>1</w:t>
      </w:r>
      <w:r>
        <w:rPr>
          <w:rFonts w:hint="eastAsia" w:hAnsi="宋体"/>
          <w:bCs/>
        </w:rPr>
        <w:t>根</w:t>
      </w:r>
      <w:r>
        <w:rPr>
          <w:rFonts w:hAnsi="宋体"/>
          <w:bCs/>
        </w:rPr>
        <w:t>15m</w:t>
      </w:r>
      <w:r>
        <w:rPr>
          <w:rFonts w:hint="eastAsia" w:hAnsi="宋体"/>
          <w:bCs/>
        </w:rPr>
        <w:t>高排气筒外排，可</w:t>
      </w:r>
      <w:r>
        <w:rPr>
          <w:rFonts w:hint="eastAsia"/>
        </w:rPr>
        <w:t>保证恶臭气体有组织排放速率符合《恶臭污染物排放标准》</w:t>
      </w:r>
      <w:r>
        <w:t>(GB14554-93)</w:t>
      </w:r>
      <w:r>
        <w:rPr>
          <w:rFonts w:hint="eastAsia"/>
        </w:rPr>
        <w:t>表</w:t>
      </w:r>
      <w:r>
        <w:t>1</w:t>
      </w:r>
      <w:r>
        <w:rPr>
          <w:rFonts w:hint="eastAsia"/>
        </w:rPr>
        <w:t>中二级新改扩建标准。</w:t>
      </w:r>
    </w:p>
    <w:p>
      <w:pPr>
        <w:pStyle w:val="26"/>
        <w:spacing w:beforeAutospacing="0" w:afterAutospacing="0" w:line="480" w:lineRule="exact"/>
        <w:ind w:firstLine="480" w:firstLineChars="200"/>
        <w:jc w:val="both"/>
      </w:pPr>
      <w:r>
        <w:rPr>
          <w:rFonts w:hint="eastAsia"/>
        </w:rPr>
        <w:t>（2）污水处理站恶臭废气防治措施</w:t>
      </w:r>
    </w:p>
    <w:p>
      <w:pPr>
        <w:pStyle w:val="26"/>
        <w:spacing w:beforeAutospacing="0" w:afterAutospacing="0" w:line="480" w:lineRule="exact"/>
        <w:ind w:firstLine="480" w:firstLineChars="200"/>
        <w:jc w:val="both"/>
      </w:pPr>
      <w:r>
        <w:rPr>
          <w:rFonts w:hint="eastAsia"/>
        </w:rPr>
        <w:t>污水处理站恶臭气体主要来自污水收集池及各处理池，结合北方气候的原因，本工程处理设备为地埋式污水处理设备。各处理池加盖处理，恶臭气体以无组织形式逸散，此设备不需要建房及采暖和保温。运行安全可靠，可有降解较高浓度的有机物。地埋式处理设施可降低噪音及恶臭对周围环境的影响。同时在废水贮存池中喷洒微生物除臭剂，可有效降低恶臭对周围环境的影响。保证恶臭气体有组织排放速率符合《恶臭污染物排放标准》</w:t>
      </w:r>
      <w:r>
        <w:t>(GB14554-93)</w:t>
      </w:r>
      <w:r>
        <w:rPr>
          <w:rFonts w:hint="eastAsia"/>
        </w:rPr>
        <w:t>表</w:t>
      </w:r>
      <w:r>
        <w:t>1</w:t>
      </w:r>
      <w:r>
        <w:rPr>
          <w:rFonts w:hint="eastAsia"/>
        </w:rPr>
        <w:t>中二级新改扩建标准。</w:t>
      </w:r>
    </w:p>
    <w:p>
      <w:pPr>
        <w:tabs>
          <w:tab w:val="left" w:pos="7470"/>
        </w:tabs>
        <w:spacing w:line="480" w:lineRule="exact"/>
        <w:rPr>
          <w:b/>
          <w:spacing w:val="6"/>
          <w:sz w:val="24"/>
        </w:rPr>
      </w:pPr>
      <w:r>
        <w:rPr>
          <w:b/>
          <w:spacing w:val="6"/>
          <w:sz w:val="24"/>
        </w:rPr>
        <w:t>3</w:t>
      </w:r>
      <w:r>
        <w:rPr>
          <w:rFonts w:hint="eastAsia"/>
          <w:b/>
          <w:spacing w:val="6"/>
          <w:sz w:val="24"/>
        </w:rPr>
        <w:t>、</w:t>
      </w:r>
      <w:r>
        <w:rPr>
          <w:rFonts w:hint="eastAsia"/>
          <w:b/>
          <w:bCs/>
          <w:spacing w:val="6"/>
          <w:sz w:val="24"/>
        </w:rPr>
        <w:t>燃气锅炉低氮燃烧控制措施</w:t>
      </w:r>
    </w:p>
    <w:p>
      <w:pPr>
        <w:pStyle w:val="26"/>
        <w:spacing w:beforeAutospacing="0" w:afterAutospacing="0" w:line="480" w:lineRule="exact"/>
        <w:ind w:firstLine="480" w:firstLineChars="200"/>
      </w:pPr>
      <w:r>
        <w:rPr>
          <w:rFonts w:hint="eastAsia"/>
        </w:rPr>
        <w:t>燃烧理论将NOx的生成分为热力型NOx(Thermal NOx)、快速型NOx(PromptNOx)和燃料型NOx(FuelNOx)。天然气中含氮量较低，因此，燃料型NOx不是其主要的控制类型。热力型NOx是指燃烧用空气中的N</w:t>
      </w:r>
      <w:r>
        <w:rPr>
          <w:rFonts w:hint="eastAsia"/>
          <w:vertAlign w:val="subscript"/>
        </w:rPr>
        <w:t>2</w:t>
      </w:r>
      <w:r>
        <w:rPr>
          <w:rFonts w:hint="eastAsia"/>
        </w:rPr>
        <w:t>在高温下氧化生成NOx。关于热力型NOx的生成机理一般采用捷里道维奇机理：当温度低于1500℃时，热力NOx的生成量很少；高于1500℃时，温度每升高100℃，反应速度将增大6~7倍。在实际燃烧过程中，由于燃烧室内的温度分布是不均匀的，如果有局部高温区，则在这些区域会生成较多的NOx，它可能会对整个燃烧室内的NOx生成起关键性的作用。</w:t>
      </w:r>
    </w:p>
    <w:p>
      <w:pPr>
        <w:pStyle w:val="26"/>
        <w:spacing w:beforeAutospacing="0" w:afterAutospacing="0" w:line="480" w:lineRule="exact"/>
        <w:ind w:firstLine="480" w:firstLineChars="200"/>
      </w:pPr>
      <w:r>
        <w:rPr>
          <w:rFonts w:hint="eastAsia"/>
        </w:rPr>
        <w:t>现有低NOx燃烧技术主要围绕如何降低燃烧温度，减少热力型NOx生成开展的，主要技术包括分级燃烧、预混燃烧、烟气再循环、多孔介质催化燃烧和无焰燃烧。</w:t>
      </w:r>
    </w:p>
    <w:p>
      <w:pPr>
        <w:pStyle w:val="26"/>
        <w:spacing w:beforeAutospacing="0" w:afterAutospacing="0" w:line="480" w:lineRule="exact"/>
        <w:ind w:firstLine="480" w:firstLineChars="200"/>
      </w:pPr>
      <w:r>
        <w:rPr>
          <w:rFonts w:hint="eastAsia"/>
        </w:rPr>
        <w:t>（1）燃料分级燃烧或空气分级燃烧</w:t>
      </w:r>
    </w:p>
    <w:p>
      <w:pPr>
        <w:pStyle w:val="26"/>
        <w:spacing w:beforeAutospacing="0" w:afterAutospacing="0" w:line="480" w:lineRule="exact"/>
        <w:ind w:firstLine="480" w:firstLineChars="200"/>
      </w:pPr>
      <w:r>
        <w:rPr>
          <w:rFonts w:hint="eastAsia"/>
        </w:rPr>
        <w:t>热力型NOx生成很大程度上取决于燃烧温度。燃烧温度在当量比为1的情况下达到最高，在贫燃或者富燃的情况下进行燃烧，燃烧温度会下降很多。运用该原理开发出了分级燃烧技术。</w:t>
      </w:r>
    </w:p>
    <w:p>
      <w:pPr>
        <w:pStyle w:val="26"/>
        <w:spacing w:beforeAutospacing="0" w:afterAutospacing="0" w:line="480" w:lineRule="exact"/>
        <w:ind w:firstLine="480" w:firstLineChars="200"/>
      </w:pPr>
      <w:r>
        <w:rPr>
          <w:rFonts w:hint="eastAsia"/>
        </w:rPr>
        <w:t>空气分级燃烧第一级是富燃料燃烧，在第二级加入过量空气，为贫燃燃烧，两级之间加入空气冷却以保证燃烧温度不至于太高。燃料分级燃烧与空气分级燃烧正好相反，第一级为燃料稀相燃烧，而在第二级加入燃料使得当量比达到要求的数值。这两种方法最终将会使整个系统的过量空气系数保持一个定值，为目前普遍采用的低氮燃烧控制技术。</w:t>
      </w:r>
    </w:p>
    <w:p>
      <w:pPr>
        <w:pStyle w:val="26"/>
        <w:spacing w:beforeAutospacing="0" w:afterAutospacing="0" w:line="480" w:lineRule="exact"/>
        <w:ind w:firstLine="480" w:firstLineChars="200"/>
      </w:pPr>
      <w:r>
        <w:rPr>
          <w:rFonts w:hint="eastAsia"/>
        </w:rPr>
        <w:t>（2）贫燃预混燃烧技术</w:t>
      </w:r>
    </w:p>
    <w:p>
      <w:pPr>
        <w:pStyle w:val="26"/>
        <w:spacing w:beforeAutospacing="0" w:afterAutospacing="0" w:line="480" w:lineRule="exact"/>
        <w:ind w:firstLine="480" w:firstLineChars="200"/>
      </w:pPr>
      <w:r>
        <w:rPr>
          <w:rFonts w:hint="eastAsia"/>
        </w:rPr>
        <w:t>预混燃烧是指在混合物点燃之前燃料与氧化剂在分子层面上完全混合。对于控制NOx的生成，这项技术的优点是可以通过当量比的完全控制实现对燃烧温度的控制，从而降低热力型NOx生成速率，在有些情况下，预混燃烧和部分预混可比非预混燃烧减少85%—90%的NOx生成。另外，完全预混还可以减少因过量空气系数不均匀性所导致的对NOx生成控制的降低。但是，预混燃烧技术在安全性控制上仍存在未解决的技术难点：一是预混气体由于其高度可燃性可能会导致回火；二是过高的过量空气系数会导致排烟损失的增加，降低了锅炉热效率。</w:t>
      </w:r>
    </w:p>
    <w:p>
      <w:pPr>
        <w:pStyle w:val="26"/>
        <w:spacing w:beforeAutospacing="0" w:afterAutospacing="0" w:line="480" w:lineRule="exact"/>
        <w:ind w:firstLine="480" w:firstLineChars="200"/>
      </w:pPr>
      <w:r>
        <w:rPr>
          <w:rFonts w:hint="eastAsia"/>
        </w:rPr>
        <w:t>（3）外部烟气再循环和内部烟气再循环技术</w:t>
      </w:r>
    </w:p>
    <w:p>
      <w:pPr>
        <w:pStyle w:val="26"/>
        <w:spacing w:beforeAutospacing="0" w:afterAutospacing="0" w:line="480" w:lineRule="exact"/>
        <w:ind w:firstLine="480" w:firstLineChars="200"/>
      </w:pPr>
      <w:r>
        <w:rPr>
          <w:rFonts w:hint="eastAsia"/>
        </w:rPr>
        <w:t>燃烧温度的降低可以通过在火焰区域加入烟气来实现，加入的烟气吸热从而降低了燃烧温度。通过将烟气的燃烧产物加入到燃烧区域内，不仅降低了燃烧温度，减少了NOx生成；同时加入的烟气降低了氧气的分压，这将减弱氧气与氮气生成热力型NOx的过程，从而减少NOx的生成。根据应用原理的不同，烟气再循环有两种应用方式，分别为外部烟气再循环与内部烟气再循环。</w:t>
      </w:r>
    </w:p>
    <w:p>
      <w:pPr>
        <w:pStyle w:val="26"/>
        <w:spacing w:beforeAutospacing="0" w:afterAutospacing="0" w:line="480" w:lineRule="exact"/>
        <w:ind w:firstLine="480" w:firstLineChars="200"/>
      </w:pPr>
      <w:r>
        <w:rPr>
          <w:rFonts w:hint="eastAsia"/>
        </w:rPr>
        <w:t>对于外部烟气再循环技术来说，烟气从锅炉的出口通过一个外部管道，重新加入到炉膛内。根据研究，外部烟气再循环可以减少70%的NOx生成。外循环比例对NOx控制效果也有较大影响，随着外循环比例的增加NOx降低幅度也更加明显，但循环风机电耗也将增加。</w:t>
      </w:r>
    </w:p>
    <w:p>
      <w:pPr>
        <w:pStyle w:val="26"/>
        <w:spacing w:beforeAutospacing="0" w:afterAutospacing="0" w:line="480" w:lineRule="exact"/>
        <w:ind w:firstLine="480" w:firstLineChars="200"/>
      </w:pPr>
      <w:r>
        <w:rPr>
          <w:rFonts w:hint="eastAsia"/>
        </w:rPr>
        <w:t>对于内部烟气再循环，烟气回流到燃烧区域主要通过燃烧器的气体动力学。内部烟气再循环主要通过高速喷射火焰的卷吸作用或者旋流燃烧器使得气流产生旋转达到循环效果。</w:t>
      </w:r>
    </w:p>
    <w:p>
      <w:pPr>
        <w:pStyle w:val="26"/>
        <w:spacing w:beforeAutospacing="0" w:afterAutospacing="0" w:line="480" w:lineRule="exact"/>
        <w:ind w:firstLine="480" w:firstLineChars="200"/>
      </w:pPr>
      <w:r>
        <w:rPr>
          <w:rFonts w:hint="eastAsia"/>
        </w:rPr>
        <w:t>通过运用一个旋流器或者切向气流进口来生成一个有切向速度的气流，旋转过程即产生了涡流。涡流的强度可以用一个无量纲数旋流度S表示。当旋流度超过0.6，气流中将会产生足够的径向和轴向压力梯度，这会导致气流反转，在火焰中心产生一个环形的再循环区域。中心再循环区域的高温气体将回到燃烧器喉部，这确保了对冷的未燃烧气体的点火，同时通过降低火焰温度和降低氧气分压减少NOx生成。</w:t>
      </w:r>
    </w:p>
    <w:p>
      <w:pPr>
        <w:pStyle w:val="26"/>
        <w:spacing w:beforeAutospacing="0" w:afterAutospacing="0" w:line="480" w:lineRule="exact"/>
        <w:ind w:firstLine="480" w:firstLineChars="200"/>
      </w:pPr>
      <w:r>
        <w:rPr>
          <w:rFonts w:hint="eastAsia"/>
        </w:rPr>
        <w:t>（4）多孔介质催化燃烧</w:t>
      </w:r>
    </w:p>
    <w:p>
      <w:pPr>
        <w:pStyle w:val="26"/>
        <w:spacing w:beforeAutospacing="0" w:afterAutospacing="0" w:line="480" w:lineRule="exact"/>
        <w:ind w:firstLine="480" w:firstLineChars="200"/>
      </w:pPr>
      <w:r>
        <w:rPr>
          <w:rFonts w:hint="eastAsia"/>
        </w:rPr>
        <w:t>降低火焰温度的另一个办法就是尽可能快和多的加强火焰对外的传热。在燃烧器内增加了多孔介质(PIM)，使得燃烧反应发生在多孔介质内，这样从燃烧器到周围环境的辐射和对流换热就被加强了。实验表明，使用PIM燃烧器的燃烧温度低于1600K，NOx生成量在5-20ppm左右。</w:t>
      </w:r>
    </w:p>
    <w:p>
      <w:pPr>
        <w:pStyle w:val="26"/>
        <w:spacing w:beforeAutospacing="0" w:afterAutospacing="0" w:line="480" w:lineRule="exact"/>
        <w:ind w:firstLine="480" w:firstLineChars="200"/>
      </w:pPr>
      <w:r>
        <w:rPr>
          <w:rFonts w:hint="eastAsia"/>
        </w:rPr>
        <w:t>PIM燃烧器还可以在燃烧器入口处添加催化剂，这样燃料分子和氧化剂分子就会以一个比较低的活化能在催化剂表面进行反应。这样反应温度相比于同类的燃烧要更低。由于反应过程只在催化剂表面进行，不会产生NOx，这样催化燃烧的NOx生成可以降至1ppm。催化燃烧的缺点就是必须保证活性表面在一个比较低的温度下不被氧化或蒸发，且催化剂造价相对较高，难以得到工业化应用。</w:t>
      </w:r>
    </w:p>
    <w:p>
      <w:pPr>
        <w:pStyle w:val="26"/>
        <w:spacing w:beforeAutospacing="0" w:afterAutospacing="0" w:line="480" w:lineRule="exact"/>
        <w:ind w:firstLine="480" w:firstLineChars="200"/>
        <w:jc w:val="both"/>
        <w:rPr>
          <w:szCs w:val="20"/>
        </w:rPr>
      </w:pPr>
      <w:r>
        <w:rPr>
          <w:rFonts w:hint="eastAsia"/>
        </w:rPr>
        <w:t>综上所述，本项目低氮燃烧锅炉采用燃料分级燃烧或空气分级燃烧经济合理，技术可行。</w:t>
      </w:r>
    </w:p>
    <w:bookmarkEnd w:id="127"/>
    <w:bookmarkEnd w:id="128"/>
    <w:p>
      <w:pPr>
        <w:pStyle w:val="3"/>
        <w:spacing w:before="0" w:after="0" w:line="480" w:lineRule="exact"/>
        <w:rPr>
          <w:sz w:val="24"/>
          <w:szCs w:val="24"/>
        </w:rPr>
      </w:pPr>
      <w:bookmarkStart w:id="129" w:name="_Hlk9002493"/>
      <w:r>
        <w:rPr>
          <w:rFonts w:hint="eastAsia"/>
          <w:sz w:val="24"/>
          <w:szCs w:val="24"/>
        </w:rPr>
        <w:t>7.3.2运营期水污染防治措施</w:t>
      </w:r>
    </w:p>
    <w:p>
      <w:pPr>
        <w:tabs>
          <w:tab w:val="left" w:pos="2100"/>
        </w:tabs>
        <w:spacing w:line="480" w:lineRule="exact"/>
        <w:ind w:firstLine="480" w:firstLineChars="200"/>
        <w:rPr>
          <w:kern w:val="0"/>
          <w:sz w:val="24"/>
        </w:rPr>
      </w:pPr>
      <w:r>
        <w:rPr>
          <w:rFonts w:hint="eastAsia"/>
          <w:kern w:val="0"/>
          <w:sz w:val="24"/>
        </w:rPr>
        <w:t>（</w:t>
      </w:r>
      <w:r>
        <w:rPr>
          <w:kern w:val="0"/>
          <w:sz w:val="24"/>
        </w:rPr>
        <w:t>1</w:t>
      </w:r>
      <w:r>
        <w:rPr>
          <w:rFonts w:hint="eastAsia"/>
          <w:kern w:val="0"/>
          <w:sz w:val="24"/>
        </w:rPr>
        <w:t>）最高排水量达标分析</w:t>
      </w:r>
    </w:p>
    <w:p>
      <w:pPr>
        <w:tabs>
          <w:tab w:val="left" w:pos="2100"/>
        </w:tabs>
        <w:spacing w:line="480" w:lineRule="exact"/>
        <w:ind w:firstLine="480" w:firstLineChars="200"/>
        <w:rPr>
          <w:kern w:val="0"/>
          <w:sz w:val="24"/>
        </w:rPr>
      </w:pPr>
      <w:bookmarkStart w:id="130" w:name="_Hlk479531377"/>
      <w:r>
        <w:rPr>
          <w:rFonts w:hint="eastAsia"/>
          <w:kern w:val="0"/>
          <w:sz w:val="24"/>
        </w:rPr>
        <w:t>本项目采取干清粪工艺，废水主要包括鸡舍冲洗废水、职工生活污水、食堂废水。污水处理站采用“生物接触氧化</w:t>
      </w:r>
      <w:r>
        <w:rPr>
          <w:kern w:val="0"/>
          <w:sz w:val="24"/>
        </w:rPr>
        <w:t>+</w:t>
      </w:r>
      <w:r>
        <w:rPr>
          <w:rFonts w:hint="eastAsia"/>
          <w:kern w:val="0"/>
          <w:sz w:val="24"/>
        </w:rPr>
        <w:t>沉淀</w:t>
      </w:r>
      <w:r>
        <w:rPr>
          <w:kern w:val="0"/>
          <w:sz w:val="24"/>
        </w:rPr>
        <w:t>+</w:t>
      </w:r>
      <w:r>
        <w:rPr>
          <w:rFonts w:hint="eastAsia"/>
          <w:kern w:val="0"/>
          <w:sz w:val="24"/>
        </w:rPr>
        <w:t>消毒”工艺处理后，废水灌溉农田。运行期养殖废水排放量为0.46</w:t>
      </w:r>
      <w:r>
        <w:rPr>
          <w:kern w:val="0"/>
          <w:sz w:val="24"/>
        </w:rPr>
        <w:t>t/d</w:t>
      </w:r>
      <w:r>
        <w:rPr>
          <w:rFonts w:hint="eastAsia"/>
          <w:kern w:val="0"/>
          <w:sz w:val="24"/>
        </w:rPr>
        <w:t>，折算为千只鸡废水排放量为0.00033</w:t>
      </w:r>
      <w:r>
        <w:rPr>
          <w:kern w:val="0"/>
          <w:sz w:val="24"/>
        </w:rPr>
        <w:t>m</w:t>
      </w:r>
      <w:r>
        <w:rPr>
          <w:kern w:val="0"/>
          <w:sz w:val="24"/>
          <w:vertAlign w:val="superscript"/>
        </w:rPr>
        <w:t>3</w:t>
      </w:r>
      <w:r>
        <w:rPr>
          <w:kern w:val="0"/>
          <w:sz w:val="24"/>
        </w:rPr>
        <w:t>/d</w:t>
      </w:r>
      <w:r>
        <w:rPr>
          <w:rFonts w:hint="eastAsia"/>
          <w:kern w:val="0"/>
          <w:sz w:val="24"/>
        </w:rPr>
        <w:t>，满足《畜禽养殖业污染物排放标准》（</w:t>
      </w:r>
      <w:r>
        <w:rPr>
          <w:kern w:val="0"/>
          <w:sz w:val="24"/>
        </w:rPr>
        <w:t>GB18596-2001</w:t>
      </w:r>
      <w:r>
        <w:rPr>
          <w:rFonts w:hint="eastAsia"/>
          <w:kern w:val="0"/>
          <w:sz w:val="24"/>
        </w:rPr>
        <w:t>）中“集约化畜禽养殖业干清粪工艺最高允许排水量标准”（冬季</w:t>
      </w:r>
      <w:r>
        <w:rPr>
          <w:kern w:val="0"/>
          <w:sz w:val="24"/>
        </w:rPr>
        <w:t>0.5m</w:t>
      </w:r>
      <w:r>
        <w:rPr>
          <w:kern w:val="0"/>
          <w:sz w:val="24"/>
          <w:vertAlign w:val="superscript"/>
        </w:rPr>
        <w:t>3</w:t>
      </w:r>
      <w:r>
        <w:rPr>
          <w:kern w:val="0"/>
          <w:sz w:val="24"/>
        </w:rPr>
        <w:t>/</w:t>
      </w:r>
      <w:r>
        <w:rPr>
          <w:rFonts w:hint="eastAsia"/>
          <w:kern w:val="0"/>
          <w:sz w:val="24"/>
          <w:lang w:val="en-GB"/>
        </w:rPr>
        <w:t>千只</w:t>
      </w:r>
      <w:r>
        <w:rPr>
          <w:rFonts w:hint="eastAsia"/>
          <w:kern w:val="0"/>
          <w:sz w:val="24"/>
        </w:rPr>
        <w:t>﹒天，夏季</w:t>
      </w:r>
      <w:r>
        <w:rPr>
          <w:kern w:val="0"/>
          <w:sz w:val="24"/>
        </w:rPr>
        <w:t>0.7m</w:t>
      </w:r>
      <w:r>
        <w:rPr>
          <w:kern w:val="0"/>
          <w:sz w:val="24"/>
          <w:vertAlign w:val="superscript"/>
        </w:rPr>
        <w:t>3</w:t>
      </w:r>
      <w:r>
        <w:rPr>
          <w:kern w:val="0"/>
          <w:sz w:val="24"/>
        </w:rPr>
        <w:t>/</w:t>
      </w:r>
      <w:r>
        <w:rPr>
          <w:rFonts w:hint="eastAsia"/>
          <w:kern w:val="0"/>
          <w:sz w:val="24"/>
          <w:lang w:val="en-GB"/>
        </w:rPr>
        <w:t>千只</w:t>
      </w:r>
      <w:r>
        <w:rPr>
          <w:rFonts w:hint="eastAsia"/>
          <w:kern w:val="0"/>
          <w:sz w:val="24"/>
        </w:rPr>
        <w:t>﹒天）。</w:t>
      </w:r>
    </w:p>
    <w:p>
      <w:pPr>
        <w:tabs>
          <w:tab w:val="left" w:pos="2100"/>
        </w:tabs>
        <w:spacing w:line="480" w:lineRule="exact"/>
        <w:ind w:firstLine="480" w:firstLineChars="200"/>
        <w:rPr>
          <w:kern w:val="0"/>
          <w:sz w:val="24"/>
        </w:rPr>
      </w:pPr>
      <w:r>
        <w:rPr>
          <w:rFonts w:hint="eastAsia"/>
          <w:kern w:val="0"/>
          <w:sz w:val="24"/>
        </w:rPr>
        <w:t>（</w:t>
      </w:r>
      <w:r>
        <w:rPr>
          <w:kern w:val="0"/>
          <w:sz w:val="24"/>
        </w:rPr>
        <w:t>2</w:t>
      </w:r>
      <w:r>
        <w:rPr>
          <w:rFonts w:hint="eastAsia"/>
          <w:kern w:val="0"/>
          <w:sz w:val="24"/>
        </w:rPr>
        <w:t>）废水处理工艺分析</w:t>
      </w:r>
    </w:p>
    <w:p>
      <w:pPr>
        <w:tabs>
          <w:tab w:val="left" w:pos="2100"/>
        </w:tabs>
        <w:spacing w:line="480" w:lineRule="exact"/>
        <w:ind w:firstLine="480" w:firstLineChars="200"/>
        <w:rPr>
          <w:kern w:val="0"/>
          <w:sz w:val="24"/>
        </w:rPr>
      </w:pPr>
      <w:r>
        <w:rPr>
          <w:rFonts w:hint="eastAsia"/>
          <w:kern w:val="0"/>
          <w:sz w:val="24"/>
        </w:rPr>
        <w:t>根据该养殖场废水产生现状，拟建设处理能力为2</w:t>
      </w:r>
      <w:r>
        <w:rPr>
          <w:kern w:val="0"/>
          <w:sz w:val="24"/>
        </w:rPr>
        <w:t>m</w:t>
      </w:r>
      <w:r>
        <w:rPr>
          <w:kern w:val="0"/>
          <w:sz w:val="24"/>
          <w:vertAlign w:val="superscript"/>
        </w:rPr>
        <w:t>3</w:t>
      </w:r>
      <w:r>
        <w:rPr>
          <w:kern w:val="0"/>
          <w:sz w:val="24"/>
        </w:rPr>
        <w:t>/d</w:t>
      </w:r>
      <w:r>
        <w:rPr>
          <w:rFonts w:hint="eastAsia"/>
          <w:kern w:val="0"/>
          <w:sz w:val="24"/>
        </w:rPr>
        <w:t>的污水处理站，采用“生物接触氧化</w:t>
      </w:r>
      <w:r>
        <w:rPr>
          <w:kern w:val="0"/>
          <w:sz w:val="24"/>
        </w:rPr>
        <w:t>+</w:t>
      </w:r>
      <w:r>
        <w:rPr>
          <w:rFonts w:hint="eastAsia"/>
          <w:kern w:val="0"/>
          <w:sz w:val="24"/>
        </w:rPr>
        <w:t>沉淀</w:t>
      </w:r>
      <w:r>
        <w:rPr>
          <w:kern w:val="0"/>
          <w:sz w:val="24"/>
        </w:rPr>
        <w:t>+</w:t>
      </w:r>
      <w:r>
        <w:rPr>
          <w:rFonts w:hint="eastAsia"/>
          <w:kern w:val="0"/>
          <w:sz w:val="24"/>
        </w:rPr>
        <w:t>消毒”处理工艺，对产生的废水进行有效处理，灌溉于农田，综合利用，实现废水零排放目标。</w:t>
      </w:r>
    </w:p>
    <w:p>
      <w:pPr>
        <w:tabs>
          <w:tab w:val="left" w:pos="2100"/>
        </w:tabs>
        <w:spacing w:line="480" w:lineRule="exact"/>
        <w:ind w:firstLine="480" w:firstLineChars="200"/>
        <w:rPr>
          <w:kern w:val="0"/>
          <w:sz w:val="24"/>
        </w:rPr>
      </w:pPr>
      <w:r>
        <w:rPr>
          <w:rFonts w:hint="eastAsia"/>
          <w:kern w:val="0"/>
          <w:sz w:val="24"/>
        </w:rPr>
        <w:t>污水最大日产生量约为1.54</w:t>
      </w:r>
      <w:r>
        <w:rPr>
          <w:kern w:val="0"/>
          <w:sz w:val="24"/>
        </w:rPr>
        <w:t>m</w:t>
      </w:r>
      <w:r>
        <w:rPr>
          <w:kern w:val="0"/>
          <w:sz w:val="24"/>
          <w:vertAlign w:val="superscript"/>
        </w:rPr>
        <w:t>3</w:t>
      </w:r>
      <w:r>
        <w:rPr>
          <w:rFonts w:hint="eastAsia"/>
          <w:kern w:val="0"/>
          <w:sz w:val="24"/>
        </w:rPr>
        <w:t>/d，配套建设60</w:t>
      </w:r>
      <w:r>
        <w:rPr>
          <w:kern w:val="0"/>
          <w:sz w:val="24"/>
        </w:rPr>
        <w:t>m</w:t>
      </w:r>
      <w:r>
        <w:rPr>
          <w:kern w:val="0"/>
          <w:sz w:val="24"/>
          <w:vertAlign w:val="superscript"/>
        </w:rPr>
        <w:t>3</w:t>
      </w:r>
      <w:r>
        <w:rPr>
          <w:rFonts w:hint="eastAsia"/>
          <w:kern w:val="0"/>
          <w:sz w:val="24"/>
        </w:rPr>
        <w:t>污水储池及</w:t>
      </w:r>
      <w:r>
        <w:rPr>
          <w:kern w:val="0"/>
          <w:sz w:val="24"/>
        </w:rPr>
        <w:t>25</w:t>
      </w:r>
      <w:r>
        <w:rPr>
          <w:rFonts w:hint="eastAsia"/>
          <w:kern w:val="0"/>
          <w:sz w:val="24"/>
        </w:rPr>
        <w:t>0</w:t>
      </w:r>
      <w:r>
        <w:rPr>
          <w:kern w:val="0"/>
          <w:sz w:val="24"/>
        </w:rPr>
        <w:t>m</w:t>
      </w:r>
      <w:r>
        <w:rPr>
          <w:kern w:val="0"/>
          <w:sz w:val="24"/>
          <w:vertAlign w:val="superscript"/>
        </w:rPr>
        <w:t>3</w:t>
      </w:r>
      <w:r>
        <w:rPr>
          <w:rFonts w:hint="eastAsia"/>
          <w:kern w:val="0"/>
          <w:sz w:val="24"/>
        </w:rPr>
        <w:t>清水储池。污水处理站事故状态时，废水也暂存于污水储池内。在贮水池旁建设雨水排放沟和拦水坝，阻止雨水进入，防止废水外溢。</w:t>
      </w:r>
    </w:p>
    <w:p>
      <w:pPr>
        <w:tabs>
          <w:tab w:val="left" w:pos="2100"/>
        </w:tabs>
        <w:spacing w:line="480" w:lineRule="exact"/>
        <w:ind w:firstLine="480" w:firstLineChars="200"/>
        <w:rPr>
          <w:kern w:val="0"/>
          <w:sz w:val="24"/>
        </w:rPr>
      </w:pPr>
      <w:r>
        <w:rPr>
          <w:rFonts w:hint="eastAsia"/>
          <w:kern w:val="0"/>
          <w:sz w:val="24"/>
        </w:rPr>
        <w:t>对污水处理站各构筑物（调节池、生物接触氧化池、沉淀池、消毒池、贮水池）、事故池等进行防渗处理，防止对周围地下水造成影响。</w:t>
      </w:r>
    </w:p>
    <w:p>
      <w:pPr>
        <w:tabs>
          <w:tab w:val="left" w:pos="2100"/>
        </w:tabs>
        <w:spacing w:line="480" w:lineRule="exact"/>
        <w:ind w:firstLine="480" w:firstLineChars="200"/>
        <w:rPr>
          <w:kern w:val="0"/>
          <w:sz w:val="24"/>
        </w:rPr>
      </w:pPr>
      <w:r>
        <w:rPr>
          <w:rFonts w:hint="eastAsia"/>
          <w:kern w:val="0"/>
          <w:sz w:val="24"/>
        </w:rPr>
        <w:t>根据《畜禽养殖业污染防治技术规范》</w:t>
      </w:r>
      <w:r>
        <w:rPr>
          <w:kern w:val="0"/>
          <w:sz w:val="24"/>
        </w:rPr>
        <w:t>(HJ/T81-2001)</w:t>
      </w:r>
      <w:r>
        <w:rPr>
          <w:rFonts w:hint="eastAsia"/>
          <w:kern w:val="0"/>
          <w:sz w:val="24"/>
        </w:rPr>
        <w:t>有关要求，畜禽养殖过程中产生的废水经无害化处理后，施肥农田，充分利用。</w:t>
      </w:r>
    </w:p>
    <w:p>
      <w:pPr>
        <w:tabs>
          <w:tab w:val="left" w:pos="2100"/>
        </w:tabs>
        <w:spacing w:line="480" w:lineRule="exact"/>
        <w:ind w:firstLine="480" w:firstLineChars="200"/>
        <w:rPr>
          <w:kern w:val="0"/>
          <w:sz w:val="24"/>
        </w:rPr>
      </w:pPr>
      <w:r>
        <w:rPr>
          <w:rFonts w:hint="eastAsia"/>
          <w:kern w:val="0"/>
          <w:sz w:val="24"/>
        </w:rPr>
        <w:t>污水处理站具体工艺流程见下图</w:t>
      </w:r>
      <w:r>
        <w:rPr>
          <w:kern w:val="0"/>
          <w:sz w:val="24"/>
        </w:rPr>
        <w:t>6-2-1</w:t>
      </w:r>
      <w:r>
        <w:rPr>
          <w:rFonts w:hint="eastAsia"/>
          <w:kern w:val="0"/>
          <w:sz w:val="24"/>
        </w:rPr>
        <w:t>。</w:t>
      </w:r>
    </w:p>
    <w:p>
      <w:pPr>
        <w:tabs>
          <w:tab w:val="left" w:pos="2100"/>
        </w:tabs>
        <w:spacing w:line="480" w:lineRule="exact"/>
        <w:ind w:firstLine="480" w:firstLineChars="200"/>
        <w:rPr>
          <w:kern w:val="0"/>
          <w:sz w:val="24"/>
        </w:rPr>
      </w:pPr>
      <w:r>
        <w:rPr>
          <w:rFonts w:hint="eastAsia"/>
          <w:kern w:val="0"/>
          <w:sz w:val="24"/>
        </w:rPr>
        <w:t>①废水处理工艺简介：</w:t>
      </w:r>
    </w:p>
    <w:p>
      <w:pPr>
        <w:tabs>
          <w:tab w:val="left" w:pos="2100"/>
        </w:tabs>
        <w:spacing w:line="480" w:lineRule="exact"/>
        <w:ind w:firstLine="480" w:firstLineChars="200"/>
        <w:rPr>
          <w:kern w:val="0"/>
          <w:sz w:val="24"/>
        </w:rPr>
      </w:pPr>
      <w:r>
        <w:rPr>
          <w:rFonts w:hint="eastAsia"/>
          <w:kern w:val="0"/>
          <w:sz w:val="24"/>
        </w:rPr>
        <w:t>本项目污水处理站处理能力为2</w:t>
      </w:r>
      <w:r>
        <w:rPr>
          <w:kern w:val="0"/>
          <w:sz w:val="24"/>
        </w:rPr>
        <w:t>m</w:t>
      </w:r>
      <w:r>
        <w:rPr>
          <w:kern w:val="0"/>
          <w:sz w:val="24"/>
          <w:vertAlign w:val="superscript"/>
        </w:rPr>
        <w:t>3</w:t>
      </w:r>
      <w:r>
        <w:rPr>
          <w:kern w:val="0"/>
          <w:sz w:val="24"/>
        </w:rPr>
        <w:t>/d</w:t>
      </w:r>
      <w:r>
        <w:rPr>
          <w:rFonts w:hint="eastAsia"/>
          <w:kern w:val="0"/>
          <w:sz w:val="24"/>
        </w:rPr>
        <w:t>。主要核心工艺为“生物接触氧化</w:t>
      </w:r>
      <w:r>
        <w:rPr>
          <w:kern w:val="0"/>
          <w:sz w:val="24"/>
        </w:rPr>
        <w:t>+</w:t>
      </w:r>
      <w:r>
        <w:rPr>
          <w:rFonts w:hint="eastAsia"/>
          <w:kern w:val="0"/>
          <w:sz w:val="24"/>
        </w:rPr>
        <w:t>沉淀</w:t>
      </w:r>
      <w:r>
        <w:rPr>
          <w:kern w:val="0"/>
          <w:sz w:val="24"/>
        </w:rPr>
        <w:t>+</w:t>
      </w:r>
      <w:r>
        <w:rPr>
          <w:rFonts w:hint="eastAsia"/>
          <w:kern w:val="0"/>
          <w:sz w:val="24"/>
        </w:rPr>
        <w:t>消毒”。</w:t>
      </w:r>
    </w:p>
    <w:p>
      <w:pPr>
        <w:tabs>
          <w:tab w:val="left" w:pos="2100"/>
        </w:tabs>
        <w:spacing w:line="480" w:lineRule="exact"/>
        <w:ind w:firstLine="480" w:firstLineChars="200"/>
        <w:rPr>
          <w:kern w:val="0"/>
          <w:sz w:val="24"/>
        </w:rPr>
      </w:pPr>
      <w:r>
        <w:rPr>
          <w:rFonts w:hint="eastAsia"/>
          <w:kern w:val="0"/>
          <w:sz w:val="24"/>
        </w:rPr>
        <w:t>工艺流程：</w:t>
      </w:r>
    </w:p>
    <w:p>
      <w:pPr>
        <w:tabs>
          <w:tab w:val="left" w:pos="2100"/>
        </w:tabs>
        <w:rPr>
          <w:bCs/>
          <w:iCs/>
          <w:kern w:val="0"/>
          <w:sz w:val="24"/>
        </w:rPr>
      </w:pPr>
      <w:r>
        <w:rPr>
          <w:kern w:val="0"/>
          <w:sz w:val="24"/>
        </w:rPr>
        <w:object>
          <v:shape id="_x0000_i1030" o:spt="75" type="#_x0000_t75" style="height:116.25pt;width:405.75pt;" o:ole="t" filled="f" coordsize="21600,21600">
            <v:path/>
            <v:fill on="f" focussize="0,0"/>
            <v:stroke/>
            <v:imagedata r:id="rId44" o:title=""/>
            <o:lock v:ext="edit" aspectratio="t"/>
            <w10:wrap type="none"/>
            <w10:anchorlock/>
          </v:shape>
          <o:OLEObject Type="Embed" ProgID="Visio.Drawing.11" ShapeID="_x0000_i1030" DrawAspect="Content" ObjectID="_1468075730" r:id="rId43">
            <o:LockedField>false</o:LockedField>
          </o:OLEObject>
        </w:object>
      </w:r>
    </w:p>
    <w:p>
      <w:pPr>
        <w:tabs>
          <w:tab w:val="left" w:pos="2100"/>
        </w:tabs>
        <w:spacing w:line="480" w:lineRule="exact"/>
        <w:ind w:firstLine="480" w:firstLineChars="200"/>
        <w:jc w:val="center"/>
        <w:rPr>
          <w:rFonts w:ascii="黑体" w:hAnsi="黑体" w:eastAsia="黑体"/>
          <w:kern w:val="0"/>
          <w:sz w:val="24"/>
        </w:rPr>
      </w:pPr>
      <w:r>
        <w:rPr>
          <w:rFonts w:hint="eastAsia" w:ascii="黑体" w:hAnsi="黑体" w:eastAsia="黑体"/>
          <w:kern w:val="0"/>
          <w:sz w:val="24"/>
        </w:rPr>
        <w:t>图7.3-1  污水处理工艺流程</w:t>
      </w:r>
    </w:p>
    <w:p>
      <w:pPr>
        <w:tabs>
          <w:tab w:val="left" w:pos="2100"/>
        </w:tabs>
        <w:spacing w:line="480" w:lineRule="exact"/>
        <w:ind w:firstLine="480" w:firstLineChars="200"/>
        <w:rPr>
          <w:kern w:val="0"/>
          <w:sz w:val="24"/>
        </w:rPr>
      </w:pPr>
      <w:r>
        <w:rPr>
          <w:rFonts w:hint="eastAsia"/>
          <w:kern w:val="0"/>
          <w:sz w:val="24"/>
        </w:rPr>
        <w:fldChar w:fldCharType="begin"/>
      </w:r>
      <w:r>
        <w:rPr>
          <w:kern w:val="0"/>
          <w:sz w:val="24"/>
        </w:rPr>
        <w:instrText xml:space="preserve"> = 2 \* GB3 </w:instrText>
      </w:r>
      <w:r>
        <w:rPr>
          <w:rFonts w:hint="eastAsia"/>
          <w:kern w:val="0"/>
          <w:sz w:val="24"/>
        </w:rPr>
        <w:fldChar w:fldCharType="separate"/>
      </w:r>
      <w:r>
        <w:rPr>
          <w:rFonts w:hint="eastAsia"/>
          <w:kern w:val="0"/>
          <w:sz w:val="24"/>
        </w:rPr>
        <w:t>②</w:t>
      </w:r>
      <w:r>
        <w:rPr>
          <w:rFonts w:hint="eastAsia"/>
          <w:kern w:val="0"/>
          <w:sz w:val="24"/>
        </w:rPr>
        <w:fldChar w:fldCharType="end"/>
      </w:r>
      <w:r>
        <w:rPr>
          <w:rFonts w:hint="eastAsia"/>
          <w:kern w:val="0"/>
          <w:sz w:val="24"/>
        </w:rPr>
        <w:t>工艺设计说明：</w:t>
      </w:r>
    </w:p>
    <w:p>
      <w:pPr>
        <w:tabs>
          <w:tab w:val="left" w:pos="2100"/>
        </w:tabs>
        <w:spacing w:line="480" w:lineRule="exact"/>
        <w:ind w:firstLine="480" w:firstLineChars="200"/>
        <w:rPr>
          <w:kern w:val="0"/>
          <w:sz w:val="24"/>
        </w:rPr>
      </w:pPr>
      <w:r>
        <w:rPr>
          <w:rFonts w:hint="eastAsia"/>
          <w:kern w:val="0"/>
          <w:sz w:val="24"/>
        </w:rPr>
        <w:t>污水流入调节池，调节池内设置预曝气，充氧搅拌，使污水充分地均质均量，并有效地降解有机物和防止淤泥沉积。调节池的污水由污水泵将污水泵入污水处理站，该系统有接触氧化池、沉淀池、消毒池、污泥池等组成。污水流入接触氧化池，接触氧化池是一种以生物膜法为主，兼有活性污泥法的生物处理装置，通过回转式鼓风机提供氧源，在该装置中的有机物被微生物所吸附、降解，使水质得到净化。好氧池采用弹性型填料，该填料比表面积大，不易使生物膜结成球团，本身又具有气泡细，氧利用率高，布气均匀的特点。污水自流入沉淀池，沉淀出水入消毒池，池内投加二氧化氯消毒剂进行消毒杀菌，出水排入贮水池。</w:t>
      </w:r>
    </w:p>
    <w:p>
      <w:pPr>
        <w:tabs>
          <w:tab w:val="left" w:pos="2100"/>
        </w:tabs>
        <w:spacing w:line="480" w:lineRule="exact"/>
        <w:ind w:firstLine="480" w:firstLineChars="200"/>
        <w:rPr>
          <w:b/>
          <w:kern w:val="0"/>
          <w:sz w:val="24"/>
        </w:rPr>
      </w:pPr>
      <w:r>
        <w:rPr>
          <w:rFonts w:hint="eastAsia"/>
          <w:b/>
          <w:kern w:val="0"/>
          <w:sz w:val="24"/>
        </w:rPr>
        <w:t>消毒工艺比较</w:t>
      </w:r>
      <w:r>
        <w:rPr>
          <w:b/>
          <w:kern w:val="0"/>
          <w:sz w:val="24"/>
        </w:rPr>
        <w:t>:</w:t>
      </w:r>
    </w:p>
    <w:p>
      <w:pPr>
        <w:tabs>
          <w:tab w:val="left" w:pos="2100"/>
        </w:tabs>
        <w:spacing w:line="480" w:lineRule="exact"/>
        <w:ind w:firstLine="480" w:firstLineChars="200"/>
        <w:rPr>
          <w:kern w:val="0"/>
          <w:sz w:val="24"/>
        </w:rPr>
      </w:pPr>
      <w:r>
        <w:rPr>
          <w:rFonts w:hint="eastAsia"/>
          <w:kern w:val="0"/>
          <w:sz w:val="24"/>
        </w:rPr>
        <w:t>污水处理站常用的消毒工艺比较见下表。</w:t>
      </w:r>
    </w:p>
    <w:p>
      <w:pPr>
        <w:tabs>
          <w:tab w:val="left" w:pos="2100"/>
        </w:tabs>
        <w:spacing w:line="480" w:lineRule="exact"/>
        <w:jc w:val="center"/>
        <w:rPr>
          <w:rFonts w:ascii="黑体" w:hAnsi="黑体" w:eastAsia="黑体"/>
          <w:kern w:val="0"/>
          <w:sz w:val="24"/>
        </w:rPr>
      </w:pPr>
      <w:r>
        <w:rPr>
          <w:rFonts w:hint="eastAsia" w:ascii="黑体" w:hAnsi="黑体" w:eastAsia="黑体"/>
          <w:kern w:val="0"/>
          <w:sz w:val="24"/>
        </w:rPr>
        <w:t>表7.3-2  消毒工艺比选</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12"/>
        <w:gridCol w:w="1812"/>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消毒工艺</w:t>
            </w:r>
          </w:p>
        </w:tc>
        <w:tc>
          <w:tcPr>
            <w:tcW w:w="1000" w:type="pct"/>
          </w:tcPr>
          <w:p>
            <w:pPr>
              <w:tabs>
                <w:tab w:val="left" w:pos="2100"/>
              </w:tabs>
              <w:jc w:val="center"/>
              <w:rPr>
                <w:kern w:val="0"/>
                <w:szCs w:val="21"/>
              </w:rPr>
            </w:pPr>
            <w:r>
              <w:rPr>
                <w:rFonts w:hint="eastAsia"/>
                <w:kern w:val="0"/>
                <w:szCs w:val="21"/>
              </w:rPr>
              <w:t>紫外线消毒</w:t>
            </w:r>
          </w:p>
        </w:tc>
        <w:tc>
          <w:tcPr>
            <w:tcW w:w="1000" w:type="pct"/>
          </w:tcPr>
          <w:p>
            <w:pPr>
              <w:tabs>
                <w:tab w:val="left" w:pos="2100"/>
              </w:tabs>
              <w:jc w:val="center"/>
              <w:rPr>
                <w:kern w:val="0"/>
                <w:szCs w:val="21"/>
              </w:rPr>
            </w:pPr>
            <w:r>
              <w:rPr>
                <w:rFonts w:hint="eastAsia"/>
                <w:kern w:val="0"/>
                <w:szCs w:val="21"/>
              </w:rPr>
              <w:t>液氯消毒</w:t>
            </w:r>
          </w:p>
        </w:tc>
        <w:tc>
          <w:tcPr>
            <w:tcW w:w="1000" w:type="pct"/>
          </w:tcPr>
          <w:p>
            <w:pPr>
              <w:tabs>
                <w:tab w:val="left" w:pos="2100"/>
              </w:tabs>
              <w:jc w:val="center"/>
              <w:rPr>
                <w:kern w:val="0"/>
                <w:szCs w:val="21"/>
              </w:rPr>
            </w:pPr>
            <w:r>
              <w:rPr>
                <w:rFonts w:hint="eastAsia"/>
                <w:kern w:val="0"/>
                <w:szCs w:val="21"/>
              </w:rPr>
              <w:t>二氧化氯消毒</w:t>
            </w:r>
          </w:p>
        </w:tc>
        <w:tc>
          <w:tcPr>
            <w:tcW w:w="1000" w:type="pct"/>
          </w:tcPr>
          <w:p>
            <w:pPr>
              <w:tabs>
                <w:tab w:val="left" w:pos="2100"/>
              </w:tabs>
              <w:jc w:val="center"/>
              <w:rPr>
                <w:kern w:val="0"/>
                <w:szCs w:val="21"/>
              </w:rPr>
            </w:pPr>
            <w:r>
              <w:rPr>
                <w:rFonts w:hint="eastAsia"/>
                <w:kern w:val="0"/>
                <w:szCs w:val="21"/>
              </w:rPr>
              <w:t>臭氧消毒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处理接触时间</w:t>
            </w:r>
          </w:p>
        </w:tc>
        <w:tc>
          <w:tcPr>
            <w:tcW w:w="1000" w:type="pct"/>
          </w:tcPr>
          <w:p>
            <w:pPr>
              <w:tabs>
                <w:tab w:val="left" w:pos="2100"/>
              </w:tabs>
              <w:jc w:val="center"/>
              <w:rPr>
                <w:kern w:val="0"/>
                <w:szCs w:val="21"/>
              </w:rPr>
            </w:pPr>
            <w:r>
              <w:rPr>
                <w:rFonts w:hint="eastAsia"/>
                <w:kern w:val="0"/>
                <w:szCs w:val="21"/>
              </w:rPr>
              <w:t>最少</w:t>
            </w:r>
          </w:p>
        </w:tc>
        <w:tc>
          <w:tcPr>
            <w:tcW w:w="1000" w:type="pct"/>
          </w:tcPr>
          <w:p>
            <w:pPr>
              <w:tabs>
                <w:tab w:val="left" w:pos="2100"/>
              </w:tabs>
              <w:jc w:val="center"/>
              <w:rPr>
                <w:kern w:val="0"/>
                <w:szCs w:val="21"/>
              </w:rPr>
            </w:pPr>
            <w:r>
              <w:rPr>
                <w:kern w:val="0"/>
                <w:szCs w:val="21"/>
              </w:rPr>
              <w:t>10min-30min</w:t>
            </w:r>
          </w:p>
        </w:tc>
        <w:tc>
          <w:tcPr>
            <w:tcW w:w="1000" w:type="pct"/>
          </w:tcPr>
          <w:p>
            <w:pPr>
              <w:tabs>
                <w:tab w:val="left" w:pos="2100"/>
              </w:tabs>
              <w:jc w:val="center"/>
              <w:rPr>
                <w:kern w:val="0"/>
                <w:szCs w:val="21"/>
              </w:rPr>
            </w:pPr>
            <w:r>
              <w:rPr>
                <w:rFonts w:hint="eastAsia"/>
                <w:kern w:val="0"/>
                <w:szCs w:val="21"/>
              </w:rPr>
              <w:t>略短于液氧消毒</w:t>
            </w:r>
          </w:p>
        </w:tc>
        <w:tc>
          <w:tcPr>
            <w:tcW w:w="1000" w:type="pct"/>
          </w:tcPr>
          <w:p>
            <w:pPr>
              <w:tabs>
                <w:tab w:val="left" w:pos="2100"/>
              </w:tabs>
              <w:jc w:val="center"/>
              <w:rPr>
                <w:kern w:val="0"/>
                <w:szCs w:val="21"/>
              </w:rPr>
            </w:pPr>
            <w:r>
              <w:rPr>
                <w:kern w:val="0"/>
                <w:szCs w:val="21"/>
              </w:rPr>
              <w:t>5min-10min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运行成本</w:t>
            </w:r>
          </w:p>
        </w:tc>
        <w:tc>
          <w:tcPr>
            <w:tcW w:w="1000" w:type="pct"/>
          </w:tcPr>
          <w:p>
            <w:pPr>
              <w:tabs>
                <w:tab w:val="left" w:pos="2100"/>
              </w:tabs>
              <w:jc w:val="center"/>
              <w:rPr>
                <w:kern w:val="0"/>
                <w:szCs w:val="21"/>
              </w:rPr>
            </w:pPr>
            <w:r>
              <w:rPr>
                <w:rFonts w:hint="eastAsia"/>
                <w:kern w:val="0"/>
                <w:szCs w:val="21"/>
              </w:rPr>
              <w:t>一般</w:t>
            </w:r>
          </w:p>
        </w:tc>
        <w:tc>
          <w:tcPr>
            <w:tcW w:w="1000" w:type="pct"/>
          </w:tcPr>
          <w:p>
            <w:pPr>
              <w:tabs>
                <w:tab w:val="left" w:pos="2100"/>
              </w:tabs>
              <w:jc w:val="center"/>
              <w:rPr>
                <w:kern w:val="0"/>
                <w:szCs w:val="21"/>
              </w:rPr>
            </w:pPr>
            <w:r>
              <w:rPr>
                <w:rFonts w:hint="eastAsia"/>
                <w:kern w:val="0"/>
                <w:szCs w:val="21"/>
              </w:rPr>
              <w:t>较低</w:t>
            </w:r>
          </w:p>
        </w:tc>
        <w:tc>
          <w:tcPr>
            <w:tcW w:w="1000" w:type="pct"/>
          </w:tcPr>
          <w:p>
            <w:pPr>
              <w:tabs>
                <w:tab w:val="left" w:pos="2100"/>
              </w:tabs>
              <w:jc w:val="center"/>
              <w:rPr>
                <w:kern w:val="0"/>
                <w:szCs w:val="21"/>
              </w:rPr>
            </w:pPr>
            <w:r>
              <w:rPr>
                <w:rFonts w:hint="eastAsia"/>
                <w:kern w:val="0"/>
                <w:szCs w:val="21"/>
              </w:rPr>
              <w:t>较高</w:t>
            </w:r>
          </w:p>
        </w:tc>
        <w:tc>
          <w:tcPr>
            <w:tcW w:w="1000" w:type="pct"/>
          </w:tcPr>
          <w:p>
            <w:pPr>
              <w:tabs>
                <w:tab w:val="left" w:pos="2100"/>
              </w:tabs>
              <w:jc w:val="center"/>
              <w:rPr>
                <w:kern w:val="0"/>
                <w:szCs w:val="21"/>
              </w:rPr>
            </w:pPr>
            <w:r>
              <w:rPr>
                <w:rFonts w:hint="eastAsia"/>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制造成本</w:t>
            </w:r>
          </w:p>
        </w:tc>
        <w:tc>
          <w:tcPr>
            <w:tcW w:w="1000" w:type="pct"/>
          </w:tcPr>
          <w:p>
            <w:pPr>
              <w:tabs>
                <w:tab w:val="left" w:pos="2100"/>
              </w:tabs>
              <w:jc w:val="center"/>
              <w:rPr>
                <w:kern w:val="0"/>
                <w:szCs w:val="21"/>
              </w:rPr>
            </w:pPr>
            <w:r>
              <w:rPr>
                <w:rFonts w:hint="eastAsia"/>
                <w:kern w:val="0"/>
                <w:szCs w:val="21"/>
              </w:rPr>
              <w:t>主要消耗电费</w:t>
            </w:r>
          </w:p>
        </w:tc>
        <w:tc>
          <w:tcPr>
            <w:tcW w:w="1000" w:type="pct"/>
          </w:tcPr>
          <w:p>
            <w:pPr>
              <w:tabs>
                <w:tab w:val="left" w:pos="2100"/>
              </w:tabs>
              <w:jc w:val="center"/>
              <w:rPr>
                <w:kern w:val="0"/>
                <w:szCs w:val="21"/>
              </w:rPr>
            </w:pPr>
            <w:r>
              <w:rPr>
                <w:rFonts w:hint="eastAsia"/>
                <w:kern w:val="0"/>
                <w:szCs w:val="21"/>
              </w:rPr>
              <w:t>试剂成本低</w:t>
            </w:r>
          </w:p>
        </w:tc>
        <w:tc>
          <w:tcPr>
            <w:tcW w:w="1000" w:type="pct"/>
          </w:tcPr>
          <w:p>
            <w:pPr>
              <w:tabs>
                <w:tab w:val="left" w:pos="2100"/>
              </w:tabs>
              <w:jc w:val="center"/>
              <w:rPr>
                <w:kern w:val="0"/>
                <w:szCs w:val="21"/>
              </w:rPr>
            </w:pPr>
            <w:r>
              <w:rPr>
                <w:rFonts w:hint="eastAsia"/>
                <w:kern w:val="0"/>
                <w:szCs w:val="21"/>
              </w:rPr>
              <w:t>较高</w:t>
            </w:r>
          </w:p>
        </w:tc>
        <w:tc>
          <w:tcPr>
            <w:tcW w:w="1000" w:type="pct"/>
          </w:tcPr>
          <w:p>
            <w:pPr>
              <w:tabs>
                <w:tab w:val="left" w:pos="2100"/>
              </w:tabs>
              <w:jc w:val="center"/>
              <w:rPr>
                <w:kern w:val="0"/>
                <w:szCs w:val="21"/>
              </w:rPr>
            </w:pPr>
            <w:r>
              <w:rPr>
                <w:rFonts w:hint="eastAsia"/>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设备投资</w:t>
            </w:r>
          </w:p>
        </w:tc>
        <w:tc>
          <w:tcPr>
            <w:tcW w:w="1000" w:type="pct"/>
          </w:tcPr>
          <w:p>
            <w:pPr>
              <w:tabs>
                <w:tab w:val="left" w:pos="2100"/>
              </w:tabs>
              <w:jc w:val="center"/>
              <w:rPr>
                <w:kern w:val="0"/>
                <w:szCs w:val="21"/>
              </w:rPr>
            </w:pPr>
            <w:r>
              <w:rPr>
                <w:rFonts w:hint="eastAsia"/>
                <w:kern w:val="0"/>
                <w:szCs w:val="21"/>
              </w:rPr>
              <w:t>高于臭氧消毒</w:t>
            </w:r>
          </w:p>
        </w:tc>
        <w:tc>
          <w:tcPr>
            <w:tcW w:w="1000" w:type="pct"/>
          </w:tcPr>
          <w:p>
            <w:pPr>
              <w:tabs>
                <w:tab w:val="left" w:pos="2100"/>
              </w:tabs>
              <w:jc w:val="center"/>
              <w:rPr>
                <w:kern w:val="0"/>
                <w:szCs w:val="21"/>
              </w:rPr>
            </w:pPr>
            <w:r>
              <w:rPr>
                <w:rFonts w:hint="eastAsia"/>
                <w:kern w:val="0"/>
                <w:szCs w:val="21"/>
              </w:rPr>
              <w:t>最低</w:t>
            </w:r>
          </w:p>
        </w:tc>
        <w:tc>
          <w:tcPr>
            <w:tcW w:w="1000" w:type="pct"/>
          </w:tcPr>
          <w:p>
            <w:pPr>
              <w:tabs>
                <w:tab w:val="left" w:pos="2100"/>
              </w:tabs>
              <w:jc w:val="center"/>
              <w:rPr>
                <w:kern w:val="0"/>
                <w:szCs w:val="21"/>
              </w:rPr>
            </w:pPr>
            <w:r>
              <w:rPr>
                <w:rFonts w:hint="eastAsia"/>
                <w:kern w:val="0"/>
                <w:szCs w:val="21"/>
              </w:rPr>
              <w:t>略高于液氯消毒</w:t>
            </w:r>
          </w:p>
        </w:tc>
        <w:tc>
          <w:tcPr>
            <w:tcW w:w="1000" w:type="pct"/>
          </w:tcPr>
          <w:p>
            <w:pPr>
              <w:tabs>
                <w:tab w:val="left" w:pos="2100"/>
              </w:tabs>
              <w:jc w:val="center"/>
              <w:rPr>
                <w:kern w:val="0"/>
                <w:szCs w:val="21"/>
              </w:rPr>
            </w:pPr>
            <w:r>
              <w:rPr>
                <w:rFonts w:hint="eastAsia"/>
                <w:kern w:val="0"/>
                <w:szCs w:val="21"/>
              </w:rPr>
              <w:t>液氯消毒的</w:t>
            </w:r>
            <w:r>
              <w:rPr>
                <w:kern w:val="0"/>
                <w:szCs w:val="21"/>
              </w:rPr>
              <w:t>5</w:t>
            </w:r>
            <w:r>
              <w:rPr>
                <w:rFonts w:hint="eastAsia"/>
                <w:kern w:val="0"/>
                <w:szCs w:val="21"/>
              </w:rPr>
              <w:t>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运转要求</w:t>
            </w:r>
          </w:p>
        </w:tc>
        <w:tc>
          <w:tcPr>
            <w:tcW w:w="1000" w:type="pct"/>
          </w:tcPr>
          <w:p>
            <w:pPr>
              <w:tabs>
                <w:tab w:val="left" w:pos="2100"/>
              </w:tabs>
              <w:jc w:val="center"/>
              <w:rPr>
                <w:kern w:val="0"/>
                <w:szCs w:val="21"/>
              </w:rPr>
            </w:pPr>
            <w:r>
              <w:rPr>
                <w:rFonts w:hint="eastAsia"/>
                <w:kern w:val="0"/>
                <w:szCs w:val="21"/>
              </w:rPr>
              <w:t>设备操作简单</w:t>
            </w:r>
          </w:p>
        </w:tc>
        <w:tc>
          <w:tcPr>
            <w:tcW w:w="1000" w:type="pct"/>
          </w:tcPr>
          <w:p>
            <w:pPr>
              <w:tabs>
                <w:tab w:val="left" w:pos="2100"/>
              </w:tabs>
              <w:jc w:val="center"/>
              <w:rPr>
                <w:kern w:val="0"/>
                <w:szCs w:val="21"/>
              </w:rPr>
            </w:pPr>
            <w:r>
              <w:rPr>
                <w:rFonts w:hint="eastAsia"/>
                <w:kern w:val="0"/>
                <w:szCs w:val="21"/>
              </w:rPr>
              <w:t>操作简单</w:t>
            </w:r>
          </w:p>
        </w:tc>
        <w:tc>
          <w:tcPr>
            <w:tcW w:w="1000" w:type="pct"/>
          </w:tcPr>
          <w:p>
            <w:pPr>
              <w:tabs>
                <w:tab w:val="left" w:pos="2100"/>
              </w:tabs>
              <w:jc w:val="center"/>
              <w:rPr>
                <w:kern w:val="0"/>
                <w:szCs w:val="21"/>
              </w:rPr>
            </w:pPr>
            <w:r>
              <w:rPr>
                <w:rFonts w:hint="eastAsia"/>
                <w:kern w:val="0"/>
                <w:szCs w:val="21"/>
              </w:rPr>
              <w:t>较高</w:t>
            </w:r>
          </w:p>
        </w:tc>
        <w:tc>
          <w:tcPr>
            <w:tcW w:w="1000" w:type="pct"/>
          </w:tcPr>
          <w:p>
            <w:pPr>
              <w:tabs>
                <w:tab w:val="left" w:pos="2100"/>
              </w:tabs>
              <w:jc w:val="center"/>
              <w:rPr>
                <w:kern w:val="0"/>
                <w:szCs w:val="21"/>
              </w:rPr>
            </w:pPr>
            <w:r>
              <w:rPr>
                <w:rFonts w:hint="eastAsia"/>
                <w:kern w:val="0"/>
                <w:szCs w:val="21"/>
              </w:rPr>
              <w:t>消毒设备复杂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杀灭细菌作用</w:t>
            </w:r>
          </w:p>
        </w:tc>
        <w:tc>
          <w:tcPr>
            <w:tcW w:w="1000" w:type="pct"/>
          </w:tcPr>
          <w:p>
            <w:pPr>
              <w:tabs>
                <w:tab w:val="left" w:pos="2100"/>
              </w:tabs>
              <w:jc w:val="center"/>
              <w:rPr>
                <w:kern w:val="0"/>
                <w:szCs w:val="21"/>
              </w:rPr>
            </w:pPr>
            <w:r>
              <w:rPr>
                <w:rFonts w:hint="eastAsia"/>
                <w:kern w:val="0"/>
                <w:szCs w:val="21"/>
              </w:rPr>
              <w:t>有</w:t>
            </w:r>
          </w:p>
        </w:tc>
        <w:tc>
          <w:tcPr>
            <w:tcW w:w="1000" w:type="pct"/>
          </w:tcPr>
          <w:p>
            <w:pPr>
              <w:tabs>
                <w:tab w:val="left" w:pos="2100"/>
              </w:tabs>
              <w:jc w:val="center"/>
              <w:rPr>
                <w:kern w:val="0"/>
                <w:szCs w:val="21"/>
              </w:rPr>
            </w:pPr>
            <w:r>
              <w:rPr>
                <w:rFonts w:hint="eastAsia"/>
                <w:kern w:val="0"/>
                <w:szCs w:val="21"/>
              </w:rPr>
              <w:t>有</w:t>
            </w:r>
          </w:p>
        </w:tc>
        <w:tc>
          <w:tcPr>
            <w:tcW w:w="1000" w:type="pct"/>
          </w:tcPr>
          <w:p>
            <w:pPr>
              <w:tabs>
                <w:tab w:val="left" w:pos="2100"/>
              </w:tabs>
              <w:jc w:val="center"/>
              <w:rPr>
                <w:kern w:val="0"/>
                <w:szCs w:val="21"/>
              </w:rPr>
            </w:pPr>
            <w:r>
              <w:rPr>
                <w:rFonts w:hint="eastAsia"/>
                <w:kern w:val="0"/>
                <w:szCs w:val="21"/>
              </w:rPr>
              <w:t>有</w:t>
            </w:r>
          </w:p>
        </w:tc>
        <w:tc>
          <w:tcPr>
            <w:tcW w:w="1000" w:type="pct"/>
          </w:tcPr>
          <w:p>
            <w:pPr>
              <w:tabs>
                <w:tab w:val="left" w:pos="2100"/>
              </w:tabs>
              <w:jc w:val="center"/>
              <w:rPr>
                <w:kern w:val="0"/>
                <w:szCs w:val="21"/>
              </w:rPr>
            </w:pPr>
            <w:r>
              <w:rPr>
                <w:rFonts w:hint="eastAsia"/>
                <w:kern w:val="0"/>
                <w:szCs w:val="21"/>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杀灭病毒作用</w:t>
            </w:r>
          </w:p>
        </w:tc>
        <w:tc>
          <w:tcPr>
            <w:tcW w:w="1000" w:type="pct"/>
          </w:tcPr>
          <w:p>
            <w:pPr>
              <w:tabs>
                <w:tab w:val="left" w:pos="2100"/>
              </w:tabs>
              <w:jc w:val="center"/>
              <w:rPr>
                <w:kern w:val="0"/>
                <w:szCs w:val="21"/>
              </w:rPr>
            </w:pPr>
            <w:r>
              <w:rPr>
                <w:rFonts w:hint="eastAsia"/>
                <w:kern w:val="0"/>
                <w:szCs w:val="21"/>
              </w:rPr>
              <w:t>少许</w:t>
            </w:r>
          </w:p>
        </w:tc>
        <w:tc>
          <w:tcPr>
            <w:tcW w:w="1000" w:type="pct"/>
          </w:tcPr>
          <w:p>
            <w:pPr>
              <w:tabs>
                <w:tab w:val="left" w:pos="2100"/>
              </w:tabs>
              <w:jc w:val="center"/>
              <w:rPr>
                <w:kern w:val="0"/>
                <w:szCs w:val="21"/>
              </w:rPr>
            </w:pPr>
            <w:r>
              <w:rPr>
                <w:rFonts w:hint="eastAsia"/>
                <w:kern w:val="0"/>
                <w:szCs w:val="21"/>
              </w:rPr>
              <w:t>少许</w:t>
            </w:r>
          </w:p>
        </w:tc>
        <w:tc>
          <w:tcPr>
            <w:tcW w:w="1000" w:type="pct"/>
          </w:tcPr>
          <w:p>
            <w:pPr>
              <w:tabs>
                <w:tab w:val="left" w:pos="2100"/>
              </w:tabs>
              <w:jc w:val="center"/>
              <w:rPr>
                <w:kern w:val="0"/>
                <w:szCs w:val="21"/>
              </w:rPr>
            </w:pPr>
            <w:r>
              <w:rPr>
                <w:rFonts w:hint="eastAsia"/>
                <w:kern w:val="0"/>
                <w:szCs w:val="21"/>
              </w:rPr>
              <w:t>少许</w:t>
            </w:r>
          </w:p>
        </w:tc>
        <w:tc>
          <w:tcPr>
            <w:tcW w:w="1000" w:type="pct"/>
          </w:tcPr>
          <w:p>
            <w:pPr>
              <w:tabs>
                <w:tab w:val="left" w:pos="2100"/>
              </w:tabs>
              <w:jc w:val="center"/>
              <w:rPr>
                <w:kern w:val="0"/>
                <w:szCs w:val="21"/>
              </w:rPr>
            </w:pPr>
            <w:r>
              <w:rPr>
                <w:rFonts w:hint="eastAsia"/>
                <w:kern w:val="0"/>
                <w:szCs w:val="21"/>
              </w:rPr>
              <w:t>效果最好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副产物</w:t>
            </w:r>
          </w:p>
        </w:tc>
        <w:tc>
          <w:tcPr>
            <w:tcW w:w="1000" w:type="pct"/>
          </w:tcPr>
          <w:p>
            <w:pPr>
              <w:tabs>
                <w:tab w:val="left" w:pos="2100"/>
              </w:tabs>
              <w:jc w:val="center"/>
              <w:rPr>
                <w:kern w:val="0"/>
                <w:szCs w:val="21"/>
              </w:rPr>
            </w:pPr>
            <w:r>
              <w:rPr>
                <w:rFonts w:hint="eastAsia"/>
                <w:kern w:val="0"/>
                <w:szCs w:val="21"/>
              </w:rPr>
              <w:t>无</w:t>
            </w:r>
          </w:p>
        </w:tc>
        <w:tc>
          <w:tcPr>
            <w:tcW w:w="1000" w:type="pct"/>
          </w:tcPr>
          <w:p>
            <w:pPr>
              <w:tabs>
                <w:tab w:val="left" w:pos="2100"/>
              </w:tabs>
              <w:jc w:val="center"/>
              <w:rPr>
                <w:kern w:val="0"/>
                <w:szCs w:val="21"/>
              </w:rPr>
            </w:pPr>
            <w:r>
              <w:rPr>
                <w:rFonts w:hint="eastAsia"/>
                <w:kern w:val="0"/>
                <w:szCs w:val="21"/>
              </w:rPr>
              <w:t>三氯甲院，氯仿等致癌物</w:t>
            </w:r>
          </w:p>
        </w:tc>
        <w:tc>
          <w:tcPr>
            <w:tcW w:w="1000" w:type="pct"/>
          </w:tcPr>
          <w:p>
            <w:pPr>
              <w:tabs>
                <w:tab w:val="left" w:pos="2100"/>
              </w:tabs>
              <w:jc w:val="center"/>
              <w:rPr>
                <w:kern w:val="0"/>
                <w:szCs w:val="21"/>
              </w:rPr>
            </w:pPr>
            <w:r>
              <w:rPr>
                <w:kern w:val="0"/>
                <w:szCs w:val="21"/>
              </w:rPr>
              <w:t>ClO</w:t>
            </w:r>
            <w:r>
              <w:rPr>
                <w:kern w:val="0"/>
                <w:szCs w:val="21"/>
                <w:vertAlign w:val="subscript"/>
              </w:rPr>
              <w:t>2</w:t>
            </w:r>
            <w:r>
              <w:rPr>
                <w:kern w:val="0"/>
                <w:szCs w:val="21"/>
                <w:vertAlign w:val="superscript"/>
              </w:rPr>
              <w:t>-</w:t>
            </w:r>
            <w:r>
              <w:rPr>
                <w:kern w:val="0"/>
                <w:szCs w:val="21"/>
                <w:vertAlign w:val="subscript"/>
              </w:rPr>
              <w:t>\</w:t>
            </w:r>
            <w:r>
              <w:rPr>
                <w:kern w:val="0"/>
                <w:szCs w:val="21"/>
              </w:rPr>
              <w:t xml:space="preserve"> ClO</w:t>
            </w:r>
            <w:r>
              <w:rPr>
                <w:kern w:val="0"/>
                <w:szCs w:val="21"/>
                <w:vertAlign w:val="subscript"/>
              </w:rPr>
              <w:t>3</w:t>
            </w:r>
            <w:r>
              <w:rPr>
                <w:kern w:val="0"/>
                <w:szCs w:val="21"/>
                <w:vertAlign w:val="superscript"/>
              </w:rPr>
              <w:t>-</w:t>
            </w:r>
          </w:p>
        </w:tc>
        <w:tc>
          <w:tcPr>
            <w:tcW w:w="1000" w:type="pct"/>
          </w:tcPr>
          <w:p>
            <w:pPr>
              <w:tabs>
                <w:tab w:val="left" w:pos="2100"/>
              </w:tabs>
              <w:jc w:val="center"/>
              <w:rPr>
                <w:kern w:val="0"/>
                <w:szCs w:val="21"/>
              </w:rPr>
            </w:pPr>
            <w:r>
              <w:rPr>
                <w:rFonts w:hint="eastAsia"/>
                <w:kern w:val="0"/>
                <w:szCs w:val="21"/>
              </w:rPr>
              <w:t>醛类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消毒快慢</w:t>
            </w:r>
          </w:p>
        </w:tc>
        <w:tc>
          <w:tcPr>
            <w:tcW w:w="1000" w:type="pct"/>
          </w:tcPr>
          <w:p>
            <w:pPr>
              <w:tabs>
                <w:tab w:val="left" w:pos="2100"/>
              </w:tabs>
              <w:jc w:val="center"/>
              <w:rPr>
                <w:kern w:val="0"/>
                <w:szCs w:val="21"/>
              </w:rPr>
            </w:pPr>
            <w:r>
              <w:rPr>
                <w:rFonts w:hint="eastAsia"/>
                <w:kern w:val="0"/>
                <w:szCs w:val="21"/>
              </w:rPr>
              <w:t>速度快</w:t>
            </w:r>
          </w:p>
        </w:tc>
        <w:tc>
          <w:tcPr>
            <w:tcW w:w="1000" w:type="pct"/>
          </w:tcPr>
          <w:p>
            <w:pPr>
              <w:tabs>
                <w:tab w:val="left" w:pos="2100"/>
              </w:tabs>
              <w:jc w:val="center"/>
              <w:rPr>
                <w:kern w:val="0"/>
                <w:szCs w:val="21"/>
              </w:rPr>
            </w:pPr>
            <w:r>
              <w:rPr>
                <w:rFonts w:hint="eastAsia"/>
                <w:kern w:val="0"/>
                <w:szCs w:val="21"/>
              </w:rPr>
              <w:t>反应慢、接触时间长</w:t>
            </w:r>
          </w:p>
        </w:tc>
        <w:tc>
          <w:tcPr>
            <w:tcW w:w="1000" w:type="pct"/>
          </w:tcPr>
          <w:p>
            <w:pPr>
              <w:tabs>
                <w:tab w:val="left" w:pos="2100"/>
              </w:tabs>
              <w:jc w:val="center"/>
              <w:rPr>
                <w:kern w:val="0"/>
                <w:szCs w:val="21"/>
              </w:rPr>
            </w:pPr>
            <w:r>
              <w:rPr>
                <w:rFonts w:hint="eastAsia"/>
                <w:kern w:val="0"/>
                <w:szCs w:val="21"/>
              </w:rPr>
              <w:t>速度快</w:t>
            </w:r>
          </w:p>
        </w:tc>
        <w:tc>
          <w:tcPr>
            <w:tcW w:w="1000" w:type="pct"/>
          </w:tcPr>
          <w:p>
            <w:pPr>
              <w:tabs>
                <w:tab w:val="left" w:pos="2100"/>
              </w:tabs>
              <w:jc w:val="center"/>
              <w:rPr>
                <w:kern w:val="0"/>
                <w:szCs w:val="21"/>
              </w:rPr>
            </w:pPr>
            <w:r>
              <w:rPr>
                <w:rFonts w:hint="eastAsia"/>
                <w:kern w:val="0"/>
                <w:szCs w:val="21"/>
              </w:rPr>
              <w:t>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持续性</w:t>
            </w:r>
          </w:p>
        </w:tc>
        <w:tc>
          <w:tcPr>
            <w:tcW w:w="1000" w:type="pct"/>
          </w:tcPr>
          <w:p>
            <w:pPr>
              <w:tabs>
                <w:tab w:val="left" w:pos="2100"/>
              </w:tabs>
              <w:jc w:val="center"/>
              <w:rPr>
                <w:kern w:val="0"/>
                <w:szCs w:val="21"/>
              </w:rPr>
            </w:pPr>
            <w:r>
              <w:rPr>
                <w:rFonts w:hint="eastAsia"/>
                <w:kern w:val="0"/>
                <w:szCs w:val="21"/>
              </w:rPr>
              <w:t>无剩余消毒性</w:t>
            </w:r>
          </w:p>
        </w:tc>
        <w:tc>
          <w:tcPr>
            <w:tcW w:w="1000" w:type="pct"/>
          </w:tcPr>
          <w:p>
            <w:pPr>
              <w:tabs>
                <w:tab w:val="left" w:pos="2100"/>
              </w:tabs>
              <w:jc w:val="center"/>
              <w:rPr>
                <w:kern w:val="0"/>
                <w:szCs w:val="21"/>
              </w:rPr>
            </w:pPr>
            <w:r>
              <w:rPr>
                <w:rFonts w:hint="eastAsia"/>
                <w:kern w:val="0"/>
                <w:szCs w:val="21"/>
              </w:rPr>
              <w:t>余氯持续消毒</w:t>
            </w:r>
          </w:p>
        </w:tc>
        <w:tc>
          <w:tcPr>
            <w:tcW w:w="1000" w:type="pct"/>
          </w:tcPr>
          <w:p>
            <w:pPr>
              <w:tabs>
                <w:tab w:val="left" w:pos="2100"/>
              </w:tabs>
              <w:jc w:val="center"/>
              <w:rPr>
                <w:kern w:val="0"/>
                <w:szCs w:val="21"/>
              </w:rPr>
            </w:pPr>
            <w:r>
              <w:rPr>
                <w:rFonts w:hint="eastAsia"/>
                <w:kern w:val="0"/>
                <w:szCs w:val="21"/>
              </w:rPr>
              <w:t>长</w:t>
            </w:r>
          </w:p>
        </w:tc>
        <w:tc>
          <w:tcPr>
            <w:tcW w:w="1000" w:type="pct"/>
          </w:tcPr>
          <w:p>
            <w:pPr>
              <w:tabs>
                <w:tab w:val="left" w:pos="2100"/>
              </w:tabs>
              <w:jc w:val="center"/>
              <w:rPr>
                <w:kern w:val="0"/>
                <w:szCs w:val="21"/>
              </w:rPr>
            </w:pPr>
            <w:r>
              <w:rPr>
                <w:rFonts w:hint="eastAsia"/>
                <w:kern w:val="0"/>
                <w:szCs w:val="21"/>
              </w:rPr>
              <w:t>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应用范围</w:t>
            </w:r>
          </w:p>
        </w:tc>
        <w:tc>
          <w:tcPr>
            <w:tcW w:w="1000" w:type="pct"/>
          </w:tcPr>
          <w:p>
            <w:pPr>
              <w:tabs>
                <w:tab w:val="left" w:pos="2100"/>
              </w:tabs>
              <w:jc w:val="center"/>
              <w:rPr>
                <w:kern w:val="0"/>
                <w:szCs w:val="21"/>
              </w:rPr>
            </w:pPr>
            <w:r>
              <w:rPr>
                <w:rFonts w:hint="eastAsia"/>
                <w:kern w:val="0"/>
                <w:szCs w:val="21"/>
              </w:rPr>
              <w:t>二级出水</w:t>
            </w:r>
          </w:p>
        </w:tc>
        <w:tc>
          <w:tcPr>
            <w:tcW w:w="1000" w:type="pct"/>
          </w:tcPr>
          <w:p>
            <w:pPr>
              <w:tabs>
                <w:tab w:val="left" w:pos="2100"/>
              </w:tabs>
              <w:jc w:val="center"/>
              <w:rPr>
                <w:kern w:val="0"/>
                <w:szCs w:val="21"/>
              </w:rPr>
            </w:pPr>
            <w:r>
              <w:rPr>
                <w:rFonts w:hint="eastAsia"/>
                <w:kern w:val="0"/>
                <w:szCs w:val="21"/>
              </w:rPr>
              <w:t>给水、污水处理</w:t>
            </w:r>
          </w:p>
        </w:tc>
        <w:tc>
          <w:tcPr>
            <w:tcW w:w="1000" w:type="pct"/>
          </w:tcPr>
          <w:p>
            <w:pPr>
              <w:tabs>
                <w:tab w:val="left" w:pos="2100"/>
              </w:tabs>
              <w:jc w:val="center"/>
              <w:rPr>
                <w:kern w:val="0"/>
                <w:szCs w:val="21"/>
              </w:rPr>
            </w:pPr>
            <w:r>
              <w:rPr>
                <w:rFonts w:hint="eastAsia"/>
                <w:kern w:val="0"/>
                <w:szCs w:val="21"/>
              </w:rPr>
              <w:t>小型污水处理厂</w:t>
            </w:r>
          </w:p>
        </w:tc>
        <w:tc>
          <w:tcPr>
            <w:tcW w:w="1000" w:type="pct"/>
          </w:tcPr>
          <w:p>
            <w:pPr>
              <w:tabs>
                <w:tab w:val="left" w:pos="2100"/>
              </w:tabs>
              <w:jc w:val="center"/>
              <w:rPr>
                <w:kern w:val="0"/>
                <w:szCs w:val="21"/>
              </w:rPr>
            </w:pPr>
            <w:r>
              <w:rPr>
                <w:rFonts w:hint="eastAsia"/>
                <w:kern w:val="0"/>
                <w:szCs w:val="21"/>
              </w:rPr>
              <w:t>二级出水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土建要求</w:t>
            </w:r>
          </w:p>
        </w:tc>
        <w:tc>
          <w:tcPr>
            <w:tcW w:w="1000" w:type="pct"/>
          </w:tcPr>
          <w:p>
            <w:pPr>
              <w:tabs>
                <w:tab w:val="left" w:pos="2100"/>
              </w:tabs>
              <w:jc w:val="center"/>
              <w:rPr>
                <w:kern w:val="0"/>
                <w:szCs w:val="21"/>
              </w:rPr>
            </w:pPr>
            <w:r>
              <w:rPr>
                <w:rFonts w:hint="eastAsia"/>
                <w:kern w:val="0"/>
                <w:szCs w:val="21"/>
              </w:rPr>
              <w:t>无</w:t>
            </w:r>
          </w:p>
        </w:tc>
        <w:tc>
          <w:tcPr>
            <w:tcW w:w="1000" w:type="pct"/>
          </w:tcPr>
          <w:p>
            <w:pPr>
              <w:tabs>
                <w:tab w:val="left" w:pos="2100"/>
              </w:tabs>
              <w:jc w:val="center"/>
              <w:rPr>
                <w:kern w:val="0"/>
                <w:szCs w:val="21"/>
              </w:rPr>
            </w:pPr>
            <w:r>
              <w:rPr>
                <w:rFonts w:hint="eastAsia"/>
                <w:kern w:val="0"/>
                <w:szCs w:val="21"/>
              </w:rPr>
              <w:t>储存面积大</w:t>
            </w:r>
          </w:p>
        </w:tc>
        <w:tc>
          <w:tcPr>
            <w:tcW w:w="1000" w:type="pct"/>
          </w:tcPr>
          <w:p>
            <w:pPr>
              <w:tabs>
                <w:tab w:val="left" w:pos="2100"/>
              </w:tabs>
              <w:jc w:val="center"/>
              <w:rPr>
                <w:kern w:val="0"/>
                <w:szCs w:val="21"/>
              </w:rPr>
            </w:pPr>
            <w:r>
              <w:rPr>
                <w:rFonts w:hint="eastAsia"/>
                <w:kern w:val="0"/>
                <w:szCs w:val="21"/>
              </w:rPr>
              <w:t>低</w:t>
            </w:r>
          </w:p>
        </w:tc>
        <w:tc>
          <w:tcPr>
            <w:tcW w:w="1000" w:type="pct"/>
          </w:tcPr>
          <w:p>
            <w:pPr>
              <w:tabs>
                <w:tab w:val="left" w:pos="2100"/>
              </w:tabs>
              <w:jc w:val="center"/>
              <w:rPr>
                <w:kern w:val="0"/>
                <w:szCs w:val="21"/>
              </w:rPr>
            </w:pPr>
            <w:r>
              <w:rPr>
                <w:rFonts w:hint="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控制要求</w:t>
            </w:r>
          </w:p>
        </w:tc>
        <w:tc>
          <w:tcPr>
            <w:tcW w:w="1000" w:type="pct"/>
          </w:tcPr>
          <w:p>
            <w:pPr>
              <w:tabs>
                <w:tab w:val="left" w:pos="2100"/>
              </w:tabs>
              <w:jc w:val="center"/>
              <w:rPr>
                <w:kern w:val="0"/>
                <w:szCs w:val="21"/>
              </w:rPr>
            </w:pPr>
            <w:r>
              <w:rPr>
                <w:rFonts w:hint="eastAsia"/>
                <w:kern w:val="0"/>
                <w:szCs w:val="21"/>
              </w:rPr>
              <w:t>自动化</w:t>
            </w:r>
          </w:p>
        </w:tc>
        <w:tc>
          <w:tcPr>
            <w:tcW w:w="1000" w:type="pct"/>
          </w:tcPr>
          <w:p>
            <w:pPr>
              <w:tabs>
                <w:tab w:val="left" w:pos="2100"/>
              </w:tabs>
              <w:jc w:val="center"/>
              <w:rPr>
                <w:kern w:val="0"/>
                <w:szCs w:val="21"/>
              </w:rPr>
            </w:pPr>
            <w:r>
              <w:rPr>
                <w:rFonts w:hint="eastAsia"/>
                <w:kern w:val="0"/>
                <w:szCs w:val="21"/>
              </w:rPr>
              <w:t>自动化</w:t>
            </w:r>
          </w:p>
        </w:tc>
        <w:tc>
          <w:tcPr>
            <w:tcW w:w="1000" w:type="pct"/>
          </w:tcPr>
          <w:p>
            <w:pPr>
              <w:tabs>
                <w:tab w:val="left" w:pos="2100"/>
              </w:tabs>
              <w:jc w:val="center"/>
              <w:rPr>
                <w:kern w:val="0"/>
                <w:szCs w:val="21"/>
              </w:rPr>
            </w:pPr>
            <w:r>
              <w:rPr>
                <w:rFonts w:hint="eastAsia"/>
                <w:kern w:val="0"/>
                <w:szCs w:val="21"/>
              </w:rPr>
              <w:t>技术水平要求高</w:t>
            </w:r>
          </w:p>
        </w:tc>
        <w:tc>
          <w:tcPr>
            <w:tcW w:w="1000" w:type="pct"/>
          </w:tcPr>
          <w:p>
            <w:pPr>
              <w:tabs>
                <w:tab w:val="left" w:pos="2100"/>
              </w:tabs>
              <w:jc w:val="center"/>
              <w:rPr>
                <w:kern w:val="0"/>
                <w:szCs w:val="21"/>
              </w:rPr>
            </w:pPr>
            <w:r>
              <w:rPr>
                <w:rFonts w:hint="eastAsia"/>
                <w:kern w:val="0"/>
                <w:szCs w:val="21"/>
              </w:rPr>
              <w:t>技术水平要求高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tabs>
                <w:tab w:val="left" w:pos="2100"/>
              </w:tabs>
              <w:jc w:val="center"/>
              <w:rPr>
                <w:kern w:val="0"/>
                <w:szCs w:val="21"/>
              </w:rPr>
            </w:pPr>
            <w:r>
              <w:rPr>
                <w:rFonts w:hint="eastAsia"/>
                <w:kern w:val="0"/>
                <w:szCs w:val="21"/>
              </w:rPr>
              <w:t>储存要求</w:t>
            </w:r>
          </w:p>
        </w:tc>
        <w:tc>
          <w:tcPr>
            <w:tcW w:w="1000" w:type="pct"/>
          </w:tcPr>
          <w:p>
            <w:pPr>
              <w:tabs>
                <w:tab w:val="left" w:pos="2100"/>
              </w:tabs>
              <w:jc w:val="center"/>
              <w:rPr>
                <w:kern w:val="0"/>
                <w:szCs w:val="21"/>
              </w:rPr>
            </w:pPr>
            <w:r>
              <w:rPr>
                <w:rFonts w:hint="eastAsia"/>
                <w:kern w:val="0"/>
                <w:szCs w:val="21"/>
              </w:rPr>
              <w:t>无</w:t>
            </w:r>
          </w:p>
        </w:tc>
        <w:tc>
          <w:tcPr>
            <w:tcW w:w="1000" w:type="pct"/>
          </w:tcPr>
          <w:p>
            <w:pPr>
              <w:tabs>
                <w:tab w:val="left" w:pos="2100"/>
              </w:tabs>
              <w:jc w:val="center"/>
              <w:rPr>
                <w:kern w:val="0"/>
                <w:szCs w:val="21"/>
              </w:rPr>
            </w:pPr>
            <w:r>
              <w:rPr>
                <w:rFonts w:hint="eastAsia"/>
                <w:kern w:val="0"/>
                <w:szCs w:val="21"/>
              </w:rPr>
              <w:t>防止泄露</w:t>
            </w:r>
          </w:p>
        </w:tc>
        <w:tc>
          <w:tcPr>
            <w:tcW w:w="1000" w:type="pct"/>
          </w:tcPr>
          <w:p>
            <w:pPr>
              <w:tabs>
                <w:tab w:val="left" w:pos="2100"/>
              </w:tabs>
              <w:jc w:val="center"/>
              <w:rPr>
                <w:kern w:val="0"/>
                <w:szCs w:val="21"/>
              </w:rPr>
            </w:pPr>
            <w:r>
              <w:rPr>
                <w:rFonts w:hint="eastAsia"/>
                <w:kern w:val="0"/>
                <w:szCs w:val="21"/>
              </w:rPr>
              <w:t>现场制备</w:t>
            </w:r>
          </w:p>
        </w:tc>
        <w:tc>
          <w:tcPr>
            <w:tcW w:w="1000" w:type="pct"/>
          </w:tcPr>
          <w:p>
            <w:pPr>
              <w:tabs>
                <w:tab w:val="left" w:pos="2100"/>
              </w:tabs>
              <w:jc w:val="center"/>
              <w:rPr>
                <w:kern w:val="0"/>
                <w:szCs w:val="21"/>
              </w:rPr>
            </w:pPr>
            <w:r>
              <w:rPr>
                <w:rFonts w:hint="eastAsia"/>
                <w:kern w:val="0"/>
                <w:szCs w:val="21"/>
              </w:rPr>
              <w:t>现场制备</w:t>
            </w:r>
          </w:p>
        </w:tc>
      </w:tr>
    </w:tbl>
    <w:p>
      <w:pPr>
        <w:tabs>
          <w:tab w:val="left" w:pos="2100"/>
        </w:tabs>
        <w:spacing w:line="480" w:lineRule="exact"/>
        <w:ind w:firstLine="480" w:firstLineChars="200"/>
        <w:rPr>
          <w:kern w:val="0"/>
          <w:sz w:val="24"/>
        </w:rPr>
      </w:pPr>
      <w:r>
        <w:rPr>
          <w:rFonts w:hint="eastAsia"/>
          <w:kern w:val="0"/>
          <w:sz w:val="24"/>
        </w:rPr>
        <w:t>如上表所示，几种消毒方式目前在国内均有运用。由于液氯消毒运行费用低，操作简单，主要运用于大型污水处理厂。中小型污水处理厂主要采用二氧化氯和紫外线消毒。臭氧消毒主要运用于中水处理，具有较强的消毒效果及脱色效果，同时再辅以加氯消毒，以保证出水中余氯要求。本项目属于处理污水规模较小，选择紫外线消毒。</w:t>
      </w:r>
    </w:p>
    <w:p>
      <w:pPr>
        <w:tabs>
          <w:tab w:val="left" w:pos="2100"/>
        </w:tabs>
        <w:spacing w:line="480" w:lineRule="exact"/>
        <w:ind w:firstLine="480" w:firstLineChars="200"/>
        <w:rPr>
          <w:kern w:val="0"/>
          <w:sz w:val="24"/>
        </w:rPr>
      </w:pPr>
      <w:r>
        <w:rPr>
          <w:rFonts w:hint="eastAsia"/>
          <w:kern w:val="0"/>
          <w:sz w:val="24"/>
        </w:rPr>
        <w:t>③技术可行性分析：</w:t>
      </w:r>
    </w:p>
    <w:p>
      <w:pPr>
        <w:tabs>
          <w:tab w:val="left" w:pos="2100"/>
        </w:tabs>
        <w:spacing w:line="480" w:lineRule="exact"/>
        <w:ind w:firstLine="480" w:firstLineChars="200"/>
        <w:rPr>
          <w:kern w:val="0"/>
          <w:sz w:val="24"/>
        </w:rPr>
      </w:pPr>
      <w:r>
        <w:rPr>
          <w:rFonts w:hint="eastAsia"/>
          <w:kern w:val="0"/>
          <w:sz w:val="24"/>
        </w:rPr>
        <w:t>生物接触氧化法是一种介于活性污泥法与生物滤池之间的生物膜法工艺，其特点是在池内设置填料，池底曝气对污水进行充氧，并使池体内污水处于流动状态，以保证污水与污水中的填料充分接触，避免生物接触氧化池中存在污水与填料接触不均的缺陷。生物接触氧化法具有以下特点：</w:t>
      </w:r>
      <w:r>
        <w:rPr>
          <w:kern w:val="0"/>
          <w:sz w:val="24"/>
        </w:rPr>
        <w:t>1</w:t>
      </w:r>
      <w:r>
        <w:rPr>
          <w:rFonts w:hint="eastAsia"/>
          <w:kern w:val="0"/>
          <w:sz w:val="24"/>
        </w:rPr>
        <w:t>）由于填料比表面积大，池内充氧条件良好，池内单位容积的生物固体量较高，因此，生物接触氧化池具有较高的容积负荷；</w:t>
      </w:r>
      <w:r>
        <w:rPr>
          <w:kern w:val="0"/>
          <w:sz w:val="24"/>
        </w:rPr>
        <w:t>2</w:t>
      </w:r>
      <w:r>
        <w:rPr>
          <w:rFonts w:hint="eastAsia"/>
          <w:kern w:val="0"/>
          <w:sz w:val="24"/>
        </w:rPr>
        <w:t>）由于生物接触氧化池内生物固体量多，水流完全混合，故对水质水量的骤变有较强的适应能力；</w:t>
      </w:r>
      <w:r>
        <w:rPr>
          <w:kern w:val="0"/>
          <w:sz w:val="24"/>
        </w:rPr>
        <w:t>3</w:t>
      </w:r>
      <w:r>
        <w:rPr>
          <w:rFonts w:hint="eastAsia"/>
          <w:kern w:val="0"/>
          <w:sz w:val="24"/>
        </w:rPr>
        <w:t>）剩余污泥量少，不存在污泥膨胀问题，运行管理简便。根据本项目的特点，采用地埋式一体化污水处理站，核心工艺及接触氧化法，作为一套独立的污水处理站，最大的特点在于他占地面积小、建设及运行费用不高，处理效果明显。可满足本项目水量小，且处理效果达到《农田灌溉水质标准》（</w:t>
      </w:r>
      <w:r>
        <w:rPr>
          <w:kern w:val="0"/>
          <w:sz w:val="24"/>
        </w:rPr>
        <w:t>GB5084-2005</w:t>
      </w:r>
      <w:r>
        <w:rPr>
          <w:rFonts w:hint="eastAsia"/>
          <w:kern w:val="0"/>
          <w:sz w:val="24"/>
        </w:rPr>
        <w:t>）旱作标准水质的要求。</w:t>
      </w:r>
    </w:p>
    <w:p>
      <w:pPr>
        <w:tabs>
          <w:tab w:val="left" w:pos="2100"/>
        </w:tabs>
        <w:spacing w:line="480" w:lineRule="exact"/>
        <w:ind w:firstLine="480" w:firstLineChars="200"/>
        <w:rPr>
          <w:kern w:val="0"/>
          <w:sz w:val="24"/>
        </w:rPr>
      </w:pPr>
      <w:r>
        <w:rPr>
          <w:rFonts w:hint="eastAsia"/>
          <w:kern w:val="0"/>
          <w:sz w:val="24"/>
        </w:rPr>
        <w:t>④污水处理效果：</w:t>
      </w:r>
    </w:p>
    <w:p>
      <w:pPr>
        <w:tabs>
          <w:tab w:val="left" w:pos="2100"/>
        </w:tabs>
        <w:spacing w:line="480" w:lineRule="exact"/>
        <w:ind w:firstLine="480" w:firstLineChars="200"/>
        <w:rPr>
          <w:kern w:val="0"/>
          <w:sz w:val="24"/>
        </w:rPr>
      </w:pPr>
      <w:r>
        <w:rPr>
          <w:rFonts w:hint="eastAsia"/>
          <w:kern w:val="0"/>
          <w:sz w:val="24"/>
        </w:rPr>
        <w:t>本项目冲洗废水与生活污水混合处理，经调节池调节后综合废水水质浓度为</w:t>
      </w:r>
      <w:r>
        <w:rPr>
          <w:kern w:val="0"/>
          <w:sz w:val="24"/>
        </w:rPr>
        <w:t>COD</w:t>
      </w:r>
      <w:r>
        <w:rPr>
          <w:rFonts w:hint="eastAsia"/>
          <w:kern w:val="0"/>
          <w:sz w:val="24"/>
        </w:rPr>
        <w:t>：1</w:t>
      </w:r>
      <w:r>
        <w:rPr>
          <w:kern w:val="0"/>
          <w:sz w:val="24"/>
        </w:rPr>
        <w:t>33mg/L</w:t>
      </w:r>
      <w:r>
        <w:rPr>
          <w:rFonts w:hint="eastAsia"/>
          <w:kern w:val="0"/>
          <w:sz w:val="24"/>
        </w:rPr>
        <w:t>，氨氮：</w:t>
      </w:r>
      <w:r>
        <w:rPr>
          <w:kern w:val="0"/>
          <w:sz w:val="24"/>
        </w:rPr>
        <w:t>8.9mg/L</w:t>
      </w:r>
      <w:r>
        <w:rPr>
          <w:rFonts w:hint="eastAsia"/>
          <w:kern w:val="0"/>
          <w:sz w:val="24"/>
        </w:rPr>
        <w:t>，</w:t>
      </w:r>
      <w:r>
        <w:rPr>
          <w:kern w:val="0"/>
          <w:sz w:val="24"/>
        </w:rPr>
        <w:t>BOD</w:t>
      </w:r>
      <w:r>
        <w:rPr>
          <w:kern w:val="0"/>
          <w:sz w:val="24"/>
          <w:vertAlign w:val="subscript"/>
        </w:rPr>
        <w:t>5</w:t>
      </w:r>
      <w:r>
        <w:rPr>
          <w:rFonts w:hint="eastAsia"/>
          <w:kern w:val="0"/>
          <w:sz w:val="24"/>
        </w:rPr>
        <w:t>：</w:t>
      </w:r>
      <w:r>
        <w:rPr>
          <w:kern w:val="0"/>
          <w:sz w:val="24"/>
        </w:rPr>
        <w:t>59.3mg/L</w:t>
      </w:r>
      <w:r>
        <w:rPr>
          <w:rFonts w:hint="eastAsia"/>
          <w:kern w:val="0"/>
          <w:sz w:val="24"/>
        </w:rPr>
        <w:t>，</w:t>
      </w:r>
      <w:r>
        <w:rPr>
          <w:kern w:val="0"/>
          <w:sz w:val="24"/>
        </w:rPr>
        <w:t>SS</w:t>
      </w:r>
      <w:r>
        <w:rPr>
          <w:rFonts w:hint="eastAsia"/>
          <w:kern w:val="0"/>
          <w:sz w:val="24"/>
        </w:rPr>
        <w:t>：</w:t>
      </w:r>
      <w:r>
        <w:rPr>
          <w:kern w:val="0"/>
          <w:sz w:val="24"/>
        </w:rPr>
        <w:t>72.4mg/L</w:t>
      </w:r>
      <w:r>
        <w:rPr>
          <w:rFonts w:hint="eastAsia"/>
          <w:kern w:val="0"/>
          <w:sz w:val="24"/>
        </w:rPr>
        <w:t>。</w:t>
      </w:r>
    </w:p>
    <w:p>
      <w:pPr>
        <w:tabs>
          <w:tab w:val="left" w:pos="2100"/>
        </w:tabs>
        <w:spacing w:line="480" w:lineRule="exact"/>
        <w:ind w:firstLine="480" w:firstLineChars="200"/>
        <w:rPr>
          <w:kern w:val="0"/>
          <w:sz w:val="24"/>
        </w:rPr>
      </w:pPr>
      <w:r>
        <w:rPr>
          <w:rFonts w:hint="eastAsia"/>
          <w:kern w:val="0"/>
          <w:sz w:val="24"/>
        </w:rPr>
        <w:t>污水处理站各工艺阶段处理效果及去除情况详见表7.3-3。</w:t>
      </w:r>
    </w:p>
    <w:p>
      <w:pPr>
        <w:tabs>
          <w:tab w:val="left" w:pos="2100"/>
        </w:tabs>
        <w:spacing w:line="480" w:lineRule="exact"/>
        <w:jc w:val="center"/>
        <w:rPr>
          <w:rFonts w:ascii="黑体" w:hAnsi="黑体" w:eastAsia="黑体"/>
          <w:kern w:val="0"/>
          <w:sz w:val="24"/>
        </w:rPr>
      </w:pPr>
      <w:r>
        <w:rPr>
          <w:rFonts w:hint="eastAsia" w:ascii="黑体" w:hAnsi="黑体" w:eastAsia="黑体"/>
          <w:kern w:val="0"/>
          <w:sz w:val="24"/>
        </w:rPr>
        <w:t>表7.3-3  各处理单元设计的预期处理效果（最大负荷情况）</w:t>
      </w:r>
      <w:r>
        <w:rPr>
          <w:rFonts w:ascii="黑体" w:hAnsi="黑体" w:eastAsia="黑体"/>
          <w:kern w:val="0"/>
          <w:sz w:val="24"/>
        </w:rPr>
        <w:t xml:space="preserve"> </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926"/>
        <w:gridCol w:w="934"/>
        <w:gridCol w:w="728"/>
        <w:gridCol w:w="784"/>
        <w:gridCol w:w="726"/>
        <w:gridCol w:w="728"/>
        <w:gridCol w:w="795"/>
        <w:gridCol w:w="797"/>
        <w:gridCol w:w="891"/>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381" w:type="pct"/>
            <w:vMerge w:val="restar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序号</w:t>
            </w:r>
          </w:p>
        </w:tc>
        <w:tc>
          <w:tcPr>
            <w:tcW w:w="1048" w:type="pct"/>
            <w:gridSpan w:val="2"/>
            <w:vMerge w:val="restar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单元名称</w:t>
            </w:r>
          </w:p>
        </w:tc>
        <w:tc>
          <w:tcPr>
            <w:tcW w:w="852" w:type="pct"/>
            <w:gridSpan w:val="2"/>
            <w:tcMar>
              <w:top w:w="15" w:type="dxa"/>
              <w:left w:w="15" w:type="dxa"/>
              <w:bottom w:w="15" w:type="dxa"/>
              <w:right w:w="15" w:type="dxa"/>
            </w:tcMar>
            <w:vAlign w:val="center"/>
          </w:tcPr>
          <w:p>
            <w:pPr>
              <w:tabs>
                <w:tab w:val="left" w:pos="2100"/>
              </w:tabs>
              <w:jc w:val="center"/>
              <w:rPr>
                <w:kern w:val="0"/>
                <w:szCs w:val="21"/>
              </w:rPr>
            </w:pPr>
            <w:r>
              <w:rPr>
                <w:kern w:val="0"/>
                <w:szCs w:val="21"/>
              </w:rPr>
              <w:t>COD</w:t>
            </w:r>
          </w:p>
        </w:tc>
        <w:tc>
          <w:tcPr>
            <w:tcW w:w="819"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氨氮</w:t>
            </w:r>
          </w:p>
        </w:tc>
        <w:tc>
          <w:tcPr>
            <w:tcW w:w="897" w:type="pct"/>
            <w:gridSpan w:val="2"/>
            <w:tcMar>
              <w:top w:w="15" w:type="dxa"/>
              <w:left w:w="15" w:type="dxa"/>
              <w:bottom w:w="15" w:type="dxa"/>
              <w:right w:w="15" w:type="dxa"/>
            </w:tcMar>
          </w:tcPr>
          <w:p>
            <w:pPr>
              <w:tabs>
                <w:tab w:val="left" w:pos="2100"/>
              </w:tabs>
              <w:jc w:val="center"/>
              <w:rPr>
                <w:kern w:val="0"/>
                <w:szCs w:val="21"/>
              </w:rPr>
            </w:pPr>
            <w:r>
              <w:rPr>
                <w:kern w:val="0"/>
                <w:szCs w:val="21"/>
              </w:rPr>
              <w:t>BOD</w:t>
            </w:r>
            <w:r>
              <w:rPr>
                <w:kern w:val="0"/>
                <w:szCs w:val="21"/>
                <w:vertAlign w:val="subscript"/>
              </w:rPr>
              <w:t>5</w:t>
            </w:r>
          </w:p>
        </w:tc>
        <w:tc>
          <w:tcPr>
            <w:tcW w:w="1003" w:type="pct"/>
            <w:gridSpan w:val="2"/>
            <w:tcMar>
              <w:top w:w="15" w:type="dxa"/>
              <w:left w:w="15" w:type="dxa"/>
              <w:bottom w:w="15" w:type="dxa"/>
              <w:right w:w="15" w:type="dxa"/>
            </w:tcMar>
          </w:tcPr>
          <w:p>
            <w:pPr>
              <w:tabs>
                <w:tab w:val="left" w:pos="2100"/>
              </w:tabs>
              <w:jc w:val="center"/>
              <w:rPr>
                <w:kern w:val="0"/>
                <w:szCs w:val="21"/>
              </w:rPr>
            </w:pPr>
            <w:r>
              <w:rPr>
                <w:kern w:val="0"/>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381" w:type="pct"/>
            <w:vMerge w:val="continue"/>
            <w:vAlign w:val="center"/>
          </w:tcPr>
          <w:p>
            <w:pPr>
              <w:tabs>
                <w:tab w:val="left" w:pos="2100"/>
              </w:tabs>
              <w:jc w:val="center"/>
              <w:rPr>
                <w:kern w:val="0"/>
                <w:szCs w:val="21"/>
              </w:rPr>
            </w:pPr>
          </w:p>
        </w:tc>
        <w:tc>
          <w:tcPr>
            <w:tcW w:w="1048" w:type="pct"/>
            <w:gridSpan w:val="2"/>
            <w:vMerge w:val="continue"/>
            <w:vAlign w:val="center"/>
          </w:tcPr>
          <w:p>
            <w:pPr>
              <w:tabs>
                <w:tab w:val="left" w:pos="2100"/>
              </w:tabs>
              <w:jc w:val="center"/>
              <w:rPr>
                <w:kern w:val="0"/>
                <w:szCs w:val="21"/>
              </w:rPr>
            </w:pPr>
          </w:p>
        </w:tc>
        <w:tc>
          <w:tcPr>
            <w:tcW w:w="410"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进水</w:t>
            </w:r>
          </w:p>
        </w:tc>
        <w:tc>
          <w:tcPr>
            <w:tcW w:w="442"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出水</w:t>
            </w:r>
          </w:p>
        </w:tc>
        <w:tc>
          <w:tcPr>
            <w:tcW w:w="409"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进水</w:t>
            </w:r>
          </w:p>
        </w:tc>
        <w:tc>
          <w:tcPr>
            <w:tcW w:w="410"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出水</w:t>
            </w:r>
          </w:p>
        </w:tc>
        <w:tc>
          <w:tcPr>
            <w:tcW w:w="448"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进水</w:t>
            </w:r>
          </w:p>
        </w:tc>
        <w:tc>
          <w:tcPr>
            <w:tcW w:w="448"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出水</w:t>
            </w:r>
          </w:p>
        </w:tc>
        <w:tc>
          <w:tcPr>
            <w:tcW w:w="502"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进水</w:t>
            </w:r>
          </w:p>
        </w:tc>
        <w:tc>
          <w:tcPr>
            <w:tcW w:w="501"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出水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81" w:type="pct"/>
            <w:tcMar>
              <w:top w:w="15" w:type="dxa"/>
              <w:left w:w="15" w:type="dxa"/>
              <w:bottom w:w="15" w:type="dxa"/>
              <w:right w:w="15" w:type="dxa"/>
            </w:tcMar>
            <w:vAlign w:val="center"/>
          </w:tcPr>
          <w:p>
            <w:pPr>
              <w:tabs>
                <w:tab w:val="left" w:pos="2100"/>
              </w:tabs>
              <w:jc w:val="center"/>
              <w:rPr>
                <w:kern w:val="0"/>
                <w:szCs w:val="21"/>
              </w:rPr>
            </w:pPr>
            <w:r>
              <w:rPr>
                <w:kern w:val="0"/>
                <w:szCs w:val="21"/>
              </w:rPr>
              <w:t>1</w:t>
            </w:r>
          </w:p>
        </w:tc>
        <w:tc>
          <w:tcPr>
            <w:tcW w:w="522"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调节池</w:t>
            </w:r>
          </w:p>
        </w:tc>
        <w:tc>
          <w:tcPr>
            <w:tcW w:w="526"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水质</w:t>
            </w:r>
            <w:r>
              <w:rPr>
                <w:kern w:val="0"/>
                <w:szCs w:val="21"/>
              </w:rPr>
              <w:t>(mg/L)</w:t>
            </w:r>
          </w:p>
        </w:tc>
        <w:tc>
          <w:tcPr>
            <w:tcW w:w="410"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130.8</w:t>
            </w:r>
          </w:p>
        </w:tc>
        <w:tc>
          <w:tcPr>
            <w:tcW w:w="442"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130.8</w:t>
            </w:r>
          </w:p>
        </w:tc>
        <w:tc>
          <w:tcPr>
            <w:tcW w:w="409" w:type="pct"/>
            <w:tcMar>
              <w:top w:w="15" w:type="dxa"/>
              <w:left w:w="15" w:type="dxa"/>
              <w:bottom w:w="15" w:type="dxa"/>
              <w:right w:w="15" w:type="dxa"/>
            </w:tcMar>
            <w:vAlign w:val="center"/>
          </w:tcPr>
          <w:p>
            <w:pPr>
              <w:tabs>
                <w:tab w:val="left" w:pos="2100"/>
              </w:tabs>
              <w:jc w:val="center"/>
              <w:rPr>
                <w:kern w:val="0"/>
                <w:szCs w:val="21"/>
              </w:rPr>
            </w:pPr>
            <w:r>
              <w:rPr>
                <w:kern w:val="0"/>
                <w:szCs w:val="21"/>
              </w:rPr>
              <w:t>8.</w:t>
            </w:r>
            <w:r>
              <w:rPr>
                <w:rFonts w:hint="eastAsia"/>
                <w:kern w:val="0"/>
                <w:szCs w:val="21"/>
              </w:rPr>
              <w:t>8</w:t>
            </w:r>
          </w:p>
        </w:tc>
        <w:tc>
          <w:tcPr>
            <w:tcW w:w="410" w:type="pct"/>
            <w:tcMar>
              <w:top w:w="15" w:type="dxa"/>
              <w:left w:w="15" w:type="dxa"/>
              <w:bottom w:w="15" w:type="dxa"/>
              <w:right w:w="15" w:type="dxa"/>
            </w:tcMar>
            <w:vAlign w:val="center"/>
          </w:tcPr>
          <w:p>
            <w:pPr>
              <w:tabs>
                <w:tab w:val="left" w:pos="2100"/>
              </w:tabs>
              <w:jc w:val="center"/>
              <w:rPr>
                <w:kern w:val="0"/>
                <w:szCs w:val="21"/>
              </w:rPr>
            </w:pPr>
            <w:r>
              <w:rPr>
                <w:kern w:val="0"/>
                <w:szCs w:val="21"/>
              </w:rPr>
              <w:t>8.</w:t>
            </w:r>
            <w:r>
              <w:rPr>
                <w:rFonts w:hint="eastAsia"/>
                <w:kern w:val="0"/>
                <w:szCs w:val="21"/>
              </w:rPr>
              <w:t>8</w:t>
            </w:r>
          </w:p>
        </w:tc>
        <w:tc>
          <w:tcPr>
            <w:tcW w:w="448"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58.2</w:t>
            </w:r>
          </w:p>
        </w:tc>
        <w:tc>
          <w:tcPr>
            <w:tcW w:w="448"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58.2</w:t>
            </w:r>
          </w:p>
        </w:tc>
        <w:tc>
          <w:tcPr>
            <w:tcW w:w="502"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71</w:t>
            </w:r>
          </w:p>
        </w:tc>
        <w:tc>
          <w:tcPr>
            <w:tcW w:w="501"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81" w:type="pct"/>
            <w:vMerge w:val="restart"/>
            <w:tcMar>
              <w:top w:w="15" w:type="dxa"/>
              <w:left w:w="15" w:type="dxa"/>
              <w:bottom w:w="15" w:type="dxa"/>
              <w:right w:w="15" w:type="dxa"/>
            </w:tcMar>
            <w:vAlign w:val="center"/>
          </w:tcPr>
          <w:p>
            <w:pPr>
              <w:tabs>
                <w:tab w:val="left" w:pos="2100"/>
              </w:tabs>
              <w:jc w:val="center"/>
              <w:rPr>
                <w:kern w:val="0"/>
                <w:szCs w:val="21"/>
              </w:rPr>
            </w:pPr>
            <w:r>
              <w:rPr>
                <w:kern w:val="0"/>
                <w:szCs w:val="21"/>
              </w:rPr>
              <w:t>2</w:t>
            </w:r>
          </w:p>
        </w:tc>
        <w:tc>
          <w:tcPr>
            <w:tcW w:w="522" w:type="pct"/>
            <w:vMerge w:val="restar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接触氧化</w:t>
            </w:r>
            <w:r>
              <w:rPr>
                <w:kern w:val="0"/>
                <w:szCs w:val="21"/>
              </w:rPr>
              <w:t>+</w:t>
            </w:r>
            <w:r>
              <w:rPr>
                <w:rFonts w:hint="eastAsia"/>
                <w:kern w:val="0"/>
                <w:szCs w:val="21"/>
              </w:rPr>
              <w:t>沉淀池</w:t>
            </w:r>
          </w:p>
        </w:tc>
        <w:tc>
          <w:tcPr>
            <w:tcW w:w="526"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水质</w:t>
            </w:r>
            <w:r>
              <w:rPr>
                <w:kern w:val="0"/>
                <w:szCs w:val="21"/>
              </w:rPr>
              <w:t>(mg/L)</w:t>
            </w:r>
          </w:p>
        </w:tc>
        <w:tc>
          <w:tcPr>
            <w:tcW w:w="410"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130.8</w:t>
            </w:r>
          </w:p>
        </w:tc>
        <w:tc>
          <w:tcPr>
            <w:tcW w:w="442"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52.3</w:t>
            </w:r>
          </w:p>
        </w:tc>
        <w:tc>
          <w:tcPr>
            <w:tcW w:w="409" w:type="pct"/>
            <w:tcMar>
              <w:top w:w="15" w:type="dxa"/>
              <w:left w:w="15" w:type="dxa"/>
              <w:bottom w:w="15" w:type="dxa"/>
              <w:right w:w="15" w:type="dxa"/>
            </w:tcMar>
            <w:vAlign w:val="center"/>
          </w:tcPr>
          <w:p>
            <w:pPr>
              <w:tabs>
                <w:tab w:val="left" w:pos="2100"/>
              </w:tabs>
              <w:jc w:val="center"/>
              <w:rPr>
                <w:kern w:val="0"/>
                <w:szCs w:val="21"/>
              </w:rPr>
            </w:pPr>
            <w:r>
              <w:rPr>
                <w:kern w:val="0"/>
                <w:szCs w:val="21"/>
              </w:rPr>
              <w:t>8.</w:t>
            </w:r>
            <w:r>
              <w:rPr>
                <w:rFonts w:hint="eastAsia"/>
                <w:kern w:val="0"/>
                <w:szCs w:val="21"/>
              </w:rPr>
              <w:t>8</w:t>
            </w:r>
          </w:p>
        </w:tc>
        <w:tc>
          <w:tcPr>
            <w:tcW w:w="410"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6.1</w:t>
            </w:r>
          </w:p>
        </w:tc>
        <w:tc>
          <w:tcPr>
            <w:tcW w:w="448"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58.2</w:t>
            </w:r>
          </w:p>
        </w:tc>
        <w:tc>
          <w:tcPr>
            <w:tcW w:w="448"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23.3</w:t>
            </w:r>
          </w:p>
        </w:tc>
        <w:tc>
          <w:tcPr>
            <w:tcW w:w="502"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71</w:t>
            </w:r>
          </w:p>
        </w:tc>
        <w:tc>
          <w:tcPr>
            <w:tcW w:w="501"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81" w:type="pct"/>
            <w:vMerge w:val="continue"/>
            <w:vAlign w:val="center"/>
          </w:tcPr>
          <w:p>
            <w:pPr>
              <w:tabs>
                <w:tab w:val="left" w:pos="2100"/>
              </w:tabs>
              <w:jc w:val="center"/>
              <w:rPr>
                <w:kern w:val="0"/>
                <w:szCs w:val="21"/>
              </w:rPr>
            </w:pPr>
          </w:p>
        </w:tc>
        <w:tc>
          <w:tcPr>
            <w:tcW w:w="522" w:type="pct"/>
            <w:vMerge w:val="continue"/>
            <w:vAlign w:val="center"/>
          </w:tcPr>
          <w:p>
            <w:pPr>
              <w:tabs>
                <w:tab w:val="left" w:pos="2100"/>
              </w:tabs>
              <w:jc w:val="center"/>
              <w:rPr>
                <w:kern w:val="0"/>
                <w:szCs w:val="21"/>
              </w:rPr>
            </w:pPr>
          </w:p>
        </w:tc>
        <w:tc>
          <w:tcPr>
            <w:tcW w:w="526" w:type="pct"/>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去除率</w:t>
            </w:r>
          </w:p>
        </w:tc>
        <w:tc>
          <w:tcPr>
            <w:tcW w:w="852"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60%</w:t>
            </w:r>
          </w:p>
        </w:tc>
        <w:tc>
          <w:tcPr>
            <w:tcW w:w="819"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30</w:t>
            </w:r>
            <w:r>
              <w:rPr>
                <w:kern w:val="0"/>
                <w:szCs w:val="21"/>
              </w:rPr>
              <w:t>%</w:t>
            </w:r>
          </w:p>
        </w:tc>
        <w:tc>
          <w:tcPr>
            <w:tcW w:w="897"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60</w:t>
            </w:r>
            <w:r>
              <w:rPr>
                <w:kern w:val="0"/>
                <w:szCs w:val="21"/>
              </w:rPr>
              <w:t>%</w:t>
            </w:r>
          </w:p>
        </w:tc>
        <w:tc>
          <w:tcPr>
            <w:tcW w:w="1003"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60</w:t>
            </w: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28" w:type="pct"/>
            <w:gridSpan w:val="3"/>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污水处理站出水水质水质</w:t>
            </w:r>
            <w:r>
              <w:rPr>
                <w:kern w:val="0"/>
                <w:szCs w:val="21"/>
              </w:rPr>
              <w:t>(mg/L)</w:t>
            </w:r>
          </w:p>
        </w:tc>
        <w:tc>
          <w:tcPr>
            <w:tcW w:w="852"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52.3</w:t>
            </w:r>
          </w:p>
        </w:tc>
        <w:tc>
          <w:tcPr>
            <w:tcW w:w="819"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6.1</w:t>
            </w:r>
          </w:p>
        </w:tc>
        <w:tc>
          <w:tcPr>
            <w:tcW w:w="897"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23.3</w:t>
            </w:r>
          </w:p>
        </w:tc>
        <w:tc>
          <w:tcPr>
            <w:tcW w:w="1003"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28" w:type="pct"/>
            <w:gridSpan w:val="3"/>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旱作标准</w:t>
            </w:r>
          </w:p>
        </w:tc>
        <w:tc>
          <w:tcPr>
            <w:tcW w:w="852" w:type="pct"/>
            <w:gridSpan w:val="2"/>
            <w:tcMar>
              <w:top w:w="15" w:type="dxa"/>
              <w:left w:w="15" w:type="dxa"/>
              <w:bottom w:w="15" w:type="dxa"/>
              <w:right w:w="15" w:type="dxa"/>
            </w:tcMar>
            <w:vAlign w:val="center"/>
          </w:tcPr>
          <w:p>
            <w:pPr>
              <w:tabs>
                <w:tab w:val="left" w:pos="2100"/>
              </w:tabs>
              <w:jc w:val="center"/>
              <w:rPr>
                <w:kern w:val="0"/>
                <w:szCs w:val="21"/>
              </w:rPr>
            </w:pPr>
            <w:r>
              <w:rPr>
                <w:kern w:val="0"/>
                <w:szCs w:val="21"/>
              </w:rPr>
              <w:t>200</w:t>
            </w:r>
          </w:p>
        </w:tc>
        <w:tc>
          <w:tcPr>
            <w:tcW w:w="819" w:type="pct"/>
            <w:gridSpan w:val="2"/>
            <w:tcMar>
              <w:top w:w="15" w:type="dxa"/>
              <w:left w:w="15" w:type="dxa"/>
              <w:bottom w:w="15" w:type="dxa"/>
              <w:right w:w="15" w:type="dxa"/>
            </w:tcMar>
            <w:vAlign w:val="center"/>
          </w:tcPr>
          <w:p>
            <w:pPr>
              <w:tabs>
                <w:tab w:val="left" w:pos="2100"/>
              </w:tabs>
              <w:jc w:val="center"/>
              <w:rPr>
                <w:kern w:val="0"/>
                <w:szCs w:val="21"/>
              </w:rPr>
            </w:pPr>
            <w:r>
              <w:rPr>
                <w:kern w:val="0"/>
                <w:szCs w:val="21"/>
              </w:rPr>
              <w:t>/</w:t>
            </w:r>
          </w:p>
        </w:tc>
        <w:tc>
          <w:tcPr>
            <w:tcW w:w="897" w:type="pct"/>
            <w:gridSpan w:val="2"/>
            <w:tcMar>
              <w:top w:w="15" w:type="dxa"/>
              <w:left w:w="15" w:type="dxa"/>
              <w:bottom w:w="15" w:type="dxa"/>
              <w:right w:w="15" w:type="dxa"/>
            </w:tcMar>
            <w:vAlign w:val="center"/>
          </w:tcPr>
          <w:p>
            <w:pPr>
              <w:tabs>
                <w:tab w:val="left" w:pos="2100"/>
              </w:tabs>
              <w:jc w:val="center"/>
              <w:rPr>
                <w:kern w:val="0"/>
                <w:szCs w:val="21"/>
              </w:rPr>
            </w:pPr>
            <w:r>
              <w:rPr>
                <w:kern w:val="0"/>
                <w:szCs w:val="21"/>
              </w:rPr>
              <w:t>100</w:t>
            </w:r>
          </w:p>
        </w:tc>
        <w:tc>
          <w:tcPr>
            <w:tcW w:w="1003" w:type="pct"/>
            <w:gridSpan w:val="2"/>
            <w:tcMar>
              <w:top w:w="15" w:type="dxa"/>
              <w:left w:w="15" w:type="dxa"/>
              <w:bottom w:w="15" w:type="dxa"/>
              <w:right w:w="15" w:type="dxa"/>
            </w:tcMar>
            <w:vAlign w:val="center"/>
          </w:tcPr>
          <w:p>
            <w:pPr>
              <w:tabs>
                <w:tab w:val="left" w:pos="2100"/>
              </w:tabs>
              <w:jc w:val="center"/>
              <w:rPr>
                <w:kern w:val="0"/>
                <w:szCs w:val="21"/>
              </w:rPr>
            </w:pPr>
            <w:r>
              <w:rPr>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28" w:type="pct"/>
            <w:gridSpan w:val="3"/>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达标情况</w:t>
            </w:r>
          </w:p>
        </w:tc>
        <w:tc>
          <w:tcPr>
            <w:tcW w:w="852"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达标</w:t>
            </w:r>
          </w:p>
        </w:tc>
        <w:tc>
          <w:tcPr>
            <w:tcW w:w="819"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达标</w:t>
            </w:r>
          </w:p>
        </w:tc>
        <w:tc>
          <w:tcPr>
            <w:tcW w:w="897"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达标</w:t>
            </w:r>
          </w:p>
        </w:tc>
        <w:tc>
          <w:tcPr>
            <w:tcW w:w="1003" w:type="pct"/>
            <w:gridSpan w:val="2"/>
            <w:tcMar>
              <w:top w:w="15" w:type="dxa"/>
              <w:left w:w="15" w:type="dxa"/>
              <w:bottom w:w="15" w:type="dxa"/>
              <w:right w:w="15" w:type="dxa"/>
            </w:tcMar>
            <w:vAlign w:val="center"/>
          </w:tcPr>
          <w:p>
            <w:pPr>
              <w:tabs>
                <w:tab w:val="left" w:pos="2100"/>
              </w:tabs>
              <w:jc w:val="center"/>
              <w:rPr>
                <w:kern w:val="0"/>
                <w:szCs w:val="21"/>
              </w:rPr>
            </w:pPr>
            <w:r>
              <w:rPr>
                <w:rFonts w:hint="eastAsia"/>
                <w:kern w:val="0"/>
                <w:szCs w:val="21"/>
              </w:rPr>
              <w:t>达标</w:t>
            </w:r>
          </w:p>
        </w:tc>
      </w:tr>
    </w:tbl>
    <w:p>
      <w:pPr>
        <w:tabs>
          <w:tab w:val="left" w:pos="2100"/>
        </w:tabs>
        <w:spacing w:line="480" w:lineRule="exact"/>
        <w:ind w:firstLine="480" w:firstLineChars="200"/>
        <w:rPr>
          <w:kern w:val="0"/>
          <w:sz w:val="24"/>
        </w:rPr>
      </w:pPr>
      <w:r>
        <w:rPr>
          <w:rFonts w:hint="eastAsia"/>
          <w:kern w:val="0"/>
          <w:sz w:val="24"/>
        </w:rPr>
        <w:t>本项目废水经污水处理站处理达到《农田灌溉水质标准》（</w:t>
      </w:r>
      <w:r>
        <w:rPr>
          <w:kern w:val="0"/>
          <w:sz w:val="24"/>
        </w:rPr>
        <w:t>GB5084-2005</w:t>
      </w:r>
      <w:r>
        <w:rPr>
          <w:rFonts w:hint="eastAsia"/>
          <w:kern w:val="0"/>
          <w:sz w:val="24"/>
        </w:rPr>
        <w:t>，旱作标准）后，</w:t>
      </w:r>
      <w:bookmarkStart w:id="131" w:name="_Hlk532911898"/>
      <w:r>
        <w:rPr>
          <w:rFonts w:hint="eastAsia"/>
          <w:kern w:val="0"/>
          <w:sz w:val="24"/>
        </w:rPr>
        <w:t>灌溉农田。</w:t>
      </w:r>
      <w:bookmarkEnd w:id="131"/>
    </w:p>
    <w:p>
      <w:pPr>
        <w:tabs>
          <w:tab w:val="left" w:pos="2100"/>
        </w:tabs>
        <w:spacing w:line="480" w:lineRule="exact"/>
        <w:ind w:firstLine="480" w:firstLineChars="200"/>
        <w:rPr>
          <w:kern w:val="0"/>
          <w:sz w:val="24"/>
        </w:rPr>
      </w:pPr>
      <w:r>
        <w:rPr>
          <w:rFonts w:hint="eastAsia"/>
          <w:kern w:val="0"/>
          <w:sz w:val="24"/>
        </w:rPr>
        <w:t>由上可知，拟建项目废水进入场内污水处理站进行处理可行。</w:t>
      </w:r>
    </w:p>
    <w:p>
      <w:pPr>
        <w:tabs>
          <w:tab w:val="left" w:pos="2100"/>
        </w:tabs>
        <w:spacing w:line="480" w:lineRule="exact"/>
        <w:ind w:firstLine="480" w:firstLineChars="200"/>
        <w:rPr>
          <w:kern w:val="0"/>
          <w:sz w:val="24"/>
        </w:rPr>
      </w:pPr>
      <w:r>
        <w:rPr>
          <w:rFonts w:hint="eastAsia"/>
          <w:kern w:val="0"/>
          <w:sz w:val="24"/>
        </w:rPr>
        <w:t>（</w:t>
      </w:r>
      <w:r>
        <w:rPr>
          <w:kern w:val="0"/>
          <w:sz w:val="24"/>
          <w:lang w:val="en-GB"/>
        </w:rPr>
        <w:t>3</w:t>
      </w:r>
      <w:r>
        <w:rPr>
          <w:rFonts w:hint="eastAsia"/>
          <w:kern w:val="0"/>
          <w:sz w:val="24"/>
        </w:rPr>
        <w:t>）</w:t>
      </w:r>
      <w:r>
        <w:rPr>
          <w:rFonts w:hint="eastAsia"/>
          <w:kern w:val="0"/>
          <w:sz w:val="24"/>
          <w:lang w:val="en-GB"/>
        </w:rPr>
        <w:t>加强环境管理，禁止废水外排</w:t>
      </w:r>
    </w:p>
    <w:p>
      <w:pPr>
        <w:tabs>
          <w:tab w:val="left" w:pos="2100"/>
        </w:tabs>
        <w:spacing w:line="480" w:lineRule="exact"/>
        <w:ind w:firstLine="480" w:firstLineChars="200"/>
        <w:rPr>
          <w:kern w:val="0"/>
          <w:sz w:val="24"/>
          <w:lang w:val="en-GB"/>
        </w:rPr>
      </w:pPr>
      <w:r>
        <w:rPr>
          <w:rFonts w:hint="eastAsia"/>
          <w:kern w:val="0"/>
          <w:sz w:val="24"/>
          <w:lang w:val="en-GB"/>
        </w:rPr>
        <w:t>根据《中华人民共和国水污染防治法》第</w:t>
      </w:r>
      <w:r>
        <w:rPr>
          <w:kern w:val="0"/>
          <w:sz w:val="24"/>
          <w:lang w:val="en-GB"/>
        </w:rPr>
        <w:t>35</w:t>
      </w:r>
      <w:r>
        <w:rPr>
          <w:rFonts w:hint="eastAsia"/>
          <w:kern w:val="0"/>
          <w:sz w:val="24"/>
          <w:lang w:val="en-GB"/>
        </w:rPr>
        <w:t>条的规定：“禁止利用渗井、渗坑、残隙和溶洞排放、倾倒含有毒污染物的废水、含病原体的污水和其他废弃物”。因此，建设单位必须加强环保意识，加强污染物排放管理，搞好污染物的综合利用，严禁向上述所列地方排放污染物。</w:t>
      </w:r>
    </w:p>
    <w:p>
      <w:pPr>
        <w:tabs>
          <w:tab w:val="left" w:pos="2100"/>
        </w:tabs>
        <w:spacing w:line="480" w:lineRule="exact"/>
        <w:ind w:firstLine="480" w:firstLineChars="200"/>
        <w:rPr>
          <w:kern w:val="0"/>
          <w:sz w:val="24"/>
          <w:lang w:val="en-GB"/>
        </w:rPr>
      </w:pPr>
      <w:r>
        <w:rPr>
          <w:rFonts w:hint="eastAsia"/>
          <w:kern w:val="0"/>
          <w:sz w:val="24"/>
          <w:lang w:val="en-GB"/>
        </w:rPr>
        <w:t>（</w:t>
      </w:r>
      <w:r>
        <w:rPr>
          <w:kern w:val="0"/>
          <w:sz w:val="24"/>
        </w:rPr>
        <w:t>4</w:t>
      </w:r>
      <w:r>
        <w:rPr>
          <w:rFonts w:hint="eastAsia"/>
          <w:kern w:val="0"/>
          <w:sz w:val="24"/>
          <w:lang w:val="en-GB"/>
        </w:rPr>
        <w:t>）废水贮存灌溉可行性分析</w:t>
      </w:r>
    </w:p>
    <w:p>
      <w:pPr>
        <w:tabs>
          <w:tab w:val="left" w:pos="2100"/>
        </w:tabs>
        <w:spacing w:line="480" w:lineRule="exact"/>
        <w:ind w:firstLine="480" w:firstLineChars="200"/>
        <w:rPr>
          <w:kern w:val="0"/>
          <w:sz w:val="24"/>
        </w:rPr>
      </w:pPr>
      <w:r>
        <w:rPr>
          <w:rFonts w:hint="eastAsia"/>
          <w:kern w:val="0"/>
          <w:sz w:val="24"/>
        </w:rPr>
        <w:t>由于项目地处北方地区，冬季寒冷不能灌溉，养殖场冬季所排污水经污水处理站处理达标后排入清水储池，再春夏季时再进行灌溉。</w:t>
      </w:r>
    </w:p>
    <w:p>
      <w:pPr>
        <w:tabs>
          <w:tab w:val="left" w:pos="2100"/>
        </w:tabs>
        <w:spacing w:line="480" w:lineRule="exact"/>
        <w:ind w:firstLine="480" w:firstLineChars="200"/>
        <w:rPr>
          <w:kern w:val="0"/>
          <w:sz w:val="24"/>
        </w:rPr>
      </w:pPr>
      <w:r>
        <w:rPr>
          <w:rFonts w:hint="eastAsia"/>
          <w:kern w:val="0"/>
          <w:sz w:val="24"/>
          <w:lang w:val="en-GB"/>
        </w:rPr>
        <w:t>根据《畜禽养殖业污染治理工程技术规范》（</w:t>
      </w:r>
      <w:r>
        <w:rPr>
          <w:kern w:val="0"/>
          <w:sz w:val="24"/>
          <w:lang w:val="en-GB"/>
        </w:rPr>
        <w:t>HJ497-2009</w:t>
      </w:r>
      <w:r>
        <w:rPr>
          <w:rFonts w:hint="eastAsia"/>
          <w:kern w:val="0"/>
          <w:sz w:val="24"/>
          <w:lang w:val="en-GB"/>
        </w:rPr>
        <w:t>）和《畜禽养殖业污染防治技术规范》（</w:t>
      </w:r>
      <w:r>
        <w:rPr>
          <w:kern w:val="0"/>
          <w:sz w:val="24"/>
          <w:lang w:val="en-GB"/>
        </w:rPr>
        <w:t>HJ/T81-2001</w:t>
      </w:r>
      <w:r>
        <w:rPr>
          <w:rFonts w:hint="eastAsia"/>
          <w:kern w:val="0"/>
          <w:sz w:val="24"/>
          <w:lang w:val="en-GB"/>
        </w:rPr>
        <w:t>）的有关规定，畜禽养殖过程产生的污水应坚持种养结合的原则，经无害化处理后尽量充分还田，实现污水资源化利用。本项目从环境保护角度出发，结合当地农业生产实</w:t>
      </w:r>
      <w:r>
        <w:rPr>
          <w:rFonts w:hint="eastAsia"/>
          <w:kern w:val="0"/>
          <w:sz w:val="24"/>
        </w:rPr>
        <w:t>际，</w:t>
      </w:r>
      <w:r>
        <w:rPr>
          <w:rFonts w:hint="eastAsia"/>
          <w:kern w:val="0"/>
          <w:sz w:val="24"/>
          <w:lang w:val="en-GB"/>
        </w:rPr>
        <w:t>本项目经污水处理站出水用于灌溉周围农田，项目区周围土地广阔，受纳土地容量足够，周围农田完全可消纳项目所排废水。</w:t>
      </w:r>
      <w:r>
        <w:rPr>
          <w:rFonts w:hint="eastAsia"/>
          <w:kern w:val="0"/>
          <w:sz w:val="24"/>
        </w:rPr>
        <w:t>本次环评提出粪污消纳区域应远离饮用水井，避免生物肥淋溶入地下水对饮用水造成污染。</w:t>
      </w:r>
    </w:p>
    <w:p>
      <w:pPr>
        <w:tabs>
          <w:tab w:val="left" w:pos="2100"/>
        </w:tabs>
        <w:spacing w:line="480" w:lineRule="exact"/>
        <w:ind w:firstLine="480" w:firstLineChars="200"/>
        <w:rPr>
          <w:kern w:val="0"/>
          <w:sz w:val="24"/>
        </w:rPr>
      </w:pPr>
      <w:r>
        <w:rPr>
          <w:rFonts w:hint="eastAsia"/>
          <w:kern w:val="0"/>
          <w:sz w:val="24"/>
        </w:rPr>
        <w:t>（</w:t>
      </w:r>
      <w:r>
        <w:rPr>
          <w:kern w:val="0"/>
          <w:sz w:val="24"/>
        </w:rPr>
        <w:t>6</w:t>
      </w:r>
      <w:r>
        <w:rPr>
          <w:rFonts w:hint="eastAsia"/>
          <w:kern w:val="0"/>
          <w:sz w:val="24"/>
        </w:rPr>
        <w:t>）运输路线可行性</w:t>
      </w:r>
    </w:p>
    <w:p>
      <w:pPr>
        <w:tabs>
          <w:tab w:val="left" w:pos="2100"/>
        </w:tabs>
        <w:spacing w:line="480" w:lineRule="exact"/>
        <w:ind w:firstLine="480" w:firstLineChars="200"/>
        <w:rPr>
          <w:kern w:val="0"/>
          <w:sz w:val="24"/>
          <w:lang w:val="en-GB"/>
        </w:rPr>
      </w:pPr>
      <w:r>
        <w:rPr>
          <w:rFonts w:hint="eastAsia"/>
          <w:kern w:val="0"/>
          <w:sz w:val="24"/>
          <w:lang w:val="en-GB"/>
        </w:rPr>
        <w:t>本项目废水利用罐车</w:t>
      </w:r>
      <w:r>
        <w:rPr>
          <w:rFonts w:hint="eastAsia"/>
          <w:kern w:val="0"/>
          <w:sz w:val="24"/>
        </w:rPr>
        <w:t>定期</w:t>
      </w:r>
      <w:r>
        <w:rPr>
          <w:rFonts w:hint="eastAsia"/>
          <w:kern w:val="0"/>
          <w:sz w:val="24"/>
          <w:lang w:val="en-GB"/>
        </w:rPr>
        <w:t>拉运废水至田间地头，均利用原有乡村道路，罐车发生翻车事故导致废水散逸的可能性很小。本项目提出在天气状况不良的情况下，禁止运输罐车进入道路，对相关人员进行培训，同时要对运输车辆进行车况安全检查，对有安全隐患的车辆在未排除隐患前不许参与运输。在采取了以上保护措施后，本项目运输线路是可行的。</w:t>
      </w:r>
      <w:bookmarkEnd w:id="130"/>
      <w:bookmarkStart w:id="132" w:name="_Toc502736523"/>
      <w:bookmarkStart w:id="133" w:name="_Toc30205"/>
    </w:p>
    <w:p>
      <w:pPr>
        <w:keepNext/>
        <w:keepLines/>
        <w:tabs>
          <w:tab w:val="left" w:pos="2100"/>
        </w:tabs>
        <w:spacing w:line="480" w:lineRule="exact"/>
        <w:outlineLvl w:val="2"/>
        <w:rPr>
          <w:b/>
          <w:kern w:val="0"/>
          <w:sz w:val="24"/>
        </w:rPr>
      </w:pPr>
      <w:r>
        <w:rPr>
          <w:b/>
          <w:kern w:val="0"/>
          <w:sz w:val="24"/>
        </w:rPr>
        <w:t>6.2.3</w:t>
      </w:r>
      <w:r>
        <w:rPr>
          <w:rFonts w:hint="eastAsia"/>
          <w:b/>
          <w:kern w:val="0"/>
          <w:sz w:val="24"/>
        </w:rPr>
        <w:t>地下水污染防治措施</w:t>
      </w:r>
      <w:bookmarkEnd w:id="132"/>
      <w:bookmarkEnd w:id="133"/>
    </w:p>
    <w:p>
      <w:pPr>
        <w:tabs>
          <w:tab w:val="left" w:pos="2100"/>
        </w:tabs>
        <w:spacing w:line="480" w:lineRule="exact"/>
        <w:ind w:firstLine="480" w:firstLineChars="200"/>
        <w:jc w:val="left"/>
        <w:rPr>
          <w:kern w:val="0"/>
          <w:sz w:val="24"/>
        </w:rPr>
      </w:pPr>
      <w:r>
        <w:rPr>
          <w:rFonts w:hint="eastAsia"/>
          <w:kern w:val="0"/>
          <w:sz w:val="24"/>
        </w:rPr>
        <w:t>按地下水环境影响评价导则提出的“源头控制、末端防治、污染监控、应急响应”的地下水污染防治要求，结合本项目工程类型及污染源分布，提出以下防治原则：</w:t>
      </w:r>
    </w:p>
    <w:p>
      <w:pPr>
        <w:tabs>
          <w:tab w:val="left" w:pos="2100"/>
        </w:tabs>
        <w:spacing w:line="480" w:lineRule="exact"/>
        <w:ind w:firstLine="480" w:firstLineChars="200"/>
        <w:jc w:val="left"/>
        <w:rPr>
          <w:kern w:val="0"/>
          <w:sz w:val="24"/>
        </w:rPr>
      </w:pPr>
      <w:r>
        <w:rPr>
          <w:rFonts w:hint="eastAsia"/>
          <w:kern w:val="0"/>
          <w:sz w:val="24"/>
        </w:rPr>
        <w:t>①主动控制原则</w:t>
      </w:r>
    </w:p>
    <w:p>
      <w:pPr>
        <w:tabs>
          <w:tab w:val="left" w:pos="2100"/>
        </w:tabs>
        <w:spacing w:line="480" w:lineRule="exact"/>
        <w:ind w:firstLine="480" w:firstLineChars="200"/>
        <w:jc w:val="left"/>
        <w:rPr>
          <w:kern w:val="0"/>
          <w:sz w:val="24"/>
        </w:rPr>
      </w:pPr>
      <w:r>
        <w:rPr>
          <w:rFonts w:hint="eastAsia"/>
          <w:kern w:val="0"/>
          <w:sz w:val="24"/>
        </w:rPr>
        <w:t>主动控制，即从源头控制措施，主要包括在工艺、管道、设备、污水贮存及处理构筑物采取相应措施，降低和防止污染物跑、冒、滴、漏，将污染物泄漏的环境风险事故降到最低程度；</w:t>
      </w:r>
    </w:p>
    <w:p>
      <w:pPr>
        <w:tabs>
          <w:tab w:val="left" w:pos="2100"/>
        </w:tabs>
        <w:spacing w:line="480" w:lineRule="exact"/>
        <w:ind w:firstLine="480" w:firstLineChars="200"/>
        <w:jc w:val="left"/>
        <w:rPr>
          <w:kern w:val="0"/>
          <w:sz w:val="24"/>
        </w:rPr>
      </w:pPr>
      <w:r>
        <w:rPr>
          <w:rFonts w:hint="eastAsia"/>
          <w:kern w:val="0"/>
          <w:sz w:val="24"/>
        </w:rPr>
        <w:t>②被动控制原则</w:t>
      </w:r>
    </w:p>
    <w:p>
      <w:pPr>
        <w:tabs>
          <w:tab w:val="left" w:pos="2100"/>
        </w:tabs>
        <w:spacing w:line="480" w:lineRule="exact"/>
        <w:ind w:firstLine="480" w:firstLineChars="200"/>
        <w:jc w:val="left"/>
        <w:rPr>
          <w:kern w:val="0"/>
          <w:sz w:val="24"/>
        </w:rPr>
      </w:pPr>
      <w:r>
        <w:rPr>
          <w:rFonts w:hint="eastAsia"/>
          <w:kern w:val="0"/>
          <w:sz w:val="24"/>
        </w:rPr>
        <w:t>被动控制，即末端控制措施，主要包括项目区内污染区地面的防渗措施和泄漏、渗漏污染物收集措施，即在污染区地面进行防渗处理，防止洒落地面的污染物渗入地下，并把滞留在地面的污染物收集起来，集中送至污水处理设施进行处理；</w:t>
      </w:r>
    </w:p>
    <w:p>
      <w:pPr>
        <w:tabs>
          <w:tab w:val="left" w:pos="2100"/>
        </w:tabs>
        <w:spacing w:line="480" w:lineRule="exact"/>
        <w:ind w:firstLine="480" w:firstLineChars="200"/>
        <w:jc w:val="left"/>
        <w:rPr>
          <w:kern w:val="0"/>
          <w:sz w:val="24"/>
        </w:rPr>
      </w:pPr>
      <w:r>
        <w:rPr>
          <w:rFonts w:hint="eastAsia"/>
          <w:kern w:val="0"/>
          <w:sz w:val="24"/>
        </w:rPr>
        <w:t>③坚持“可视化”原则</w:t>
      </w:r>
    </w:p>
    <w:p>
      <w:pPr>
        <w:tabs>
          <w:tab w:val="left" w:pos="2100"/>
        </w:tabs>
        <w:spacing w:line="480" w:lineRule="exact"/>
        <w:ind w:firstLine="480" w:firstLineChars="200"/>
        <w:jc w:val="left"/>
        <w:rPr>
          <w:kern w:val="0"/>
          <w:sz w:val="24"/>
        </w:rPr>
      </w:pPr>
      <w:r>
        <w:rPr>
          <w:rFonts w:hint="eastAsia"/>
          <w:kern w:val="0"/>
          <w:sz w:val="24"/>
        </w:rPr>
        <w:t>坚持“可视化”原则，在满足工程和防渗层结构标准要求的前提下，尽量在地表面实施防渗措施，便于泄漏物质就地收集和及时发现破损的防渗层；</w:t>
      </w:r>
    </w:p>
    <w:p>
      <w:pPr>
        <w:tabs>
          <w:tab w:val="left" w:pos="2100"/>
        </w:tabs>
        <w:spacing w:line="480" w:lineRule="exact"/>
        <w:ind w:firstLine="480" w:firstLineChars="200"/>
        <w:jc w:val="left"/>
        <w:rPr>
          <w:kern w:val="0"/>
          <w:sz w:val="24"/>
        </w:rPr>
      </w:pPr>
      <w:r>
        <w:rPr>
          <w:rFonts w:hint="eastAsia"/>
          <w:kern w:val="0"/>
          <w:sz w:val="24"/>
        </w:rPr>
        <w:t>④工程措施与污染监控相结合的原则</w:t>
      </w:r>
    </w:p>
    <w:p>
      <w:pPr>
        <w:tabs>
          <w:tab w:val="left" w:pos="2100"/>
        </w:tabs>
        <w:spacing w:line="480" w:lineRule="exact"/>
        <w:ind w:firstLine="480" w:firstLineChars="200"/>
        <w:jc w:val="left"/>
        <w:rPr>
          <w:bCs/>
          <w:sz w:val="24"/>
        </w:rPr>
      </w:pPr>
      <w:r>
        <w:rPr>
          <w:rFonts w:hint="eastAsia"/>
          <w:kern w:val="0"/>
          <w:sz w:val="24"/>
        </w:rPr>
        <w:t>采用先进的防渗材料、技术和实施手段，最大限度的强化防渗防污能力；同时实施覆盖饲养区及周边一定范围的地下水污染监控系统，包括建立完善的监测报告制度，配备先进的检漏检测分析仪器设备，科学合理布设地下水污染监控井，及时发现污染，及时采取措施，及早消除不良影响。</w:t>
      </w:r>
    </w:p>
    <w:p>
      <w:pPr>
        <w:pStyle w:val="3"/>
        <w:spacing w:before="0" w:after="0" w:line="480" w:lineRule="exact"/>
        <w:rPr>
          <w:sz w:val="24"/>
          <w:szCs w:val="24"/>
        </w:rPr>
      </w:pPr>
      <w:r>
        <w:rPr>
          <w:rFonts w:hint="eastAsia"/>
          <w:sz w:val="24"/>
          <w:szCs w:val="24"/>
        </w:rPr>
        <w:t>7.3.</w:t>
      </w:r>
      <w:r>
        <w:rPr>
          <w:sz w:val="24"/>
          <w:szCs w:val="24"/>
        </w:rPr>
        <w:t>3</w:t>
      </w:r>
      <w:r>
        <w:rPr>
          <w:rFonts w:hint="eastAsia"/>
          <w:sz w:val="24"/>
          <w:szCs w:val="24"/>
        </w:rPr>
        <w:t>运营期噪声污染防治措施</w:t>
      </w:r>
    </w:p>
    <w:p>
      <w:pPr>
        <w:spacing w:line="480" w:lineRule="exact"/>
        <w:ind w:firstLine="480" w:firstLineChars="200"/>
        <w:rPr>
          <w:sz w:val="24"/>
          <w:szCs w:val="24"/>
        </w:rPr>
      </w:pPr>
      <w:r>
        <w:rPr>
          <w:sz w:val="24"/>
          <w:szCs w:val="24"/>
        </w:rPr>
        <w:t>针对本工程生产特点，评价提出的噪声防治措施包括以下几个方面：</w:t>
      </w:r>
    </w:p>
    <w:p>
      <w:pPr>
        <w:spacing w:line="480" w:lineRule="exact"/>
        <w:ind w:firstLine="480" w:firstLineChars="200"/>
        <w:rPr>
          <w:rFonts w:hAnsi="宋体"/>
          <w:sz w:val="24"/>
        </w:rPr>
      </w:pPr>
      <w:r>
        <w:rPr>
          <w:rFonts w:hint="eastAsia" w:hAnsi="宋体"/>
          <w:sz w:val="24"/>
        </w:rPr>
        <w:t>（1）</w:t>
      </w:r>
      <w:r>
        <w:rPr>
          <w:rFonts w:hAnsi="宋体"/>
          <w:sz w:val="24"/>
        </w:rPr>
        <w:t>消声</w:t>
      </w:r>
    </w:p>
    <w:p>
      <w:pPr>
        <w:spacing w:line="480" w:lineRule="exact"/>
        <w:ind w:firstLine="480" w:firstLineChars="200"/>
        <w:rPr>
          <w:rFonts w:hAnsi="宋体"/>
          <w:sz w:val="24"/>
        </w:rPr>
      </w:pPr>
      <w:r>
        <w:rPr>
          <w:rFonts w:hAnsi="宋体"/>
          <w:sz w:val="24"/>
        </w:rPr>
        <w:t>在气动性噪声设备上安装相应的消声装置，如引风机应安装消声器；</w:t>
      </w:r>
    </w:p>
    <w:p>
      <w:pPr>
        <w:spacing w:line="480" w:lineRule="exact"/>
        <w:ind w:firstLine="480" w:firstLineChars="200"/>
        <w:rPr>
          <w:rFonts w:hAnsi="宋体"/>
          <w:sz w:val="24"/>
        </w:rPr>
      </w:pPr>
      <w:r>
        <w:rPr>
          <w:rFonts w:hint="eastAsia" w:hAnsi="宋体"/>
          <w:sz w:val="24"/>
        </w:rPr>
        <w:t>（2）</w:t>
      </w:r>
      <w:r>
        <w:rPr>
          <w:rFonts w:hAnsi="宋体"/>
          <w:sz w:val="24"/>
        </w:rPr>
        <w:t>隔声</w:t>
      </w:r>
    </w:p>
    <w:p>
      <w:pPr>
        <w:spacing w:line="480" w:lineRule="exact"/>
        <w:ind w:firstLine="480" w:firstLineChars="200"/>
        <w:rPr>
          <w:rFonts w:hAnsi="宋体"/>
          <w:sz w:val="24"/>
        </w:rPr>
      </w:pPr>
      <w:r>
        <w:rPr>
          <w:rFonts w:hAnsi="宋体"/>
          <w:sz w:val="24"/>
        </w:rPr>
        <w:t>产噪设备均设置于室内</w:t>
      </w:r>
      <w:r>
        <w:rPr>
          <w:rFonts w:hint="eastAsia" w:hAnsi="宋体"/>
          <w:sz w:val="24"/>
        </w:rPr>
        <w:t>，设备安设隔声罩</w:t>
      </w:r>
      <w:r>
        <w:rPr>
          <w:rFonts w:hAnsi="宋体"/>
          <w:sz w:val="24"/>
        </w:rPr>
        <w:t>；</w:t>
      </w:r>
      <w:r>
        <w:rPr>
          <w:rFonts w:hint="eastAsia" w:hAnsi="宋体"/>
          <w:sz w:val="24"/>
        </w:rPr>
        <w:t>将泵类安设隔声罩</w:t>
      </w:r>
      <w:r>
        <w:rPr>
          <w:rFonts w:hAnsi="宋体"/>
          <w:sz w:val="24"/>
        </w:rPr>
        <w:t>；</w:t>
      </w:r>
    </w:p>
    <w:p>
      <w:pPr>
        <w:spacing w:line="480" w:lineRule="exact"/>
        <w:ind w:firstLine="480" w:firstLineChars="200"/>
        <w:rPr>
          <w:rFonts w:hAnsi="宋体"/>
          <w:sz w:val="24"/>
        </w:rPr>
      </w:pPr>
      <w:r>
        <w:rPr>
          <w:rFonts w:hint="eastAsia" w:hAnsi="宋体"/>
          <w:sz w:val="24"/>
        </w:rPr>
        <w:t>（3）</w:t>
      </w:r>
      <w:r>
        <w:rPr>
          <w:rFonts w:hAnsi="宋体"/>
          <w:sz w:val="24"/>
        </w:rPr>
        <w:t>减振与隔振</w:t>
      </w:r>
    </w:p>
    <w:p>
      <w:pPr>
        <w:spacing w:line="480" w:lineRule="exact"/>
        <w:ind w:firstLine="480" w:firstLineChars="200"/>
        <w:rPr>
          <w:rFonts w:hAnsi="宋体"/>
          <w:sz w:val="24"/>
        </w:rPr>
      </w:pPr>
      <w:r>
        <w:rPr>
          <w:rFonts w:hAnsi="宋体"/>
          <w:sz w:val="24"/>
        </w:rPr>
        <w:t>机械设备产生的噪声不仅能以空气为媒介向外传播，还有直接激发固体构件振动以弹性波的形式在基础、地板、墙壁、管道中传播，并在传播过程中向外辐射噪声，为了防止振动产生的噪声污染，采取</w:t>
      </w:r>
      <w:r>
        <w:rPr>
          <w:rFonts w:hint="eastAsia" w:hAnsi="宋体"/>
          <w:sz w:val="24"/>
        </w:rPr>
        <w:t>基础减震，对</w:t>
      </w:r>
      <w:r>
        <w:rPr>
          <w:rFonts w:hAnsi="宋体"/>
          <w:sz w:val="24"/>
        </w:rPr>
        <w:t>振动较大的设备与管道连接采用柔性连接方式</w:t>
      </w:r>
      <w:r>
        <w:rPr>
          <w:rFonts w:hint="eastAsia" w:hAnsi="宋体"/>
          <w:sz w:val="24"/>
        </w:rPr>
        <w:t>；</w:t>
      </w:r>
    </w:p>
    <w:p>
      <w:pPr>
        <w:spacing w:line="480" w:lineRule="exact"/>
        <w:ind w:firstLine="480" w:firstLineChars="200"/>
        <w:rPr>
          <w:rFonts w:hAnsi="宋体"/>
          <w:sz w:val="24"/>
        </w:rPr>
      </w:pPr>
      <w:r>
        <w:rPr>
          <w:rFonts w:hint="eastAsia" w:hAnsi="宋体"/>
          <w:sz w:val="24"/>
        </w:rPr>
        <w:t>（4）工作人员防护</w:t>
      </w:r>
    </w:p>
    <w:p>
      <w:pPr>
        <w:spacing w:line="480" w:lineRule="exact"/>
        <w:ind w:firstLine="480" w:firstLineChars="200"/>
        <w:rPr>
          <w:sz w:val="24"/>
        </w:rPr>
      </w:pPr>
      <w:r>
        <w:rPr>
          <w:sz w:val="24"/>
        </w:rPr>
        <w:t>加强操作人员个人防护，发放耳机、耳塞等劳保用品，设隔离操作间，尽量减少噪声对职工身体健康的危害</w:t>
      </w:r>
      <w:r>
        <w:rPr>
          <w:rFonts w:hint="eastAsia"/>
          <w:sz w:val="24"/>
        </w:rPr>
        <w:t>；</w:t>
      </w:r>
    </w:p>
    <w:p>
      <w:pPr>
        <w:spacing w:line="480" w:lineRule="exact"/>
        <w:ind w:firstLine="480" w:firstLineChars="200"/>
        <w:rPr>
          <w:rFonts w:hAnsi="宋体"/>
          <w:sz w:val="24"/>
        </w:rPr>
      </w:pPr>
      <w:r>
        <w:rPr>
          <w:rFonts w:hint="eastAsia" w:hAnsi="宋体"/>
          <w:sz w:val="24"/>
        </w:rPr>
        <w:t>（5）运输噪声</w:t>
      </w:r>
    </w:p>
    <w:p>
      <w:pPr>
        <w:spacing w:line="480" w:lineRule="exact"/>
        <w:ind w:firstLine="480" w:firstLineChars="200"/>
        <w:rPr>
          <w:rFonts w:hAnsi="宋体"/>
          <w:sz w:val="24"/>
        </w:rPr>
      </w:pPr>
      <w:r>
        <w:rPr>
          <w:rFonts w:hint="eastAsia" w:hAnsi="宋体"/>
          <w:sz w:val="24"/>
        </w:rPr>
        <w:t>制定严格的管理措施，划定禁笛区域，限速区域并设立醒目标志；</w:t>
      </w:r>
    </w:p>
    <w:p>
      <w:pPr>
        <w:spacing w:line="480" w:lineRule="exact"/>
        <w:ind w:firstLine="480" w:firstLineChars="200"/>
        <w:rPr>
          <w:rFonts w:hAnsi="宋体"/>
          <w:sz w:val="24"/>
        </w:rPr>
      </w:pPr>
      <w:r>
        <w:rPr>
          <w:rFonts w:hint="eastAsia" w:hAnsi="宋体"/>
          <w:sz w:val="24"/>
        </w:rPr>
        <w:t>（6）</w:t>
      </w:r>
      <w:r>
        <w:rPr>
          <w:rFonts w:hAnsi="宋体"/>
          <w:sz w:val="24"/>
        </w:rPr>
        <w:t>其它</w:t>
      </w:r>
    </w:p>
    <w:p>
      <w:pPr>
        <w:spacing w:line="480" w:lineRule="exact"/>
        <w:ind w:firstLine="480" w:firstLineChars="200"/>
        <w:rPr>
          <w:rFonts w:hAnsi="宋体"/>
          <w:sz w:val="24"/>
        </w:rPr>
      </w:pPr>
      <w:r>
        <w:rPr>
          <w:rFonts w:hint="eastAsia" w:hAnsi="宋体"/>
          <w:sz w:val="24"/>
        </w:rPr>
        <w:t>除了防火重点区域外，尽可能在厂区和周围空地进行绿化。</w:t>
      </w:r>
      <w:r>
        <w:rPr>
          <w:rFonts w:hAnsi="宋体"/>
          <w:sz w:val="24"/>
        </w:rPr>
        <w:t>利用</w:t>
      </w:r>
      <w:r>
        <w:rPr>
          <w:rFonts w:hint="eastAsia" w:hAnsi="宋体"/>
          <w:sz w:val="24"/>
        </w:rPr>
        <w:t>周围</w:t>
      </w:r>
      <w:r>
        <w:rPr>
          <w:rFonts w:hAnsi="宋体"/>
          <w:sz w:val="24"/>
        </w:rPr>
        <w:t>建筑物、绿化植被等对噪声的屏蔽、吸纳作用，进行合理布局，从而起到降低噪声影响的作用，而且还能起到抑尘、净化空气、美化环境的效果。</w:t>
      </w:r>
    </w:p>
    <w:p>
      <w:pPr>
        <w:spacing w:line="480" w:lineRule="exact"/>
        <w:ind w:firstLine="480" w:firstLineChars="200"/>
        <w:rPr>
          <w:rFonts w:ascii="宋体" w:hAnsi="宋体"/>
          <w:bCs/>
          <w:sz w:val="24"/>
          <w:szCs w:val="24"/>
        </w:rPr>
      </w:pPr>
      <w:r>
        <w:rPr>
          <w:rFonts w:hint="eastAsia"/>
          <w:sz w:val="24"/>
          <w:szCs w:val="24"/>
        </w:rPr>
        <w:t>通过采取措施，可降噪10~20dB（A）。</w:t>
      </w:r>
    </w:p>
    <w:p>
      <w:pPr>
        <w:pStyle w:val="3"/>
        <w:spacing w:before="0" w:after="0" w:line="480" w:lineRule="exact"/>
        <w:rPr>
          <w:sz w:val="24"/>
          <w:szCs w:val="24"/>
        </w:rPr>
      </w:pPr>
      <w:r>
        <w:rPr>
          <w:rFonts w:hint="eastAsia"/>
          <w:sz w:val="24"/>
          <w:szCs w:val="24"/>
        </w:rPr>
        <w:t>7.3.4生态污染防治措施</w:t>
      </w:r>
    </w:p>
    <w:p>
      <w:pPr>
        <w:spacing w:line="480" w:lineRule="exact"/>
        <w:ind w:firstLine="480" w:firstLineChars="200"/>
        <w:rPr>
          <w:bCs/>
          <w:sz w:val="24"/>
        </w:rPr>
      </w:pPr>
      <w:r>
        <w:rPr>
          <w:rFonts w:hint="eastAsia"/>
          <w:bCs/>
          <w:sz w:val="24"/>
        </w:rPr>
        <w:t>（1）</w:t>
      </w:r>
      <w:r>
        <w:rPr>
          <w:bCs/>
          <w:sz w:val="24"/>
        </w:rPr>
        <w:t>运营期要加强对职工的环境保护教育，在厂内全面开展清洁生产，从源头治理开始，搞好生产过程的管理，把污染降至最低限度。定期或不定期的进行生态安全检查和监测，及时掌握厂区周围的生态变化，分析变化的成因及其与本厂固废排放的关系，以便及时采取防止对策措施。</w:t>
      </w:r>
    </w:p>
    <w:p>
      <w:pPr>
        <w:spacing w:line="480" w:lineRule="exact"/>
        <w:ind w:firstLine="480" w:firstLineChars="200"/>
        <w:rPr>
          <w:bCs/>
          <w:sz w:val="24"/>
        </w:rPr>
      </w:pPr>
      <w:r>
        <w:rPr>
          <w:rFonts w:hint="eastAsia"/>
          <w:bCs/>
          <w:sz w:val="24"/>
        </w:rPr>
        <w:t>（2）</w:t>
      </w:r>
      <w:r>
        <w:rPr>
          <w:bCs/>
          <w:sz w:val="24"/>
        </w:rPr>
        <w:t>工程投产后，相应生态环境也会发生变化。为此评价要求</w:t>
      </w:r>
      <w:r>
        <w:rPr>
          <w:rFonts w:hint="eastAsia"/>
          <w:bCs/>
          <w:sz w:val="24"/>
        </w:rPr>
        <w:t>加强绿化</w:t>
      </w:r>
      <w:r>
        <w:rPr>
          <w:bCs/>
          <w:sz w:val="24"/>
        </w:rPr>
        <w:t>。</w:t>
      </w:r>
    </w:p>
    <w:p>
      <w:pPr>
        <w:spacing w:line="480" w:lineRule="exact"/>
        <w:ind w:firstLine="480" w:firstLineChars="200"/>
        <w:rPr>
          <w:bCs/>
          <w:sz w:val="24"/>
        </w:rPr>
      </w:pPr>
      <w:r>
        <w:rPr>
          <w:rFonts w:hint="eastAsia"/>
          <w:bCs/>
          <w:sz w:val="24"/>
        </w:rPr>
        <w:t>绿化具有净化空气、降尘减噪、调节气候、美化环境等综合功能，对城市生态平衡也起着重要作用。厂区大部分地面将被建构筑物占据，其余裸露地表用于草坪、道路建设。厂区内道路采用砼路面或沥青混凝土路面等固土硬化措施进行处理；厂区绿化面积中有草坪、常绿乔灌木和时尚优良花卉；硬化与绿化的土地在防止污染，控制水土流失，保护、美化厂区生态环境和改善、优化劳动条件，提高工作效率等方面起着重要作用。</w:t>
      </w:r>
    </w:p>
    <w:p>
      <w:pPr>
        <w:spacing w:line="480" w:lineRule="exact"/>
        <w:ind w:firstLine="480" w:firstLineChars="200"/>
        <w:rPr>
          <w:bCs/>
          <w:sz w:val="24"/>
        </w:rPr>
      </w:pPr>
      <w:r>
        <w:rPr>
          <w:rFonts w:hint="eastAsia"/>
          <w:bCs/>
          <w:sz w:val="24"/>
        </w:rPr>
        <w:t>（3）厂区绿化布置原则</w:t>
      </w:r>
    </w:p>
    <w:p>
      <w:pPr>
        <w:spacing w:line="480" w:lineRule="exact"/>
        <w:ind w:firstLine="480" w:firstLineChars="200"/>
        <w:rPr>
          <w:rFonts w:ascii="宋体" w:hAnsi="宋体"/>
          <w:bCs/>
          <w:sz w:val="24"/>
          <w:szCs w:val="24"/>
        </w:rPr>
      </w:pPr>
      <w:r>
        <w:rPr>
          <w:rFonts w:hint="eastAsia"/>
          <w:bCs/>
          <w:sz w:val="24"/>
        </w:rPr>
        <w:t>根据厂区总平面布置，因地制宜，按区规划，分期、分片种植。按照实用、经济、美观的原则，栽植具有较强抗性和净化空气习性的树种和草坪，辅以花卉。</w:t>
      </w:r>
      <w:bookmarkEnd w:id="129"/>
    </w:p>
    <w:p>
      <w:pPr>
        <w:pStyle w:val="2"/>
        <w:spacing w:before="156" w:beforeLines="50" w:after="0" w:line="480" w:lineRule="exact"/>
        <w:rPr>
          <w:rFonts w:ascii="Times New Roman" w:hAnsi="Times New Roman"/>
          <w:bCs w:val="0"/>
          <w:spacing w:val="4"/>
          <w:sz w:val="28"/>
          <w:szCs w:val="28"/>
        </w:rPr>
      </w:pPr>
      <w:bookmarkStart w:id="134" w:name="_Toc19105479"/>
      <w:r>
        <w:rPr>
          <w:rFonts w:hint="eastAsia" w:ascii="Times New Roman" w:hAnsi="Times New Roman"/>
          <w:bCs w:val="0"/>
          <w:spacing w:val="4"/>
          <w:sz w:val="28"/>
          <w:szCs w:val="28"/>
        </w:rPr>
        <w:t>7.4</w:t>
      </w:r>
      <w:r>
        <w:rPr>
          <w:rFonts w:hint="eastAsia"/>
          <w:sz w:val="28"/>
          <w:szCs w:val="28"/>
        </w:rPr>
        <w:t>环境保护设施（措施）汇总</w:t>
      </w:r>
      <w:bookmarkEnd w:id="134"/>
    </w:p>
    <w:p>
      <w:pPr>
        <w:spacing w:line="480" w:lineRule="exact"/>
        <w:ind w:firstLine="480" w:firstLineChars="200"/>
        <w:rPr>
          <w:color w:val="000000"/>
          <w:sz w:val="24"/>
        </w:rPr>
      </w:pPr>
      <w:r>
        <w:rPr>
          <w:rFonts w:hint="eastAsia"/>
          <w:color w:val="000000"/>
          <w:sz w:val="24"/>
        </w:rPr>
        <w:t>项目进行期间的废气、废水、噪声、固体废物及其它污染防治措施及环保投资汇总情况见表7.4-1。</w:t>
      </w:r>
    </w:p>
    <w:p>
      <w:pPr>
        <w:spacing w:line="480" w:lineRule="exact"/>
        <w:jc w:val="center"/>
        <w:rPr>
          <w:rFonts w:ascii="黑体" w:hAnsi="黑体" w:eastAsia="黑体"/>
          <w:bCs/>
          <w:color w:val="000000"/>
          <w:sz w:val="24"/>
        </w:rPr>
      </w:pPr>
      <w:bookmarkStart w:id="135" w:name="_Toc31821"/>
      <w:bookmarkStart w:id="136" w:name="_Toc15636"/>
    </w:p>
    <w:p>
      <w:pPr>
        <w:spacing w:line="480" w:lineRule="exact"/>
        <w:jc w:val="center"/>
        <w:rPr>
          <w:rFonts w:ascii="黑体" w:hAnsi="黑体" w:eastAsia="黑体"/>
          <w:bCs/>
          <w:color w:val="000000"/>
          <w:sz w:val="24"/>
        </w:rPr>
      </w:pPr>
    </w:p>
    <w:p>
      <w:pPr>
        <w:spacing w:line="480" w:lineRule="exact"/>
        <w:jc w:val="center"/>
        <w:rPr>
          <w:rFonts w:ascii="黑体" w:hAnsi="黑体" w:eastAsia="黑体"/>
          <w:bCs/>
          <w:color w:val="000000"/>
          <w:sz w:val="24"/>
        </w:rPr>
      </w:pPr>
    </w:p>
    <w:p>
      <w:pPr>
        <w:spacing w:line="480" w:lineRule="exact"/>
        <w:jc w:val="center"/>
        <w:rPr>
          <w:rFonts w:ascii="黑体" w:hAnsi="黑体" w:eastAsia="黑体"/>
          <w:bCs/>
          <w:color w:val="000000"/>
          <w:sz w:val="24"/>
        </w:rPr>
      </w:pPr>
    </w:p>
    <w:p>
      <w:pPr>
        <w:spacing w:line="480" w:lineRule="exact"/>
        <w:jc w:val="center"/>
        <w:rPr>
          <w:rFonts w:ascii="黑体" w:hAnsi="黑体" w:eastAsia="黑体"/>
          <w:bCs/>
          <w:color w:val="000000"/>
          <w:sz w:val="24"/>
        </w:rPr>
      </w:pPr>
      <w:r>
        <w:rPr>
          <w:rFonts w:hint="eastAsia" w:ascii="黑体" w:hAnsi="黑体" w:eastAsia="黑体"/>
          <w:bCs/>
          <w:color w:val="000000"/>
          <w:sz w:val="24"/>
        </w:rPr>
        <w:t>表7.4-1  环保设施汇总一览表及环保投资</w:t>
      </w:r>
    </w:p>
    <w:tbl>
      <w:tblPr>
        <w:tblStyle w:val="3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83"/>
        <w:gridCol w:w="1292"/>
        <w:gridCol w:w="1437"/>
        <w:gridCol w:w="4624"/>
        <w:gridCol w:w="102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Align w:val="center"/>
          </w:tcPr>
          <w:p>
            <w:pPr>
              <w:jc w:val="center"/>
              <w:rPr>
                <w:color w:val="000000"/>
                <w:szCs w:val="21"/>
              </w:rPr>
            </w:pPr>
            <w:bookmarkStart w:id="137" w:name="_Hlk9002521"/>
            <w:r>
              <w:rPr>
                <w:rFonts w:hint="eastAsia"/>
                <w:color w:val="000000"/>
                <w:szCs w:val="21"/>
              </w:rPr>
              <w:t>种类</w:t>
            </w:r>
          </w:p>
        </w:tc>
        <w:tc>
          <w:tcPr>
            <w:tcW w:w="713" w:type="pct"/>
            <w:vAlign w:val="center"/>
          </w:tcPr>
          <w:p>
            <w:pPr>
              <w:jc w:val="center"/>
              <w:rPr>
                <w:color w:val="000000"/>
                <w:szCs w:val="21"/>
              </w:rPr>
            </w:pPr>
            <w:r>
              <w:rPr>
                <w:rFonts w:hint="eastAsia"/>
                <w:color w:val="000000"/>
                <w:szCs w:val="21"/>
              </w:rPr>
              <w:t>生产</w:t>
            </w:r>
          </w:p>
          <w:p>
            <w:pPr>
              <w:jc w:val="center"/>
              <w:rPr>
                <w:color w:val="000000"/>
                <w:szCs w:val="21"/>
              </w:rPr>
            </w:pPr>
            <w:r>
              <w:rPr>
                <w:rFonts w:hint="eastAsia"/>
                <w:color w:val="000000"/>
                <w:szCs w:val="21"/>
              </w:rPr>
              <w:t>工序</w:t>
            </w:r>
          </w:p>
        </w:tc>
        <w:tc>
          <w:tcPr>
            <w:tcW w:w="793" w:type="pct"/>
            <w:vAlign w:val="center"/>
          </w:tcPr>
          <w:p>
            <w:pPr>
              <w:jc w:val="center"/>
              <w:rPr>
                <w:color w:val="000000"/>
                <w:szCs w:val="21"/>
              </w:rPr>
            </w:pPr>
            <w:r>
              <w:rPr>
                <w:rFonts w:hint="eastAsia"/>
                <w:color w:val="000000"/>
                <w:szCs w:val="21"/>
              </w:rPr>
              <w:t>污染源（物）</w:t>
            </w:r>
          </w:p>
        </w:tc>
        <w:tc>
          <w:tcPr>
            <w:tcW w:w="2552" w:type="pct"/>
            <w:vAlign w:val="center"/>
          </w:tcPr>
          <w:p>
            <w:pPr>
              <w:jc w:val="center"/>
              <w:rPr>
                <w:color w:val="000000"/>
                <w:szCs w:val="21"/>
              </w:rPr>
            </w:pPr>
            <w:r>
              <w:rPr>
                <w:rFonts w:hint="eastAsia"/>
                <w:color w:val="000000"/>
                <w:szCs w:val="21"/>
              </w:rPr>
              <w:t>环境保护设施（措施）</w:t>
            </w:r>
          </w:p>
        </w:tc>
        <w:tc>
          <w:tcPr>
            <w:tcW w:w="0" w:type="auto"/>
            <w:vAlign w:val="center"/>
          </w:tcPr>
          <w:p>
            <w:pPr>
              <w:jc w:val="center"/>
              <w:rPr>
                <w:color w:val="000000"/>
                <w:szCs w:val="21"/>
              </w:rPr>
            </w:pPr>
            <w:r>
              <w:rPr>
                <w:rFonts w:hint="eastAsia"/>
                <w:color w:val="000000"/>
                <w:szCs w:val="21"/>
              </w:rPr>
              <w:t>环保投资</w:t>
            </w:r>
          </w:p>
          <w:p>
            <w:pPr>
              <w:jc w:val="center"/>
              <w:rPr>
                <w:color w:val="000000"/>
                <w:szCs w:val="21"/>
              </w:rPr>
            </w:pPr>
            <w:r>
              <w:rPr>
                <w:rFonts w:hint="eastAsia"/>
                <w:color w:val="000000"/>
                <w:szCs w:val="21"/>
              </w:rPr>
              <w:t>（万元）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restart"/>
            <w:vAlign w:val="center"/>
          </w:tcPr>
          <w:p>
            <w:pPr>
              <w:jc w:val="center"/>
              <w:rPr>
                <w:color w:val="000000"/>
                <w:szCs w:val="21"/>
              </w:rPr>
            </w:pPr>
            <w:r>
              <w:rPr>
                <w:rFonts w:hint="eastAsia"/>
                <w:color w:val="000000"/>
                <w:szCs w:val="21"/>
              </w:rPr>
              <w:t>废气</w:t>
            </w: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鸡舍恶臭</w:t>
            </w:r>
          </w:p>
        </w:tc>
        <w:tc>
          <w:tcPr>
            <w:tcW w:w="793" w:type="pct"/>
            <w:vAlign w:val="center"/>
          </w:tcPr>
          <w:p>
            <w:pPr>
              <w:pStyle w:val="6"/>
              <w:ind w:firstLine="0"/>
              <w:jc w:val="center"/>
              <w:rPr>
                <w:color w:val="000000"/>
                <w:sz w:val="21"/>
                <w:szCs w:val="21"/>
              </w:rPr>
            </w:pPr>
            <w:r>
              <w:rPr>
                <w:rFonts w:hint="eastAsia"/>
                <w:color w:val="000000"/>
                <w:sz w:val="21"/>
                <w:szCs w:val="21"/>
              </w:rPr>
              <w:t>氨、硫化氢、臭气浓度等</w:t>
            </w:r>
          </w:p>
        </w:tc>
        <w:tc>
          <w:tcPr>
            <w:tcW w:w="2552" w:type="pct"/>
            <w:vAlign w:val="center"/>
          </w:tcPr>
          <w:p>
            <w:pPr>
              <w:pStyle w:val="117"/>
              <w:adjustRightInd/>
              <w:rPr>
                <w:rFonts w:hAnsi="宋体"/>
                <w:bCs/>
                <w:kern w:val="2"/>
                <w:sz w:val="21"/>
                <w:szCs w:val="21"/>
              </w:rPr>
            </w:pPr>
            <w:r>
              <w:rPr>
                <w:rFonts w:hint="eastAsia"/>
                <w:sz w:val="21"/>
                <w:szCs w:val="21"/>
              </w:rPr>
              <w:t>采用干清粪技术，及时清粪；加强鸡舍通风；定期喷洒除臭剂；合理调配饲料，饲料中添加</w:t>
            </w:r>
            <w:r>
              <w:rPr>
                <w:sz w:val="21"/>
                <w:szCs w:val="21"/>
              </w:rPr>
              <w:t>EM</w:t>
            </w:r>
            <w:r>
              <w:rPr>
                <w:rFonts w:hint="eastAsia"/>
                <w:sz w:val="21"/>
                <w:szCs w:val="21"/>
              </w:rPr>
              <w:t>菌，</w:t>
            </w:r>
            <w:r>
              <w:rPr>
                <w:rFonts w:hint="eastAsia"/>
                <w:snapToGrid w:val="0"/>
                <w:sz w:val="21"/>
              </w:rPr>
              <w:t>同时加强场区内绿化管理</w:t>
            </w:r>
            <w:r>
              <w:rPr>
                <w:rFonts w:hint="eastAsia"/>
                <w:sz w:val="21"/>
                <w:szCs w:val="21"/>
              </w:rPr>
              <w:t>。</w:t>
            </w:r>
          </w:p>
        </w:tc>
        <w:tc>
          <w:tcPr>
            <w:tcW w:w="0" w:type="auto"/>
            <w:vAlign w:val="center"/>
          </w:tcPr>
          <w:p>
            <w:pPr>
              <w:jc w:val="center"/>
              <w:rPr>
                <w:color w:val="000000"/>
                <w:szCs w:val="21"/>
              </w:rPr>
            </w:pPr>
            <w:r>
              <w:rPr>
                <w:rFonts w:hint="eastAsia"/>
                <w:color w:val="000000"/>
                <w:szCs w:val="21"/>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发酵罐废气</w:t>
            </w:r>
          </w:p>
        </w:tc>
        <w:tc>
          <w:tcPr>
            <w:tcW w:w="793" w:type="pct"/>
            <w:vAlign w:val="center"/>
          </w:tcPr>
          <w:p>
            <w:pPr>
              <w:pStyle w:val="6"/>
              <w:ind w:firstLine="0"/>
              <w:jc w:val="center"/>
              <w:rPr>
                <w:color w:val="000000"/>
                <w:sz w:val="21"/>
                <w:szCs w:val="21"/>
              </w:rPr>
            </w:pPr>
            <w:r>
              <w:rPr>
                <w:rFonts w:hint="eastAsia"/>
                <w:color w:val="000000"/>
                <w:sz w:val="21"/>
                <w:szCs w:val="21"/>
              </w:rPr>
              <w:t>氨、硫化氢、臭气浓度等</w:t>
            </w:r>
          </w:p>
        </w:tc>
        <w:tc>
          <w:tcPr>
            <w:tcW w:w="2552" w:type="pct"/>
            <w:vAlign w:val="center"/>
          </w:tcPr>
          <w:p>
            <w:pPr>
              <w:pStyle w:val="117"/>
              <w:adjustRightInd/>
              <w:rPr>
                <w:sz w:val="21"/>
                <w:szCs w:val="21"/>
              </w:rPr>
            </w:pPr>
            <w:r>
              <w:rPr>
                <w:rFonts w:hint="eastAsia"/>
                <w:sz w:val="21"/>
                <w:szCs w:val="21"/>
              </w:rPr>
              <w:t>2台发酵罐废气采用1套生物除臭塔生化处理后由1根15m高排气筒外排。</w:t>
            </w:r>
          </w:p>
        </w:tc>
        <w:tc>
          <w:tcPr>
            <w:tcW w:w="0" w:type="auto"/>
            <w:vAlign w:val="center"/>
          </w:tcPr>
          <w:p>
            <w:pPr>
              <w:jc w:val="center"/>
              <w:rPr>
                <w:color w:val="000000"/>
                <w:szCs w:val="21"/>
              </w:rPr>
            </w:pPr>
            <w:r>
              <w:rPr>
                <w:rFonts w:hint="eastAsia"/>
                <w:color w:val="000000"/>
                <w:szCs w:val="21"/>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污水处理站废气</w:t>
            </w:r>
          </w:p>
        </w:tc>
        <w:tc>
          <w:tcPr>
            <w:tcW w:w="793" w:type="pct"/>
            <w:tcBorders>
              <w:bottom w:val="single" w:color="auto" w:sz="4" w:space="0"/>
            </w:tcBorders>
            <w:vAlign w:val="center"/>
          </w:tcPr>
          <w:p>
            <w:pPr>
              <w:jc w:val="center"/>
              <w:rPr>
                <w:szCs w:val="21"/>
              </w:rPr>
            </w:pPr>
            <w:r>
              <w:rPr>
                <w:rFonts w:hint="eastAsia"/>
                <w:color w:val="000000"/>
                <w:szCs w:val="21"/>
              </w:rPr>
              <w:t>氨、硫化氢、臭气浓度等</w:t>
            </w:r>
          </w:p>
        </w:tc>
        <w:tc>
          <w:tcPr>
            <w:tcW w:w="2552" w:type="pct"/>
            <w:tcBorders>
              <w:bottom w:val="single" w:color="auto" w:sz="4" w:space="0"/>
            </w:tcBorders>
            <w:vAlign w:val="center"/>
          </w:tcPr>
          <w:p>
            <w:pPr>
              <w:pStyle w:val="57"/>
              <w:snapToGrid/>
              <w:spacing w:before="0" w:after="0" w:line="240" w:lineRule="auto"/>
              <w:ind w:firstLine="0" w:firstLineChars="0"/>
              <w:jc w:val="left"/>
              <w:rPr>
                <w:rFonts w:hAnsi="宋体"/>
                <w:bCs/>
                <w:sz w:val="21"/>
                <w:szCs w:val="21"/>
              </w:rPr>
            </w:pPr>
            <w:r>
              <w:rPr>
                <w:rFonts w:hint="eastAsia"/>
                <w:snapToGrid w:val="0"/>
                <w:sz w:val="21"/>
              </w:rPr>
              <w:t>地埋式污水处理站各处理池加盖处理，站房内定期喷洒除臭剂，同时加强场区内绿化管理。</w:t>
            </w:r>
          </w:p>
        </w:tc>
        <w:tc>
          <w:tcPr>
            <w:tcW w:w="0" w:type="auto"/>
            <w:tcBorders>
              <w:bottom w:val="single" w:color="auto" w:sz="4" w:space="0"/>
            </w:tcBorders>
            <w:vAlign w:val="center"/>
          </w:tcPr>
          <w:p>
            <w:pPr>
              <w:jc w:val="center"/>
              <w:rPr>
                <w:color w:val="000000"/>
                <w:szCs w:val="21"/>
              </w:rPr>
            </w:pPr>
            <w:r>
              <w:rPr>
                <w:rFonts w:hint="eastAsia"/>
                <w:color w:val="000000"/>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临时储粪房恶臭</w:t>
            </w:r>
          </w:p>
        </w:tc>
        <w:tc>
          <w:tcPr>
            <w:tcW w:w="793" w:type="pct"/>
            <w:tcBorders>
              <w:bottom w:val="single" w:color="auto" w:sz="4" w:space="0"/>
            </w:tcBorders>
            <w:vAlign w:val="center"/>
          </w:tcPr>
          <w:p>
            <w:pPr>
              <w:jc w:val="center"/>
              <w:rPr>
                <w:color w:val="000000"/>
                <w:szCs w:val="21"/>
              </w:rPr>
            </w:pPr>
            <w:r>
              <w:rPr>
                <w:rFonts w:hint="eastAsia"/>
                <w:color w:val="000000"/>
                <w:szCs w:val="21"/>
              </w:rPr>
              <w:t>氨、硫化氢、臭气浓度等</w:t>
            </w:r>
          </w:p>
        </w:tc>
        <w:tc>
          <w:tcPr>
            <w:tcW w:w="2552" w:type="pct"/>
            <w:tcBorders>
              <w:bottom w:val="single" w:color="auto" w:sz="4" w:space="0"/>
            </w:tcBorders>
            <w:vAlign w:val="center"/>
          </w:tcPr>
          <w:p>
            <w:pPr>
              <w:pStyle w:val="57"/>
              <w:snapToGrid/>
              <w:spacing w:before="0" w:after="0" w:line="240" w:lineRule="auto"/>
              <w:ind w:firstLine="0" w:firstLineChars="0"/>
              <w:jc w:val="left"/>
              <w:rPr>
                <w:snapToGrid w:val="0"/>
              </w:rPr>
            </w:pPr>
            <w:r>
              <w:rPr>
                <w:rFonts w:hint="eastAsia"/>
                <w:color w:val="000000"/>
                <w:kern w:val="0"/>
                <w:sz w:val="21"/>
                <w:szCs w:val="21"/>
              </w:rPr>
              <w:t>鸡粪</w:t>
            </w:r>
            <w:r>
              <w:rPr>
                <w:rFonts w:hint="eastAsia"/>
                <w:sz w:val="21"/>
                <w:szCs w:val="21"/>
              </w:rPr>
              <w:t>采取干清粪工艺，</w:t>
            </w:r>
            <w:r>
              <w:rPr>
                <w:rFonts w:hint="eastAsia"/>
                <w:color w:val="000000"/>
                <w:kern w:val="0"/>
                <w:sz w:val="21"/>
                <w:szCs w:val="21"/>
              </w:rPr>
              <w:t>日产日清，</w:t>
            </w:r>
            <w:r>
              <w:rPr>
                <w:rFonts w:hint="eastAsia"/>
                <w:sz w:val="21"/>
                <w:szCs w:val="21"/>
              </w:rPr>
              <w:t>经发酵罐熟化后外运有机肥厂综合利用</w:t>
            </w:r>
            <w:r>
              <w:rPr>
                <w:rFonts w:hint="eastAsia"/>
                <w:color w:val="000000"/>
                <w:kern w:val="0"/>
                <w:sz w:val="21"/>
                <w:szCs w:val="21"/>
              </w:rPr>
              <w:t>。临时储粪房用于暂时储存因天气等原因无法外运的鸡粪；储粪时</w:t>
            </w:r>
            <w:r>
              <w:rPr>
                <w:rFonts w:hint="eastAsia"/>
                <w:snapToGrid w:val="0"/>
                <w:sz w:val="21"/>
              </w:rPr>
              <w:t>喷洒除臭剂，同时加强场区内绿化管理。</w:t>
            </w:r>
          </w:p>
        </w:tc>
        <w:tc>
          <w:tcPr>
            <w:tcW w:w="0" w:type="auto"/>
            <w:tcBorders>
              <w:bottom w:val="single" w:color="auto" w:sz="4" w:space="0"/>
            </w:tcBorders>
            <w:vAlign w:val="center"/>
          </w:tcPr>
          <w:p>
            <w:pPr>
              <w:jc w:val="center"/>
              <w:rPr>
                <w:color w:val="000000"/>
                <w:szCs w:val="21"/>
              </w:rPr>
            </w:pPr>
            <w:r>
              <w:rPr>
                <w:rFonts w:hint="eastAsia"/>
                <w:color w:val="000000"/>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锅炉废气</w:t>
            </w:r>
          </w:p>
        </w:tc>
        <w:tc>
          <w:tcPr>
            <w:tcW w:w="793" w:type="pct"/>
            <w:tcBorders>
              <w:top w:val="single" w:color="auto" w:sz="4"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烟尘、氮氧化物</w:t>
            </w:r>
          </w:p>
        </w:tc>
        <w:tc>
          <w:tcPr>
            <w:tcW w:w="2552" w:type="pct"/>
            <w:tcBorders>
              <w:top w:val="single" w:color="auto" w:sz="4" w:space="0"/>
            </w:tcBorders>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燃用液化天然气，使用低氮燃烧技术；锅炉废气由1根</w:t>
            </w:r>
            <w:r>
              <w:rPr>
                <w:rFonts w:hAnsi="宋体"/>
                <w:bCs/>
                <w:sz w:val="21"/>
                <w:szCs w:val="21"/>
              </w:rPr>
              <w:t>20</w:t>
            </w:r>
            <w:r>
              <w:rPr>
                <w:rFonts w:hint="eastAsia" w:hAnsi="宋体"/>
                <w:bCs/>
                <w:sz w:val="21"/>
                <w:szCs w:val="21"/>
              </w:rPr>
              <w:t>m高排气筒排放。</w:t>
            </w:r>
          </w:p>
        </w:tc>
        <w:tc>
          <w:tcPr>
            <w:tcW w:w="0" w:type="auto"/>
            <w:tcBorders>
              <w:top w:val="single" w:color="auto" w:sz="4" w:space="0"/>
            </w:tcBorders>
            <w:vAlign w:val="center"/>
          </w:tcPr>
          <w:p>
            <w:pPr>
              <w:jc w:val="center"/>
              <w:rPr>
                <w:color w:val="000000"/>
                <w:szCs w:val="21"/>
              </w:rPr>
            </w:pPr>
            <w:r>
              <w:rPr>
                <w:rFonts w:hint="eastAsia"/>
                <w:color w:val="000000"/>
                <w:szCs w:val="21"/>
              </w:rPr>
              <w:t>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Align w:val="center"/>
          </w:tcPr>
          <w:p>
            <w:pPr>
              <w:jc w:val="center"/>
              <w:rPr>
                <w:color w:val="000000"/>
                <w:szCs w:val="21"/>
              </w:rPr>
            </w:pPr>
            <w:r>
              <w:rPr>
                <w:rFonts w:hint="eastAsia"/>
                <w:color w:val="000000"/>
                <w:szCs w:val="21"/>
              </w:rPr>
              <w:t>废水</w:t>
            </w: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养殖废水</w:t>
            </w:r>
            <w:r>
              <w:rPr>
                <w:rFonts w:hAnsi="宋体"/>
                <w:bCs/>
                <w:sz w:val="21"/>
                <w:szCs w:val="21"/>
              </w:rPr>
              <w:t>/生活污水</w:t>
            </w:r>
          </w:p>
        </w:tc>
        <w:tc>
          <w:tcPr>
            <w:tcW w:w="793" w:type="pct"/>
            <w:vAlign w:val="center"/>
          </w:tcPr>
          <w:p>
            <w:pPr>
              <w:jc w:val="center"/>
              <w:rPr>
                <w:szCs w:val="21"/>
              </w:rPr>
            </w:pPr>
            <w:r>
              <w:rPr>
                <w:rFonts w:hint="eastAsia"/>
                <w:szCs w:val="21"/>
              </w:rPr>
              <w:t>C</w:t>
            </w:r>
            <w:r>
              <w:rPr>
                <w:szCs w:val="21"/>
              </w:rPr>
              <w:t>OD</w:t>
            </w:r>
            <w:r>
              <w:rPr>
                <w:rFonts w:hint="eastAsia"/>
                <w:szCs w:val="21"/>
              </w:rPr>
              <w:t>、氨氮等</w:t>
            </w:r>
          </w:p>
        </w:tc>
        <w:tc>
          <w:tcPr>
            <w:tcW w:w="2552" w:type="pct"/>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设备及鸡舍冲洗废水、生活废水、锅炉定排水及软水系统排水</w:t>
            </w:r>
            <w:r>
              <w:rPr>
                <w:rFonts w:hAnsi="宋体"/>
                <w:bCs/>
                <w:sz w:val="21"/>
                <w:szCs w:val="21"/>
              </w:rPr>
              <w:t>排入</w:t>
            </w:r>
            <w:r>
              <w:rPr>
                <w:rFonts w:hint="eastAsia" w:hAnsi="宋体"/>
                <w:bCs/>
                <w:sz w:val="21"/>
                <w:szCs w:val="21"/>
              </w:rPr>
              <w:t>废水收集池后进入自建污水处理站处理，采用地埋式污水处理设备，处理工艺为“生物接触氧化+沉淀+消毒”，消毒方式为紫外线消毒，处理能力为2m</w:t>
            </w:r>
            <w:r>
              <w:rPr>
                <w:rFonts w:hAnsi="宋体"/>
                <w:bCs/>
                <w:sz w:val="21"/>
                <w:szCs w:val="21"/>
                <w:vertAlign w:val="superscript"/>
              </w:rPr>
              <w:t>3</w:t>
            </w:r>
            <w:r>
              <w:rPr>
                <w:rFonts w:hAnsi="宋体"/>
                <w:bCs/>
                <w:sz w:val="21"/>
                <w:szCs w:val="21"/>
              </w:rPr>
              <w:t>/d</w:t>
            </w:r>
            <w:r>
              <w:rPr>
                <w:rFonts w:hint="eastAsia" w:hAnsi="宋体"/>
                <w:bCs/>
                <w:sz w:val="21"/>
                <w:szCs w:val="21"/>
              </w:rPr>
              <w:t>；污水经处理达达《农田灌溉水质标准》（</w:t>
            </w:r>
            <w:r>
              <w:rPr>
                <w:rFonts w:hAnsi="宋体"/>
                <w:bCs/>
                <w:sz w:val="21"/>
                <w:szCs w:val="21"/>
              </w:rPr>
              <w:t>GB5084-2005</w:t>
            </w:r>
            <w:r>
              <w:rPr>
                <w:rFonts w:hint="eastAsia" w:hAnsi="宋体"/>
                <w:bCs/>
                <w:sz w:val="21"/>
                <w:szCs w:val="21"/>
              </w:rPr>
              <w:t>）中旱作标准后回用于农田灌溉；冬储夏灌。</w:t>
            </w:r>
          </w:p>
        </w:tc>
        <w:tc>
          <w:tcPr>
            <w:tcW w:w="0" w:type="auto"/>
            <w:vAlign w:val="center"/>
          </w:tcPr>
          <w:p>
            <w:pPr>
              <w:jc w:val="center"/>
              <w:rPr>
                <w:color w:val="000000"/>
                <w:szCs w:val="21"/>
              </w:rPr>
            </w:pPr>
            <w:r>
              <w:rPr>
                <w:rFonts w:hint="eastAsia"/>
                <w:color w:val="000000"/>
                <w:szCs w:val="21"/>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restart"/>
            <w:vAlign w:val="center"/>
          </w:tcPr>
          <w:p>
            <w:pPr>
              <w:jc w:val="center"/>
              <w:rPr>
                <w:color w:val="000000"/>
                <w:szCs w:val="21"/>
              </w:rPr>
            </w:pPr>
            <w:r>
              <w:rPr>
                <w:rFonts w:hint="eastAsia"/>
                <w:color w:val="000000"/>
                <w:szCs w:val="21"/>
              </w:rPr>
              <w:t>固废</w:t>
            </w: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鸡舍粪便</w:t>
            </w:r>
          </w:p>
        </w:tc>
        <w:tc>
          <w:tcPr>
            <w:tcW w:w="793" w:type="pct"/>
            <w:tcBorders>
              <w:bottom w:val="single" w:color="auto" w:sz="4"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粪便</w:t>
            </w:r>
          </w:p>
        </w:tc>
        <w:tc>
          <w:tcPr>
            <w:tcW w:w="2552" w:type="pct"/>
            <w:tcBorders>
              <w:bottom w:val="single" w:color="auto" w:sz="4" w:space="0"/>
            </w:tcBorders>
            <w:vAlign w:val="center"/>
          </w:tcPr>
          <w:p>
            <w:pPr>
              <w:pStyle w:val="57"/>
              <w:snapToGrid/>
              <w:spacing w:before="0" w:after="0" w:line="240" w:lineRule="auto"/>
              <w:ind w:firstLine="0" w:firstLineChars="0"/>
              <w:jc w:val="left"/>
              <w:rPr>
                <w:snapToGrid w:val="0"/>
                <w:sz w:val="21"/>
                <w:szCs w:val="21"/>
              </w:rPr>
            </w:pPr>
            <w:r>
              <w:rPr>
                <w:rFonts w:hint="eastAsia"/>
                <w:color w:val="000000"/>
                <w:kern w:val="0"/>
                <w:sz w:val="21"/>
                <w:szCs w:val="21"/>
              </w:rPr>
              <w:t>鸡粪</w:t>
            </w:r>
            <w:r>
              <w:rPr>
                <w:rFonts w:hint="eastAsia"/>
                <w:sz w:val="21"/>
                <w:szCs w:val="21"/>
              </w:rPr>
              <w:t>采取干清粪工艺，</w:t>
            </w:r>
            <w:r>
              <w:rPr>
                <w:rFonts w:hint="eastAsia"/>
                <w:color w:val="000000"/>
                <w:kern w:val="0"/>
                <w:sz w:val="21"/>
                <w:szCs w:val="21"/>
              </w:rPr>
              <w:t>日产日清，</w:t>
            </w:r>
            <w:r>
              <w:rPr>
                <w:rFonts w:hint="eastAsia"/>
                <w:sz w:val="21"/>
                <w:szCs w:val="21"/>
              </w:rPr>
              <w:t>经发酵罐熟化后外运有机肥厂进一步处理以综合利用</w:t>
            </w:r>
            <w:r>
              <w:rPr>
                <w:rFonts w:hint="eastAsia"/>
                <w:color w:val="000000"/>
                <w:kern w:val="0"/>
                <w:sz w:val="21"/>
                <w:szCs w:val="21"/>
              </w:rPr>
              <w:t>。</w:t>
            </w:r>
            <w:r>
              <w:rPr>
                <w:rFonts w:hint="eastAsia" w:hAnsi="宋体"/>
                <w:bCs/>
                <w:sz w:val="21"/>
                <w:szCs w:val="21"/>
              </w:rPr>
              <w:t>本项目与</w:t>
            </w:r>
            <w:r>
              <w:rPr>
                <w:rFonts w:hint="eastAsia"/>
                <w:snapToGrid w:val="0"/>
                <w:sz w:val="21"/>
                <w:szCs w:val="21"/>
              </w:rPr>
              <w:t>山西粮缘金土地科技股份有限公司签订了鸡粪购买协议。协议见附件。</w:t>
            </w:r>
          </w:p>
          <w:p>
            <w:pPr>
              <w:pStyle w:val="57"/>
              <w:snapToGrid/>
              <w:spacing w:before="0" w:after="0" w:line="240" w:lineRule="auto"/>
              <w:ind w:firstLine="0" w:firstLineChars="0"/>
              <w:jc w:val="left"/>
              <w:rPr>
                <w:rFonts w:hAnsi="宋体"/>
                <w:bCs/>
                <w:sz w:val="21"/>
                <w:szCs w:val="21"/>
              </w:rPr>
            </w:pPr>
            <w:r>
              <w:rPr>
                <w:rFonts w:hint="eastAsia"/>
                <w:sz w:val="21"/>
                <w:szCs w:val="21"/>
              </w:rPr>
              <w:t>新建2台鸡粪发酵罐（处理能力9-14m</w:t>
            </w:r>
            <w:r>
              <w:rPr>
                <w:rFonts w:hint="eastAsia"/>
                <w:sz w:val="21"/>
                <w:szCs w:val="21"/>
                <w:vertAlign w:val="superscript"/>
              </w:rPr>
              <w:t>3</w:t>
            </w:r>
            <w:r>
              <w:rPr>
                <w:rFonts w:hint="eastAsia"/>
                <w:sz w:val="21"/>
                <w:szCs w:val="21"/>
              </w:rPr>
              <w:t>/d·台）</w:t>
            </w:r>
          </w:p>
        </w:tc>
        <w:tc>
          <w:tcPr>
            <w:tcW w:w="0" w:type="auto"/>
            <w:vMerge w:val="restart"/>
            <w:vAlign w:val="center"/>
          </w:tcPr>
          <w:p>
            <w:pPr>
              <w:jc w:val="center"/>
              <w:rPr>
                <w:color w:val="000000"/>
                <w:szCs w:val="21"/>
              </w:rPr>
            </w:pPr>
            <w:r>
              <w:rPr>
                <w:rFonts w:hint="eastAsia"/>
                <w:color w:val="000000"/>
                <w:szCs w:val="21"/>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饲料残渣</w:t>
            </w:r>
          </w:p>
        </w:tc>
        <w:tc>
          <w:tcPr>
            <w:tcW w:w="793" w:type="pct"/>
            <w:tcBorders>
              <w:top w:val="single" w:color="auto" w:sz="4" w:space="0"/>
              <w:bottom w:val="single" w:color="auto" w:sz="4"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饲料残渣</w:t>
            </w:r>
          </w:p>
        </w:tc>
        <w:tc>
          <w:tcPr>
            <w:tcW w:w="2552" w:type="pct"/>
            <w:tcBorders>
              <w:top w:val="single" w:color="auto" w:sz="4" w:space="0"/>
              <w:bottom w:val="single" w:color="auto" w:sz="4" w:space="0"/>
            </w:tcBorders>
            <w:vAlign w:val="center"/>
          </w:tcPr>
          <w:p>
            <w:pPr>
              <w:pStyle w:val="57"/>
              <w:snapToGrid/>
              <w:spacing w:before="0" w:after="0" w:line="240" w:lineRule="auto"/>
              <w:ind w:firstLine="0" w:firstLineChars="0"/>
              <w:jc w:val="left"/>
              <w:rPr>
                <w:rFonts w:hAnsi="宋体"/>
                <w:bCs/>
                <w:sz w:val="21"/>
                <w:szCs w:val="21"/>
              </w:rPr>
            </w:pPr>
            <w:r>
              <w:rPr>
                <w:rFonts w:hint="eastAsia"/>
                <w:bCs/>
                <w:kern w:val="0"/>
                <w:sz w:val="21"/>
                <w:szCs w:val="21"/>
              </w:rPr>
              <w:t>经发酵罐熟化后外运有机肥厂进一步处理以综合利用。</w:t>
            </w:r>
          </w:p>
        </w:tc>
        <w:tc>
          <w:tcPr>
            <w:tcW w:w="0" w:type="auto"/>
            <w:vMerge w:val="continue"/>
            <w:vAlign w:val="center"/>
          </w:tcPr>
          <w:p>
            <w:pPr>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污水处理站污泥</w:t>
            </w:r>
          </w:p>
        </w:tc>
        <w:tc>
          <w:tcPr>
            <w:tcW w:w="793" w:type="pct"/>
            <w:tcBorders>
              <w:top w:val="single" w:color="auto" w:sz="4" w:space="0"/>
              <w:bottom w:val="single" w:color="auto" w:sz="4"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污泥</w:t>
            </w:r>
          </w:p>
        </w:tc>
        <w:tc>
          <w:tcPr>
            <w:tcW w:w="2552" w:type="pct"/>
            <w:tcBorders>
              <w:top w:val="single" w:color="auto" w:sz="4" w:space="0"/>
              <w:bottom w:val="single" w:color="auto" w:sz="4" w:space="0"/>
            </w:tcBorders>
            <w:vAlign w:val="center"/>
          </w:tcPr>
          <w:p>
            <w:pPr>
              <w:pStyle w:val="57"/>
              <w:snapToGrid/>
              <w:spacing w:before="0" w:after="0" w:line="240" w:lineRule="auto"/>
              <w:ind w:firstLine="0" w:firstLineChars="0"/>
              <w:jc w:val="left"/>
              <w:rPr>
                <w:rFonts w:hAnsi="宋体"/>
                <w:bCs/>
                <w:sz w:val="21"/>
                <w:szCs w:val="21"/>
              </w:rPr>
            </w:pPr>
            <w:r>
              <w:rPr>
                <w:rFonts w:hint="eastAsia"/>
                <w:bCs/>
                <w:kern w:val="0"/>
                <w:sz w:val="21"/>
                <w:szCs w:val="21"/>
              </w:rPr>
              <w:t>经发酵罐熟化后外运有机肥厂进一步处理以综合利用。</w:t>
            </w:r>
          </w:p>
        </w:tc>
        <w:tc>
          <w:tcPr>
            <w:tcW w:w="0" w:type="auto"/>
            <w:vMerge w:val="continue"/>
            <w:tcBorders>
              <w:bottom w:val="single" w:color="auto" w:sz="4" w:space="0"/>
            </w:tcBorders>
            <w:vAlign w:val="center"/>
          </w:tcPr>
          <w:p>
            <w:pPr>
              <w:jc w:val="center"/>
              <w:rPr>
                <w:color w:val="00000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tcBorders>
              <w:top w:val="single" w:color="auto" w:sz="4"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病死鸡</w:t>
            </w:r>
          </w:p>
          <w:p>
            <w:pPr>
              <w:pStyle w:val="57"/>
              <w:snapToGrid/>
              <w:spacing w:before="0" w:after="0" w:line="240" w:lineRule="auto"/>
              <w:ind w:firstLine="0" w:firstLineChars="0"/>
              <w:jc w:val="center"/>
              <w:rPr>
                <w:rFonts w:hAnsi="宋体"/>
                <w:bCs/>
                <w:sz w:val="21"/>
                <w:szCs w:val="21"/>
              </w:rPr>
            </w:pPr>
            <w:r>
              <w:rPr>
                <w:rFonts w:hint="eastAsia" w:hAnsi="宋体"/>
                <w:bCs/>
                <w:sz w:val="21"/>
                <w:szCs w:val="21"/>
              </w:rPr>
              <w:t>尸体</w:t>
            </w:r>
          </w:p>
        </w:tc>
        <w:tc>
          <w:tcPr>
            <w:tcW w:w="793" w:type="pct"/>
            <w:tcBorders>
              <w:top w:val="single" w:color="auto" w:sz="4" w:space="0"/>
            </w:tcBorders>
            <w:vAlign w:val="center"/>
          </w:tcPr>
          <w:p>
            <w:pPr>
              <w:pStyle w:val="128"/>
              <w:rPr>
                <w:rFonts w:ascii="Times New Roman" w:hAnsi="Times New Roman" w:cs="Times New Roman"/>
                <w:snapToGrid w:val="0"/>
              </w:rPr>
            </w:pPr>
            <w:r>
              <w:rPr>
                <w:rFonts w:hint="eastAsia" w:hAnsi="宋体"/>
                <w:bCs/>
                <w:szCs w:val="21"/>
              </w:rPr>
              <w:t>病死鸡</w:t>
            </w:r>
          </w:p>
        </w:tc>
        <w:tc>
          <w:tcPr>
            <w:tcW w:w="2552" w:type="pct"/>
            <w:tcBorders>
              <w:top w:val="single" w:color="auto" w:sz="4" w:space="0"/>
            </w:tcBorders>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设置2座安全填埋井，深6m，直径4m。用于处置饲养过程中因疾病等原因死亡而产生的病死鸡。填埋井设计应满足《畜禽养殖业污染防治技术规范》（HJ/T81-2001）要求。</w:t>
            </w:r>
          </w:p>
        </w:tc>
        <w:tc>
          <w:tcPr>
            <w:tcW w:w="0" w:type="auto"/>
            <w:tcBorders>
              <w:top w:val="single" w:color="auto" w:sz="4" w:space="0"/>
            </w:tcBorders>
            <w:vAlign w:val="center"/>
          </w:tcPr>
          <w:p>
            <w:pPr>
              <w:jc w:val="center"/>
              <w:rPr>
                <w:color w:val="000000"/>
                <w:szCs w:val="21"/>
              </w:rPr>
            </w:pPr>
            <w:r>
              <w:rPr>
                <w:rFonts w:hint="eastAsia"/>
                <w:color w:val="000000"/>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tcBorders>
              <w:top w:val="single" w:color="auto" w:sz="4"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医疗废物、消毒废物</w:t>
            </w:r>
          </w:p>
        </w:tc>
        <w:tc>
          <w:tcPr>
            <w:tcW w:w="793" w:type="pct"/>
            <w:tcBorders>
              <w:top w:val="single" w:color="auto" w:sz="4" w:space="0"/>
            </w:tcBorders>
            <w:vAlign w:val="center"/>
          </w:tcPr>
          <w:p>
            <w:pPr>
              <w:pStyle w:val="128"/>
              <w:rPr>
                <w:rFonts w:ascii="Times New Roman" w:hAnsi="Times New Roman" w:cs="Times New Roman"/>
                <w:snapToGrid w:val="0"/>
              </w:rPr>
            </w:pPr>
            <w:r>
              <w:rPr>
                <w:rFonts w:hint="eastAsia" w:ascii="Times New Roman" w:hAnsi="Times New Roman" w:cs="Times New Roman"/>
                <w:snapToGrid w:val="0"/>
              </w:rPr>
              <w:t>危险</w:t>
            </w:r>
            <w:r>
              <w:rPr>
                <w:rFonts w:ascii="Times New Roman" w:hAnsi="Times New Roman" w:cs="Times New Roman"/>
                <w:snapToGrid w:val="0"/>
              </w:rPr>
              <w:t>废物</w:t>
            </w:r>
          </w:p>
        </w:tc>
        <w:tc>
          <w:tcPr>
            <w:tcW w:w="2552" w:type="pct"/>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在检疫室内建危废暂存间，为单独隔间，地面防渗处理，同时制定危险废物管理制度，医疗废物、消毒废物交由有资质单位处置。</w:t>
            </w:r>
          </w:p>
        </w:tc>
        <w:tc>
          <w:tcPr>
            <w:tcW w:w="0" w:type="auto"/>
            <w:vAlign w:val="center"/>
          </w:tcPr>
          <w:p>
            <w:pPr>
              <w:jc w:val="center"/>
              <w:rPr>
                <w:color w:val="000000"/>
                <w:szCs w:val="21"/>
              </w:rPr>
            </w:pPr>
            <w:r>
              <w:rPr>
                <w:rFonts w:hint="eastAsia"/>
                <w:color w:val="000000"/>
                <w:szCs w:val="21"/>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tcBorders>
              <w:top w:val="single" w:color="auto" w:sz="4"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废弃包装袋</w:t>
            </w:r>
          </w:p>
        </w:tc>
        <w:tc>
          <w:tcPr>
            <w:tcW w:w="793" w:type="pct"/>
            <w:tcBorders>
              <w:top w:val="single" w:color="auto" w:sz="4" w:space="0"/>
            </w:tcBorders>
            <w:vAlign w:val="center"/>
          </w:tcPr>
          <w:p>
            <w:pPr>
              <w:pStyle w:val="128"/>
              <w:rPr>
                <w:rFonts w:ascii="Times New Roman" w:hAnsi="Times New Roman" w:cs="Times New Roman"/>
                <w:snapToGrid w:val="0"/>
              </w:rPr>
            </w:pPr>
            <w:r>
              <w:rPr>
                <w:rFonts w:hint="eastAsia" w:ascii="Times New Roman" w:hAnsi="Times New Roman" w:cs="Times New Roman"/>
                <w:snapToGrid w:val="0"/>
              </w:rPr>
              <w:t>包装袋</w:t>
            </w:r>
          </w:p>
        </w:tc>
        <w:tc>
          <w:tcPr>
            <w:tcW w:w="2552" w:type="pct"/>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收集后外售或返回厂家回收利用。</w:t>
            </w:r>
          </w:p>
        </w:tc>
        <w:tc>
          <w:tcPr>
            <w:tcW w:w="0" w:type="auto"/>
            <w:vAlign w:val="center"/>
          </w:tcPr>
          <w:p>
            <w:pPr>
              <w:jc w:val="center"/>
              <w:rPr>
                <w:color w:val="000000"/>
                <w:szCs w:val="21"/>
              </w:rPr>
            </w:pPr>
            <w:r>
              <w:rPr>
                <w:rFonts w:hint="eastAsia"/>
                <w:color w:val="000000"/>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Merge w:val="continue"/>
            <w:vAlign w:val="center"/>
          </w:tcPr>
          <w:p>
            <w:pPr>
              <w:jc w:val="center"/>
              <w:rPr>
                <w:color w:val="000000"/>
                <w:szCs w:val="21"/>
              </w:rPr>
            </w:pPr>
          </w:p>
        </w:tc>
        <w:tc>
          <w:tcPr>
            <w:tcW w:w="71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生活垃圾</w:t>
            </w:r>
          </w:p>
        </w:tc>
        <w:tc>
          <w:tcPr>
            <w:tcW w:w="793" w:type="pct"/>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生活垃圾</w:t>
            </w:r>
          </w:p>
        </w:tc>
        <w:tc>
          <w:tcPr>
            <w:tcW w:w="2552" w:type="pct"/>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收集后运至市政部门指定的地点统一处理。</w:t>
            </w:r>
          </w:p>
        </w:tc>
        <w:tc>
          <w:tcPr>
            <w:tcW w:w="0" w:type="auto"/>
            <w:vAlign w:val="center"/>
          </w:tcPr>
          <w:p>
            <w:pPr>
              <w:jc w:val="center"/>
              <w:rPr>
                <w:color w:val="000000"/>
                <w:szCs w:val="21"/>
              </w:rPr>
            </w:pPr>
            <w:r>
              <w:rPr>
                <w:color w:val="000000"/>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Align w:val="center"/>
          </w:tcPr>
          <w:p>
            <w:pPr>
              <w:jc w:val="center"/>
              <w:rPr>
                <w:color w:val="000000"/>
                <w:szCs w:val="21"/>
              </w:rPr>
            </w:pPr>
            <w:r>
              <w:rPr>
                <w:rFonts w:hint="eastAsia"/>
                <w:color w:val="000000"/>
                <w:szCs w:val="21"/>
              </w:rPr>
              <w:t>噪声</w:t>
            </w:r>
          </w:p>
        </w:tc>
        <w:tc>
          <w:tcPr>
            <w:tcW w:w="1506" w:type="pct"/>
            <w:gridSpan w:val="2"/>
            <w:vAlign w:val="center"/>
          </w:tcPr>
          <w:p>
            <w:pPr>
              <w:jc w:val="center"/>
              <w:rPr>
                <w:color w:val="000000"/>
                <w:szCs w:val="21"/>
              </w:rPr>
            </w:pPr>
            <w:r>
              <w:rPr>
                <w:rFonts w:hint="eastAsia"/>
                <w:color w:val="000000"/>
                <w:szCs w:val="21"/>
              </w:rPr>
              <w:t>设备运行噪声</w:t>
            </w:r>
          </w:p>
        </w:tc>
        <w:tc>
          <w:tcPr>
            <w:tcW w:w="2552" w:type="pct"/>
            <w:vAlign w:val="center"/>
          </w:tcPr>
          <w:p>
            <w:pPr>
              <w:jc w:val="left"/>
              <w:rPr>
                <w:color w:val="000000"/>
                <w:szCs w:val="21"/>
              </w:rPr>
            </w:pPr>
            <w:r>
              <w:rPr>
                <w:rFonts w:hint="eastAsia" w:hAnsi="宋体"/>
                <w:bCs/>
                <w:szCs w:val="21"/>
              </w:rPr>
              <w:t>选用低噪设备，对主要污染源采取消声、吸声、建筑隔声、基础减震等防噪措施</w:t>
            </w:r>
          </w:p>
        </w:tc>
        <w:tc>
          <w:tcPr>
            <w:tcW w:w="0" w:type="auto"/>
            <w:vAlign w:val="center"/>
          </w:tcPr>
          <w:p>
            <w:pPr>
              <w:jc w:val="center"/>
              <w:rPr>
                <w:color w:val="000000"/>
                <w:szCs w:val="21"/>
              </w:rPr>
            </w:pPr>
            <w:r>
              <w:rPr>
                <w:rFonts w:hint="eastAsia"/>
                <w:color w:val="000000"/>
                <w:szCs w:val="21"/>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Align w:val="center"/>
          </w:tcPr>
          <w:p>
            <w:pPr>
              <w:jc w:val="center"/>
              <w:rPr>
                <w:color w:val="000000"/>
                <w:szCs w:val="21"/>
              </w:rPr>
            </w:pPr>
            <w:r>
              <w:rPr>
                <w:rFonts w:hint="eastAsia"/>
                <w:color w:val="000000"/>
                <w:szCs w:val="21"/>
              </w:rPr>
              <w:t>防渗</w:t>
            </w:r>
          </w:p>
        </w:tc>
        <w:tc>
          <w:tcPr>
            <w:tcW w:w="1506" w:type="pct"/>
            <w:gridSpan w:val="2"/>
            <w:vAlign w:val="center"/>
          </w:tcPr>
          <w:p>
            <w:pPr>
              <w:jc w:val="center"/>
              <w:rPr>
                <w:color w:val="000000"/>
                <w:szCs w:val="21"/>
              </w:rPr>
            </w:pPr>
            <w:r>
              <w:rPr>
                <w:rFonts w:hint="eastAsia"/>
                <w:color w:val="000000"/>
                <w:szCs w:val="21"/>
              </w:rPr>
              <w:t>防渗工程</w:t>
            </w:r>
          </w:p>
        </w:tc>
        <w:tc>
          <w:tcPr>
            <w:tcW w:w="2552" w:type="pct"/>
            <w:vAlign w:val="center"/>
          </w:tcPr>
          <w:p>
            <w:pPr>
              <w:pStyle w:val="128"/>
              <w:spacing w:line="360" w:lineRule="exact"/>
              <w:jc w:val="left"/>
              <w:rPr>
                <w:rFonts w:ascii="Times New Roman" w:hAnsi="Times New Roman" w:cs="Times New Roman"/>
                <w:snapToGrid w:val="0"/>
                <w:szCs w:val="21"/>
              </w:rPr>
            </w:pPr>
            <w:r>
              <w:rPr>
                <w:rFonts w:hint="eastAsia" w:ascii="宋体" w:hAnsi="宋体" w:eastAsia="宋体" w:cs="宋体"/>
                <w:snapToGrid w:val="0"/>
                <w:szCs w:val="21"/>
              </w:rPr>
              <w:t>①</w:t>
            </w:r>
            <w:r>
              <w:rPr>
                <w:rFonts w:ascii="Times New Roman" w:hAnsi="Times New Roman" w:cs="Times New Roman"/>
                <w:snapToGrid w:val="0"/>
                <w:szCs w:val="21"/>
              </w:rPr>
              <w:t>医疗废物暂存间、污水处理站、</w:t>
            </w:r>
            <w:r>
              <w:rPr>
                <w:rFonts w:hint="eastAsia" w:ascii="Times New Roman" w:hAnsi="Times New Roman" w:cs="Times New Roman"/>
                <w:snapToGrid w:val="0"/>
                <w:szCs w:val="21"/>
              </w:rPr>
              <w:t>废水收集</w:t>
            </w:r>
            <w:r>
              <w:rPr>
                <w:rFonts w:ascii="Times New Roman" w:hAnsi="Times New Roman" w:cs="Times New Roman"/>
                <w:snapToGrid w:val="0"/>
                <w:szCs w:val="21"/>
              </w:rPr>
              <w:t>池按重点防渗区采取防渗措施。污水处理站、</w:t>
            </w:r>
            <w:r>
              <w:rPr>
                <w:rFonts w:hint="eastAsia" w:ascii="Times New Roman" w:hAnsi="Times New Roman" w:cs="Times New Roman"/>
                <w:snapToGrid w:val="0"/>
                <w:szCs w:val="21"/>
              </w:rPr>
              <w:t>废水收集</w:t>
            </w:r>
            <w:r>
              <w:rPr>
                <w:rFonts w:ascii="Times New Roman" w:hAnsi="Times New Roman" w:cs="Times New Roman"/>
                <w:snapToGrid w:val="0"/>
                <w:szCs w:val="21"/>
              </w:rPr>
              <w:t>池防渗措施为池底</w:t>
            </w:r>
            <w:r>
              <w:rPr>
                <w:rFonts w:hint="eastAsia" w:ascii="Times New Roman" w:hAnsi="Times New Roman" w:cs="Times New Roman"/>
                <w:snapToGrid w:val="0"/>
                <w:szCs w:val="21"/>
              </w:rPr>
              <w:t>基础防渗，需满足</w:t>
            </w:r>
            <w:r>
              <w:rPr>
                <w:rFonts w:ascii="Times New Roman" w:hAnsi="Times New Roman" w:cs="Times New Roman"/>
                <w:snapToGrid w:val="0"/>
                <w:szCs w:val="21"/>
              </w:rPr>
              <w:t>等效粘土层厚度要≥6.0m，渗透系K≤1.0×10</w:t>
            </w:r>
            <w:r>
              <w:rPr>
                <w:rFonts w:ascii="Times New Roman" w:hAnsi="Times New Roman" w:cs="Times New Roman"/>
                <w:snapToGrid w:val="0"/>
                <w:szCs w:val="21"/>
                <w:vertAlign w:val="superscript"/>
              </w:rPr>
              <w:t>-7</w:t>
            </w:r>
            <w:r>
              <w:rPr>
                <w:rFonts w:ascii="Times New Roman" w:hAnsi="Times New Roman" w:cs="Times New Roman"/>
                <w:snapToGrid w:val="0"/>
                <w:szCs w:val="21"/>
              </w:rPr>
              <w:t>cm/s</w:t>
            </w:r>
            <w:r>
              <w:rPr>
                <w:rFonts w:hint="eastAsia" w:ascii="Times New Roman" w:hAnsi="Times New Roman" w:cs="Times New Roman"/>
                <w:snapToGrid w:val="0"/>
                <w:szCs w:val="21"/>
              </w:rPr>
              <w:t>的防渗要求；</w:t>
            </w:r>
          </w:p>
          <w:p>
            <w:pPr>
              <w:pStyle w:val="128"/>
              <w:spacing w:line="360" w:lineRule="exact"/>
              <w:jc w:val="left"/>
              <w:rPr>
                <w:rFonts w:ascii="Times New Roman" w:hAnsi="Times New Roman" w:cs="Times New Roman"/>
                <w:snapToGrid w:val="0"/>
                <w:szCs w:val="21"/>
              </w:rPr>
            </w:pPr>
            <w:r>
              <w:rPr>
                <w:rFonts w:ascii="Times New Roman" w:hAnsi="Times New Roman" w:cs="Times New Roman"/>
                <w:snapToGrid w:val="0"/>
                <w:szCs w:val="21"/>
              </w:rPr>
              <w:fldChar w:fldCharType="begin"/>
            </w:r>
            <w:r>
              <w:rPr>
                <w:rFonts w:ascii="Times New Roman" w:hAnsi="Times New Roman" w:cs="Times New Roman"/>
                <w:snapToGrid w:val="0"/>
                <w:szCs w:val="21"/>
              </w:rPr>
              <w:instrText xml:space="preserve"> = 2 \* GB3 </w:instrText>
            </w:r>
            <w:r>
              <w:rPr>
                <w:rFonts w:ascii="Times New Roman" w:hAnsi="Times New Roman" w:cs="Times New Roman"/>
                <w:snapToGrid w:val="0"/>
                <w:szCs w:val="21"/>
              </w:rPr>
              <w:fldChar w:fldCharType="separate"/>
            </w:r>
            <w:r>
              <w:rPr>
                <w:rFonts w:hint="eastAsia" w:ascii="宋体" w:hAnsi="宋体" w:eastAsia="宋体" w:cs="宋体"/>
                <w:snapToGrid w:val="0"/>
                <w:szCs w:val="21"/>
              </w:rPr>
              <w:t>②</w:t>
            </w:r>
            <w:r>
              <w:rPr>
                <w:rFonts w:ascii="Times New Roman" w:hAnsi="Times New Roman" w:cs="Times New Roman"/>
                <w:snapToGrid w:val="0"/>
                <w:szCs w:val="21"/>
              </w:rPr>
              <w:fldChar w:fldCharType="end"/>
            </w:r>
            <w:r>
              <w:rPr>
                <w:rFonts w:ascii="Times New Roman" w:hAnsi="Times New Roman" w:cs="Times New Roman"/>
                <w:snapToGrid w:val="0"/>
                <w:szCs w:val="21"/>
              </w:rPr>
              <w:t>鸡舍、</w:t>
            </w:r>
            <w:r>
              <w:rPr>
                <w:rFonts w:hint="eastAsia" w:ascii="Times New Roman" w:hAnsi="Times New Roman" w:cs="Times New Roman"/>
                <w:snapToGrid w:val="0"/>
                <w:szCs w:val="21"/>
              </w:rPr>
              <w:t>安全填埋</w:t>
            </w:r>
            <w:r>
              <w:rPr>
                <w:rFonts w:ascii="Times New Roman" w:hAnsi="Times New Roman" w:cs="Times New Roman"/>
                <w:snapToGrid w:val="0"/>
                <w:szCs w:val="21"/>
              </w:rPr>
              <w:t>井按一般防渗区采取防渗措施</w:t>
            </w:r>
            <w:r>
              <w:rPr>
                <w:rFonts w:hint="eastAsia" w:ascii="Times New Roman" w:hAnsi="Times New Roman" w:cs="Times New Roman"/>
                <w:snapToGrid w:val="0"/>
                <w:szCs w:val="21"/>
              </w:rPr>
              <w:t>。</w:t>
            </w:r>
            <w:r>
              <w:rPr>
                <w:rFonts w:ascii="Times New Roman" w:hAnsi="Times New Roman" w:cs="Times New Roman"/>
                <w:snapToGrid w:val="0"/>
                <w:szCs w:val="21"/>
              </w:rPr>
              <w:t>鸡舍、</w:t>
            </w:r>
            <w:r>
              <w:rPr>
                <w:rFonts w:hint="eastAsia" w:ascii="Times New Roman" w:hAnsi="Times New Roman" w:cs="Times New Roman"/>
                <w:snapToGrid w:val="0"/>
                <w:szCs w:val="21"/>
              </w:rPr>
              <w:t>安全填埋</w:t>
            </w:r>
            <w:r>
              <w:rPr>
                <w:rFonts w:ascii="Times New Roman" w:hAnsi="Times New Roman" w:cs="Times New Roman"/>
                <w:snapToGrid w:val="0"/>
                <w:szCs w:val="21"/>
              </w:rPr>
              <w:t>井为地面（池底）基础防渗，需满足等效黏土防渗层Mb≥1.5m，K≤1×10</w:t>
            </w:r>
            <w:r>
              <w:rPr>
                <w:rFonts w:ascii="Times New Roman" w:hAnsi="Times New Roman" w:cs="Times New Roman"/>
                <w:snapToGrid w:val="0"/>
                <w:szCs w:val="21"/>
                <w:vertAlign w:val="superscript"/>
              </w:rPr>
              <w:t>-7</w:t>
            </w:r>
            <w:r>
              <w:rPr>
                <w:rFonts w:ascii="Times New Roman" w:hAnsi="Times New Roman" w:cs="Times New Roman"/>
                <w:snapToGrid w:val="0"/>
                <w:szCs w:val="21"/>
              </w:rPr>
              <w:t>cm/s的要求；</w:t>
            </w:r>
          </w:p>
          <w:p>
            <w:pPr>
              <w:jc w:val="left"/>
              <w:rPr>
                <w:rFonts w:hAnsi="宋体"/>
                <w:bCs/>
                <w:szCs w:val="21"/>
              </w:rPr>
            </w:pPr>
            <w:r>
              <w:rPr>
                <w:snapToGrid w:val="0"/>
                <w:szCs w:val="21"/>
              </w:rPr>
              <w:fldChar w:fldCharType="begin"/>
            </w:r>
            <w:r>
              <w:rPr>
                <w:snapToGrid w:val="0"/>
                <w:szCs w:val="21"/>
              </w:rPr>
              <w:instrText xml:space="preserve"> = 3 \* GB3 </w:instrText>
            </w:r>
            <w:r>
              <w:rPr>
                <w:snapToGrid w:val="0"/>
                <w:szCs w:val="21"/>
              </w:rPr>
              <w:fldChar w:fldCharType="separate"/>
            </w:r>
            <w:r>
              <w:rPr>
                <w:rFonts w:hint="eastAsia" w:ascii="宋体" w:hAnsi="宋体" w:cs="宋体"/>
                <w:snapToGrid w:val="0"/>
                <w:szCs w:val="21"/>
              </w:rPr>
              <w:t>③</w:t>
            </w:r>
            <w:r>
              <w:rPr>
                <w:snapToGrid w:val="0"/>
                <w:szCs w:val="21"/>
              </w:rPr>
              <w:fldChar w:fldCharType="end"/>
            </w:r>
            <w:r>
              <w:rPr>
                <w:snapToGrid w:val="0"/>
                <w:szCs w:val="21"/>
              </w:rPr>
              <w:t>其他建筑物及道路采取简单防渗，对其地面采用混凝土进行一般地面硬化。</w:t>
            </w:r>
          </w:p>
        </w:tc>
        <w:tc>
          <w:tcPr>
            <w:tcW w:w="0" w:type="auto"/>
            <w:vAlign w:val="center"/>
          </w:tcPr>
          <w:p>
            <w:pPr>
              <w:jc w:val="center"/>
              <w:rPr>
                <w:color w:val="000000"/>
                <w:szCs w:val="21"/>
              </w:rPr>
            </w:pPr>
            <w:r>
              <w:rPr>
                <w:rFonts w:hint="eastAsia"/>
                <w:color w:val="000000"/>
                <w:szCs w:val="21"/>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Align w:val="center"/>
          </w:tcPr>
          <w:p>
            <w:pPr>
              <w:jc w:val="center"/>
              <w:rPr>
                <w:color w:val="000000"/>
                <w:szCs w:val="21"/>
              </w:rPr>
            </w:pPr>
            <w:r>
              <w:rPr>
                <w:rFonts w:hint="eastAsia"/>
                <w:color w:val="000000"/>
                <w:szCs w:val="21"/>
              </w:rPr>
              <w:t>绿化</w:t>
            </w:r>
          </w:p>
        </w:tc>
        <w:tc>
          <w:tcPr>
            <w:tcW w:w="1506" w:type="pct"/>
            <w:gridSpan w:val="2"/>
            <w:vAlign w:val="center"/>
          </w:tcPr>
          <w:p>
            <w:pPr>
              <w:jc w:val="center"/>
              <w:rPr>
                <w:color w:val="000000"/>
                <w:szCs w:val="21"/>
              </w:rPr>
            </w:pPr>
            <w:r>
              <w:rPr>
                <w:rFonts w:hint="eastAsia"/>
                <w:color w:val="000000"/>
                <w:szCs w:val="21"/>
              </w:rPr>
              <w:t>/</w:t>
            </w:r>
          </w:p>
        </w:tc>
        <w:tc>
          <w:tcPr>
            <w:tcW w:w="2552" w:type="pct"/>
            <w:vAlign w:val="center"/>
          </w:tcPr>
          <w:p>
            <w:pPr>
              <w:jc w:val="left"/>
              <w:rPr>
                <w:color w:val="000000"/>
                <w:szCs w:val="21"/>
              </w:rPr>
            </w:pPr>
            <w:r>
              <w:rPr>
                <w:rFonts w:hint="eastAsia"/>
                <w:color w:val="000000"/>
                <w:szCs w:val="21"/>
              </w:rPr>
              <w:t>绿化面积42</w:t>
            </w:r>
            <w:r>
              <w:rPr>
                <w:color w:val="000000"/>
                <w:szCs w:val="21"/>
              </w:rPr>
              <w:t>00</w:t>
            </w:r>
            <w:r>
              <w:rPr>
                <w:rFonts w:hint="eastAsia"/>
                <w:color w:val="000000"/>
                <w:szCs w:val="21"/>
              </w:rPr>
              <w:t>m</w:t>
            </w:r>
            <w:r>
              <w:rPr>
                <w:rFonts w:hint="eastAsia"/>
                <w:color w:val="000000"/>
                <w:szCs w:val="21"/>
                <w:vertAlign w:val="superscript"/>
              </w:rPr>
              <w:t>2</w:t>
            </w:r>
          </w:p>
        </w:tc>
        <w:tc>
          <w:tcPr>
            <w:tcW w:w="0" w:type="auto"/>
            <w:vAlign w:val="center"/>
          </w:tcPr>
          <w:p>
            <w:pPr>
              <w:jc w:val="center"/>
              <w:rPr>
                <w:color w:val="000000"/>
                <w:szCs w:val="21"/>
              </w:rPr>
            </w:pPr>
            <w:r>
              <w:rPr>
                <w:rFonts w:hint="eastAsia"/>
                <w:color w:val="000000"/>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77" w:type="pct"/>
            <w:vAlign w:val="center"/>
          </w:tcPr>
          <w:p>
            <w:pPr>
              <w:jc w:val="center"/>
              <w:rPr>
                <w:color w:val="000000"/>
                <w:szCs w:val="21"/>
              </w:rPr>
            </w:pPr>
            <w:r>
              <w:rPr>
                <w:rFonts w:hint="eastAsia"/>
                <w:color w:val="000000"/>
                <w:szCs w:val="21"/>
              </w:rPr>
              <w:t>合计</w:t>
            </w:r>
          </w:p>
        </w:tc>
        <w:tc>
          <w:tcPr>
            <w:tcW w:w="4058" w:type="pct"/>
            <w:gridSpan w:val="3"/>
            <w:vAlign w:val="center"/>
          </w:tcPr>
          <w:p>
            <w:pPr>
              <w:jc w:val="center"/>
              <w:rPr>
                <w:color w:val="000000"/>
                <w:szCs w:val="21"/>
              </w:rPr>
            </w:pPr>
            <w:r>
              <w:rPr>
                <w:rFonts w:hint="eastAsia"/>
                <w:color w:val="000000"/>
                <w:szCs w:val="21"/>
              </w:rPr>
              <w:t>/</w:t>
            </w:r>
          </w:p>
        </w:tc>
        <w:tc>
          <w:tcPr>
            <w:tcW w:w="565" w:type="pct"/>
            <w:vAlign w:val="center"/>
          </w:tcPr>
          <w:p>
            <w:pPr>
              <w:jc w:val="center"/>
              <w:rPr>
                <w:color w:val="000000"/>
                <w:szCs w:val="21"/>
              </w:rPr>
            </w:pPr>
            <w:r>
              <w:rPr>
                <w:rFonts w:hint="eastAsia"/>
                <w:color w:val="000000"/>
                <w:szCs w:val="21"/>
              </w:rPr>
              <w:t>1</w:t>
            </w:r>
            <w:r>
              <w:rPr>
                <w:color w:val="000000"/>
                <w:szCs w:val="21"/>
              </w:rPr>
              <w:t>93</w:t>
            </w:r>
          </w:p>
        </w:tc>
      </w:tr>
      <w:bookmarkEnd w:id="135"/>
      <w:bookmarkEnd w:id="136"/>
      <w:bookmarkEnd w:id="137"/>
    </w:tbl>
    <w:p>
      <w:pPr>
        <w:spacing w:line="480" w:lineRule="exact"/>
        <w:ind w:firstLine="482"/>
        <w:rPr>
          <w:rFonts w:ascii="宋体" w:hAnsi="宋体"/>
          <w:bCs/>
          <w:sz w:val="24"/>
          <w:szCs w:val="24"/>
        </w:rPr>
      </w:pPr>
      <w:r>
        <w:rPr>
          <w:rFonts w:hint="eastAsia"/>
          <w:color w:val="000000"/>
          <w:sz w:val="24"/>
        </w:rPr>
        <w:t>根据上表汇总情况，项目运行期间总环保投资193万元，占总投资比例为12.9%。</w:t>
      </w: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hint="eastAsia"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sectPr>
          <w:headerReference r:id="rId12" w:type="default"/>
          <w:pgSz w:w="11906" w:h="16838"/>
          <w:pgMar w:top="1418" w:right="1531" w:bottom="1418" w:left="1531" w:header="851" w:footer="992" w:gutter="0"/>
          <w:cols w:space="425" w:num="1"/>
          <w:docGrid w:type="linesAndChars" w:linePitch="312" w:charSpace="0"/>
        </w:sectPr>
      </w:pPr>
    </w:p>
    <w:p>
      <w:pPr>
        <w:spacing w:line="720" w:lineRule="auto"/>
        <w:jc w:val="center"/>
        <w:outlineLvl w:val="0"/>
        <w:rPr>
          <w:rFonts w:hAnsi="黑体" w:eastAsia="黑体"/>
          <w:b/>
          <w:bCs/>
          <w:sz w:val="44"/>
          <w:szCs w:val="44"/>
        </w:rPr>
      </w:pPr>
      <w:bookmarkStart w:id="138" w:name="_Toc19105480"/>
      <w:r>
        <w:rPr>
          <w:rFonts w:hint="eastAsia" w:hAnsi="黑体" w:eastAsia="黑体"/>
          <w:b/>
          <w:bCs/>
          <w:sz w:val="44"/>
          <w:szCs w:val="44"/>
        </w:rPr>
        <w:t>8 环境影响经济损益分析</w:t>
      </w:r>
      <w:bookmarkEnd w:id="138"/>
    </w:p>
    <w:p>
      <w:pPr>
        <w:adjustRightInd w:val="0"/>
        <w:snapToGrid w:val="0"/>
        <w:spacing w:line="440" w:lineRule="exact"/>
        <w:ind w:firstLine="480" w:firstLineChars="200"/>
        <w:rPr>
          <w:bCs/>
          <w:sz w:val="24"/>
        </w:rPr>
      </w:pPr>
      <w:r>
        <w:rPr>
          <w:bCs/>
          <w:sz w:val="24"/>
        </w:rPr>
        <w:t>环境影响经济损益分析是综合分析建设项目环境、经济和社会效益的一项重要工作内容，是衡量环保投入所能综合利用到环境效果的一个重要指标。本评价采用指标法进行环境影响经济损益分析，即在费用指标和效益指标计算的基础上，进行环境效益静态分析，说明本项目环境效益的可行性。</w:t>
      </w:r>
    </w:p>
    <w:p>
      <w:pPr>
        <w:spacing w:line="480" w:lineRule="exact"/>
        <w:ind w:firstLine="480" w:firstLineChars="200"/>
        <w:rPr>
          <w:rFonts w:ascii="宋体" w:hAnsi="宋体"/>
          <w:bCs/>
          <w:sz w:val="24"/>
          <w:szCs w:val="24"/>
        </w:rPr>
      </w:pPr>
      <w:r>
        <w:rPr>
          <w:bCs/>
          <w:sz w:val="24"/>
        </w:rPr>
        <w:t>本项目如果能坚持</w:t>
      </w:r>
      <w:r>
        <w:rPr>
          <w:rFonts w:ascii="宋体" w:hAnsi="宋体"/>
          <w:bCs/>
          <w:sz w:val="24"/>
        </w:rPr>
        <w:t>“清洁生产”、“达标排放”和“污染物排放总量控制”</w:t>
      </w:r>
      <w:r>
        <w:rPr>
          <w:bCs/>
          <w:sz w:val="24"/>
        </w:rPr>
        <w:t>的原则，在生产各排污环节落实有效的环保措施，这样既可以有力地控制污染，又可带来一定的经济效益。在所制定的环保设施中，既有生产工艺所必需的设施，又有污染防治设施和生产工艺与污染防治相结合的设施。利用这些设施并加强清洁生产管理，加强废物的回收利用，变废为宝，可以大大减少生产过程中的排污总量，实现达标排放，总量控制和最大限度地降低环境影响的要求。</w:t>
      </w:r>
    </w:p>
    <w:p>
      <w:pPr>
        <w:pStyle w:val="2"/>
        <w:spacing w:before="156" w:beforeLines="50" w:after="0" w:line="480" w:lineRule="exact"/>
        <w:rPr>
          <w:rFonts w:ascii="Times New Roman" w:hAnsi="Times New Roman"/>
          <w:bCs w:val="0"/>
          <w:spacing w:val="4"/>
          <w:sz w:val="28"/>
          <w:szCs w:val="28"/>
        </w:rPr>
      </w:pPr>
      <w:bookmarkStart w:id="139" w:name="_Toc19105481"/>
      <w:r>
        <w:rPr>
          <w:rFonts w:hint="eastAsia" w:ascii="Times New Roman" w:hAnsi="Times New Roman"/>
          <w:bCs w:val="0"/>
          <w:spacing w:val="4"/>
          <w:sz w:val="28"/>
          <w:szCs w:val="28"/>
        </w:rPr>
        <w:t>8.1</w:t>
      </w:r>
      <w:r>
        <w:rPr>
          <w:sz w:val="28"/>
          <w:szCs w:val="28"/>
        </w:rPr>
        <w:t>环境效益分析</w:t>
      </w:r>
      <w:bookmarkEnd w:id="139"/>
    </w:p>
    <w:p>
      <w:pPr>
        <w:spacing w:line="480" w:lineRule="exact"/>
        <w:ind w:firstLine="480" w:firstLineChars="200"/>
        <w:rPr>
          <w:sz w:val="24"/>
        </w:rPr>
      </w:pPr>
      <w:r>
        <w:rPr>
          <w:bCs/>
          <w:sz w:val="24"/>
        </w:rPr>
        <w:t>环保投资主要包括治理污染，保护环境所需的设备、装置等工程设施费用等。本项目的环保设施投资部分体现在采用先进的工艺和技术、使用原材料上，从源头减小了对环境的影响。</w:t>
      </w:r>
      <w:r>
        <w:rPr>
          <w:sz w:val="24"/>
        </w:rPr>
        <w:t>本项目总投资为</w:t>
      </w:r>
      <w:r>
        <w:rPr>
          <w:rFonts w:hAnsi="宋体"/>
          <w:sz w:val="24"/>
          <w:szCs w:val="24"/>
        </w:rPr>
        <w:t>1500</w:t>
      </w:r>
      <w:r>
        <w:rPr>
          <w:rFonts w:hint="eastAsia" w:hAnsi="宋体"/>
          <w:sz w:val="24"/>
          <w:szCs w:val="24"/>
        </w:rPr>
        <w:t>万元</w:t>
      </w:r>
      <w:r>
        <w:rPr>
          <w:sz w:val="24"/>
        </w:rPr>
        <w:t>，环保工程投资为</w:t>
      </w:r>
      <w:r>
        <w:rPr>
          <w:rFonts w:hint="eastAsia"/>
          <w:sz w:val="24"/>
        </w:rPr>
        <w:t>193</w:t>
      </w:r>
      <w:r>
        <w:rPr>
          <w:sz w:val="24"/>
        </w:rPr>
        <w:t>元，占总投资</w:t>
      </w:r>
      <w:r>
        <w:rPr>
          <w:rFonts w:hint="eastAsia"/>
          <w:sz w:val="24"/>
        </w:rPr>
        <w:t>12.9</w:t>
      </w:r>
      <w:r>
        <w:rPr>
          <w:sz w:val="24"/>
        </w:rPr>
        <w:t>%。</w:t>
      </w:r>
    </w:p>
    <w:p>
      <w:pPr>
        <w:pStyle w:val="3"/>
        <w:spacing w:before="0" w:after="0" w:line="480" w:lineRule="exact"/>
        <w:rPr>
          <w:sz w:val="24"/>
          <w:szCs w:val="24"/>
        </w:rPr>
      </w:pPr>
      <w:r>
        <w:rPr>
          <w:sz w:val="24"/>
          <w:szCs w:val="24"/>
        </w:rPr>
        <w:t>8.1.1本工程环保费用指标</w:t>
      </w:r>
    </w:p>
    <w:p>
      <w:pPr>
        <w:spacing w:line="480" w:lineRule="exact"/>
        <w:ind w:firstLine="480" w:firstLineChars="200"/>
        <w:rPr>
          <w:bCs/>
          <w:sz w:val="24"/>
        </w:rPr>
      </w:pPr>
      <w:r>
        <w:rPr>
          <w:bCs/>
          <w:sz w:val="24"/>
        </w:rPr>
        <w:t>环保费用指标由治理费用和辅助费用两部分组成，其中治理费用是指一次性投资和运行费用，辅助费用是为了充分发挥治理方案的效益而发生的管理、科研、监测、办公费用。</w:t>
      </w:r>
    </w:p>
    <w:p>
      <w:pPr>
        <w:spacing w:line="480" w:lineRule="exact"/>
        <w:rPr>
          <w:b/>
          <w:bCs/>
          <w:sz w:val="24"/>
        </w:rPr>
      </w:pPr>
      <w:r>
        <w:rPr>
          <w:rFonts w:hint="eastAsia"/>
          <w:b/>
          <w:bCs/>
          <w:sz w:val="24"/>
        </w:rPr>
        <w:t>1、治理费用（C</w:t>
      </w:r>
      <w:r>
        <w:rPr>
          <w:b/>
          <w:bCs/>
          <w:sz w:val="24"/>
          <w:vertAlign w:val="subscript"/>
        </w:rPr>
        <w:t>1</w:t>
      </w:r>
      <w:r>
        <w:rPr>
          <w:rFonts w:hint="eastAsia"/>
          <w:b/>
          <w:bCs/>
          <w:sz w:val="24"/>
        </w:rPr>
        <w:t>）</w:t>
      </w:r>
    </w:p>
    <w:p>
      <w:pPr>
        <w:spacing w:line="480" w:lineRule="exact"/>
        <w:ind w:firstLine="480" w:firstLineChars="200"/>
        <w:rPr>
          <w:bCs/>
          <w:sz w:val="24"/>
        </w:rPr>
      </w:pPr>
      <w:r>
        <w:rPr>
          <w:bCs/>
          <w:sz w:val="24"/>
        </w:rPr>
        <w:t>C</w:t>
      </w:r>
      <w:r>
        <w:rPr>
          <w:bCs/>
          <w:sz w:val="24"/>
          <w:vertAlign w:val="subscript"/>
        </w:rPr>
        <w:t xml:space="preserve">1 </w:t>
      </w:r>
      <w:r>
        <w:rPr>
          <w:bCs/>
          <w:sz w:val="24"/>
        </w:rPr>
        <w:t>= C</w:t>
      </w:r>
      <w:r>
        <w:rPr>
          <w:bCs/>
          <w:sz w:val="24"/>
          <w:vertAlign w:val="subscript"/>
        </w:rPr>
        <w:t>1-1</w:t>
      </w:r>
      <w:r>
        <w:rPr>
          <w:bCs/>
          <w:sz w:val="24"/>
        </w:rPr>
        <w:t>/n + C</w:t>
      </w:r>
      <w:r>
        <w:rPr>
          <w:bCs/>
          <w:sz w:val="24"/>
          <w:vertAlign w:val="subscript"/>
        </w:rPr>
        <w:t>1-2</w:t>
      </w:r>
    </w:p>
    <w:p>
      <w:pPr>
        <w:spacing w:line="480" w:lineRule="exact"/>
        <w:ind w:firstLine="480" w:firstLineChars="200"/>
        <w:rPr>
          <w:bCs/>
          <w:sz w:val="24"/>
        </w:rPr>
      </w:pPr>
      <w:r>
        <w:rPr>
          <w:bCs/>
          <w:sz w:val="24"/>
        </w:rPr>
        <w:t>式中：C</w:t>
      </w:r>
      <w:r>
        <w:rPr>
          <w:bCs/>
          <w:sz w:val="24"/>
          <w:vertAlign w:val="subscript"/>
        </w:rPr>
        <w:t>1-1</w:t>
      </w:r>
      <w:r>
        <w:rPr>
          <w:bCs/>
          <w:sz w:val="24"/>
        </w:rPr>
        <w:t xml:space="preserve"> ——投资费用</w:t>
      </w:r>
      <w:r>
        <w:rPr>
          <w:rFonts w:hint="eastAsia"/>
          <w:bCs/>
          <w:sz w:val="24"/>
        </w:rPr>
        <w:t>；</w:t>
      </w:r>
    </w:p>
    <w:p>
      <w:pPr>
        <w:spacing w:line="480" w:lineRule="exact"/>
        <w:ind w:firstLine="1200" w:firstLineChars="500"/>
        <w:rPr>
          <w:bCs/>
          <w:sz w:val="24"/>
        </w:rPr>
      </w:pPr>
      <w:r>
        <w:rPr>
          <w:bCs/>
          <w:sz w:val="24"/>
        </w:rPr>
        <w:t>C</w:t>
      </w:r>
      <w:r>
        <w:rPr>
          <w:bCs/>
          <w:sz w:val="24"/>
          <w:vertAlign w:val="subscript"/>
        </w:rPr>
        <w:t>1-2</w:t>
      </w:r>
      <w:r>
        <w:rPr>
          <w:bCs/>
          <w:sz w:val="24"/>
        </w:rPr>
        <w:t xml:space="preserve"> ——运行费用，取C</w:t>
      </w:r>
      <w:r>
        <w:rPr>
          <w:bCs/>
          <w:sz w:val="24"/>
          <w:vertAlign w:val="subscript"/>
        </w:rPr>
        <w:t>1-1</w:t>
      </w:r>
      <w:r>
        <w:rPr>
          <w:bCs/>
          <w:sz w:val="24"/>
        </w:rPr>
        <w:t>的15%</w:t>
      </w:r>
      <w:r>
        <w:rPr>
          <w:rFonts w:hint="eastAsia"/>
          <w:bCs/>
          <w:sz w:val="24"/>
        </w:rPr>
        <w:t>；</w:t>
      </w:r>
    </w:p>
    <w:p>
      <w:pPr>
        <w:spacing w:line="480" w:lineRule="exact"/>
        <w:ind w:firstLine="1200" w:firstLineChars="500"/>
        <w:rPr>
          <w:bCs/>
          <w:sz w:val="24"/>
        </w:rPr>
      </w:pPr>
      <w:r>
        <w:rPr>
          <w:bCs/>
          <w:sz w:val="24"/>
        </w:rPr>
        <w:t>n ——设备折旧年限，取n=15年</w:t>
      </w:r>
      <w:r>
        <w:rPr>
          <w:rFonts w:hint="eastAsia"/>
          <w:bCs/>
          <w:sz w:val="24"/>
        </w:rPr>
        <w:t>；</w:t>
      </w:r>
    </w:p>
    <w:p>
      <w:pPr>
        <w:spacing w:line="480" w:lineRule="exact"/>
        <w:ind w:firstLine="480" w:firstLineChars="200"/>
        <w:rPr>
          <w:bCs/>
          <w:sz w:val="24"/>
        </w:rPr>
      </w:pPr>
      <w:r>
        <w:rPr>
          <w:bCs/>
          <w:sz w:val="24"/>
        </w:rPr>
        <w:t>由上式计算得出本工程环保治理费用325万元。</w:t>
      </w:r>
    </w:p>
    <w:p>
      <w:pPr>
        <w:spacing w:line="480" w:lineRule="exact"/>
        <w:rPr>
          <w:b/>
          <w:bCs/>
          <w:sz w:val="24"/>
        </w:rPr>
      </w:pPr>
      <w:r>
        <w:rPr>
          <w:b/>
          <w:bCs/>
          <w:sz w:val="24"/>
        </w:rPr>
        <w:t>2</w:t>
      </w:r>
      <w:r>
        <w:rPr>
          <w:rFonts w:hint="eastAsia"/>
          <w:b/>
          <w:bCs/>
          <w:sz w:val="24"/>
        </w:rPr>
        <w:t>、辅助费用（C</w:t>
      </w:r>
      <w:r>
        <w:rPr>
          <w:b/>
          <w:bCs/>
          <w:sz w:val="24"/>
          <w:vertAlign w:val="subscript"/>
        </w:rPr>
        <w:t>2</w:t>
      </w:r>
      <w:r>
        <w:rPr>
          <w:rFonts w:hint="eastAsia"/>
          <w:b/>
          <w:bCs/>
          <w:sz w:val="24"/>
        </w:rPr>
        <w:t>）</w:t>
      </w:r>
    </w:p>
    <w:p>
      <w:pPr>
        <w:adjustRightInd w:val="0"/>
        <w:snapToGrid w:val="0"/>
        <w:spacing w:line="440" w:lineRule="exact"/>
        <w:ind w:firstLine="562"/>
        <w:rPr>
          <w:sz w:val="24"/>
        </w:rPr>
      </w:pPr>
      <w:r>
        <w:rPr>
          <w:sz w:val="24"/>
        </w:rPr>
        <w:t>C</w:t>
      </w:r>
      <w:r>
        <w:rPr>
          <w:sz w:val="24"/>
          <w:vertAlign w:val="subscript"/>
        </w:rPr>
        <w:t>2</w:t>
      </w:r>
      <w:r>
        <w:rPr>
          <w:sz w:val="24"/>
        </w:rPr>
        <w:t xml:space="preserve"> = U + V+ W</w:t>
      </w:r>
    </w:p>
    <w:p>
      <w:pPr>
        <w:adjustRightInd w:val="0"/>
        <w:snapToGrid w:val="0"/>
        <w:spacing w:line="440" w:lineRule="exact"/>
        <w:ind w:firstLine="562"/>
        <w:rPr>
          <w:sz w:val="24"/>
        </w:rPr>
      </w:pPr>
      <w:r>
        <w:rPr>
          <w:sz w:val="24"/>
        </w:rPr>
        <w:t>式中：U——管理费用，取30万元/年</w:t>
      </w:r>
      <w:r>
        <w:rPr>
          <w:rFonts w:hint="eastAsia"/>
          <w:sz w:val="24"/>
        </w:rPr>
        <w:t>；</w:t>
      </w:r>
    </w:p>
    <w:p>
      <w:pPr>
        <w:adjustRightInd w:val="0"/>
        <w:snapToGrid w:val="0"/>
        <w:spacing w:line="440" w:lineRule="exact"/>
        <w:ind w:firstLine="562"/>
        <w:rPr>
          <w:sz w:val="24"/>
        </w:rPr>
      </w:pPr>
      <w:r>
        <w:rPr>
          <w:sz w:val="24"/>
        </w:rPr>
        <w:t xml:space="preserve">      V——科研、咨询、学术交流费用，取5万元/年</w:t>
      </w:r>
      <w:r>
        <w:rPr>
          <w:rFonts w:hint="eastAsia"/>
          <w:sz w:val="24"/>
        </w:rPr>
        <w:t>；</w:t>
      </w:r>
    </w:p>
    <w:p>
      <w:pPr>
        <w:adjustRightInd w:val="0"/>
        <w:snapToGrid w:val="0"/>
        <w:spacing w:line="440" w:lineRule="exact"/>
        <w:ind w:firstLine="562"/>
        <w:rPr>
          <w:sz w:val="24"/>
        </w:rPr>
      </w:pPr>
      <w:r>
        <w:rPr>
          <w:sz w:val="24"/>
        </w:rPr>
        <w:t xml:space="preserve">      W——准备和执行环保政策的费用，取5万元/年</w:t>
      </w:r>
      <w:r>
        <w:rPr>
          <w:rFonts w:hint="eastAsia"/>
          <w:sz w:val="24"/>
        </w:rPr>
        <w:t>；</w:t>
      </w:r>
    </w:p>
    <w:p>
      <w:pPr>
        <w:adjustRightInd w:val="0"/>
        <w:snapToGrid w:val="0"/>
        <w:spacing w:line="440" w:lineRule="exact"/>
        <w:ind w:firstLine="562"/>
        <w:rPr>
          <w:sz w:val="24"/>
        </w:rPr>
      </w:pPr>
      <w:r>
        <w:rPr>
          <w:sz w:val="24"/>
        </w:rPr>
        <w:t>由上式计算出辅助费用C</w:t>
      </w:r>
      <w:r>
        <w:rPr>
          <w:sz w:val="24"/>
          <w:vertAlign w:val="subscript"/>
        </w:rPr>
        <w:t>2</w:t>
      </w:r>
      <w:r>
        <w:rPr>
          <w:sz w:val="24"/>
        </w:rPr>
        <w:t>为40万元/年</w:t>
      </w:r>
      <w:r>
        <w:rPr>
          <w:rFonts w:hint="eastAsia"/>
          <w:sz w:val="24"/>
        </w:rPr>
        <w:t>。</w:t>
      </w:r>
    </w:p>
    <w:p>
      <w:pPr>
        <w:spacing w:line="480" w:lineRule="exact"/>
        <w:ind w:firstLine="480" w:firstLineChars="200"/>
        <w:rPr>
          <w:bCs/>
          <w:sz w:val="24"/>
        </w:rPr>
      </w:pPr>
      <w:r>
        <w:rPr>
          <w:sz w:val="24"/>
        </w:rPr>
        <w:t>费用总指标C = C</w:t>
      </w:r>
      <w:r>
        <w:rPr>
          <w:sz w:val="24"/>
          <w:vertAlign w:val="subscript"/>
        </w:rPr>
        <w:t>1</w:t>
      </w:r>
      <w:r>
        <w:rPr>
          <w:sz w:val="24"/>
        </w:rPr>
        <w:t xml:space="preserve"> + C</w:t>
      </w:r>
      <w:r>
        <w:rPr>
          <w:sz w:val="24"/>
          <w:vertAlign w:val="subscript"/>
        </w:rPr>
        <w:t>2</w:t>
      </w:r>
      <w:r>
        <w:rPr>
          <w:sz w:val="24"/>
        </w:rPr>
        <w:t xml:space="preserve"> =365万元/年</w:t>
      </w:r>
    </w:p>
    <w:p>
      <w:pPr>
        <w:pStyle w:val="3"/>
        <w:spacing w:before="0" w:after="0" w:line="480" w:lineRule="exact"/>
        <w:rPr>
          <w:sz w:val="24"/>
          <w:szCs w:val="24"/>
        </w:rPr>
      </w:pPr>
      <w:r>
        <w:rPr>
          <w:sz w:val="24"/>
          <w:szCs w:val="24"/>
        </w:rPr>
        <w:t>8.1.2本工程</w:t>
      </w:r>
      <w:r>
        <w:rPr>
          <w:rFonts w:hint="eastAsia"/>
          <w:sz w:val="24"/>
          <w:szCs w:val="24"/>
        </w:rPr>
        <w:t>效益</w:t>
      </w:r>
      <w:r>
        <w:rPr>
          <w:sz w:val="24"/>
          <w:szCs w:val="24"/>
        </w:rPr>
        <w:t>指标</w:t>
      </w:r>
    </w:p>
    <w:p>
      <w:pPr>
        <w:spacing w:line="480" w:lineRule="exact"/>
        <w:ind w:firstLine="480" w:firstLineChars="200"/>
        <w:rPr>
          <w:bCs/>
          <w:sz w:val="24"/>
        </w:rPr>
      </w:pPr>
      <w:r>
        <w:rPr>
          <w:sz w:val="24"/>
        </w:rPr>
        <w:t>污染治理措施的实施，不仅可以有力地控制污染，而且会带来一定的经济效益，这部分经济效益体现在两方面，一是直接经济效益（R1），环保措施对废物回收利用所获得的产品价值；二是间接经济效益（R2），环保措施实施后的社会效益。</w:t>
      </w:r>
    </w:p>
    <w:p>
      <w:pPr>
        <w:spacing w:line="480" w:lineRule="exact"/>
        <w:rPr>
          <w:b/>
          <w:bCs/>
          <w:sz w:val="24"/>
        </w:rPr>
      </w:pPr>
      <w:r>
        <w:rPr>
          <w:rFonts w:hint="eastAsia"/>
          <w:b/>
          <w:bCs/>
          <w:sz w:val="24"/>
        </w:rPr>
        <w:t>1、</w:t>
      </w:r>
      <w:r>
        <w:rPr>
          <w:b/>
          <w:bCs/>
          <w:sz w:val="24"/>
        </w:rPr>
        <w:t>直接经济效益（R</w:t>
      </w:r>
      <w:r>
        <w:rPr>
          <w:b/>
          <w:bCs/>
          <w:sz w:val="24"/>
          <w:vertAlign w:val="subscript"/>
        </w:rPr>
        <w:t>1</w:t>
      </w:r>
      <w:r>
        <w:rPr>
          <w:b/>
          <w:bCs/>
          <w:sz w:val="24"/>
        </w:rPr>
        <w:t>）</w:t>
      </w:r>
    </w:p>
    <w:p>
      <w:pPr>
        <w:spacing w:line="480" w:lineRule="exact"/>
        <w:ind w:firstLine="480" w:firstLineChars="200"/>
        <w:rPr>
          <w:bCs/>
          <w:sz w:val="24"/>
        </w:rPr>
      </w:pPr>
      <w:r>
        <w:rPr>
          <w:bCs/>
          <w:sz w:val="24"/>
        </w:rPr>
        <w:pict>
          <v:shape id="Text Box 2" o:spid="_x0000_s1035" o:spt="202" type="#_x0000_t202" style="position:absolute;left:0pt;margin-left:23.45pt;margin-top:3.6pt;height:59.4pt;width:410.9pt;z-index:25166131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">
            <v:path/>
            <v:fill focussize="0,0"/>
            <v:stroke color="#FFFFFF" joinstyle="miter"/>
            <v:imagedata o:title=""/>
            <o:lock v:ext="edit"/>
            <v:textbox>
              <w:txbxContent>
                <w:p>
                  <w:pPr>
                    <w:ind w:firstLine="480"/>
                    <w:rPr>
                      <w:sz w:val="24"/>
                    </w:rPr>
                  </w:pPr>
                  <w:r>
                    <w:rPr>
                      <w:rFonts w:hint="eastAsia"/>
                      <w:sz w:val="24"/>
                    </w:rPr>
                    <w:t xml:space="preserve">     </w:t>
                  </w:r>
                  <w:r>
                    <w:rPr>
                      <w:sz w:val="24"/>
                    </w:rPr>
                    <w:t>n</w:t>
                  </w:r>
                  <w:r>
                    <w:rPr>
                      <w:rFonts w:hint="eastAsia"/>
                      <w:sz w:val="24"/>
                    </w:rPr>
                    <w:t xml:space="preserve">      </w:t>
                  </w:r>
                  <w:r>
                    <w:rPr>
                      <w:sz w:val="24"/>
                    </w:rPr>
                    <w:t>n</w:t>
                  </w:r>
                  <w:r>
                    <w:rPr>
                      <w:rFonts w:hint="eastAsia"/>
                      <w:sz w:val="24"/>
                    </w:rPr>
                    <w:t xml:space="preserve">      </w:t>
                  </w:r>
                  <w:r>
                    <w:rPr>
                      <w:sz w:val="24"/>
                    </w:rPr>
                    <w:t>n</w:t>
                  </w:r>
                  <w:r>
                    <w:rPr>
                      <w:rFonts w:hint="eastAsia"/>
                      <w:sz w:val="24"/>
                    </w:rPr>
                    <w:t xml:space="preserve">     </w:t>
                  </w:r>
                  <w:r>
                    <w:rPr>
                      <w:sz w:val="24"/>
                    </w:rPr>
                    <w:t>n</w:t>
                  </w:r>
                </w:p>
                <w:p>
                  <w:pPr>
                    <w:ind w:firstLine="480"/>
                    <w:rPr>
                      <w:sz w:val="24"/>
                    </w:rPr>
                  </w:pPr>
                  <w:r>
                    <w:rPr>
                      <w:rFonts w:hint="eastAsia"/>
                      <w:sz w:val="24"/>
                    </w:rPr>
                    <w:t>R</w:t>
                  </w:r>
                  <w:r>
                    <w:rPr>
                      <w:rFonts w:hint="eastAsia"/>
                      <w:sz w:val="24"/>
                      <w:vertAlign w:val="subscript"/>
                    </w:rPr>
                    <w:t>1</w:t>
                  </w:r>
                  <w:r>
                    <w:rPr>
                      <w:rFonts w:hint="eastAsia"/>
                      <w:sz w:val="24"/>
                    </w:rPr>
                    <w:t xml:space="preserve"> = ∑Q</w:t>
                  </w:r>
                  <w:r>
                    <w:rPr>
                      <w:sz w:val="24"/>
                    </w:rPr>
                    <w:t>i</w:t>
                  </w:r>
                  <w:r>
                    <w:rPr>
                      <w:rFonts w:hint="eastAsia"/>
                      <w:sz w:val="24"/>
                    </w:rPr>
                    <w:t xml:space="preserve"> + ∑M</w:t>
                  </w:r>
                  <w:r>
                    <w:rPr>
                      <w:sz w:val="24"/>
                    </w:rPr>
                    <w:t>i</w:t>
                  </w:r>
                  <w:r>
                    <w:rPr>
                      <w:rFonts w:hint="eastAsia"/>
                      <w:sz w:val="24"/>
                    </w:rPr>
                    <w:t xml:space="preserve"> + ∑S</w:t>
                  </w:r>
                  <w:r>
                    <w:rPr>
                      <w:sz w:val="24"/>
                    </w:rPr>
                    <w:t>i</w:t>
                  </w:r>
                  <w:r>
                    <w:rPr>
                      <w:rFonts w:hint="eastAsia"/>
                      <w:sz w:val="24"/>
                    </w:rPr>
                    <w:t xml:space="preserve"> + ∑T</w:t>
                  </w:r>
                  <w:r>
                    <w:rPr>
                      <w:sz w:val="24"/>
                    </w:rPr>
                    <w:t>i</w:t>
                  </w:r>
                </w:p>
                <w:p>
                  <w:pPr>
                    <w:ind w:firstLine="480"/>
                    <w:rPr>
                      <w:sz w:val="24"/>
                    </w:rPr>
                  </w:pPr>
                  <w:r>
                    <w:rPr>
                      <w:rFonts w:hint="eastAsia"/>
                      <w:sz w:val="24"/>
                    </w:rPr>
                    <w:t xml:space="preserve">    </w:t>
                  </w:r>
                  <w:r>
                    <w:rPr>
                      <w:sz w:val="24"/>
                    </w:rPr>
                    <w:t>i</w:t>
                  </w:r>
                  <w:r>
                    <w:rPr>
                      <w:rFonts w:hint="eastAsia"/>
                      <w:sz w:val="24"/>
                    </w:rPr>
                    <w:t xml:space="preserve">=1    </w:t>
                  </w:r>
                  <w:r>
                    <w:rPr>
                      <w:sz w:val="24"/>
                    </w:rPr>
                    <w:t>i=1</w:t>
                  </w:r>
                  <w:r>
                    <w:rPr>
                      <w:rFonts w:hint="eastAsia"/>
                      <w:sz w:val="24"/>
                    </w:rPr>
                    <w:t xml:space="preserve">    </w:t>
                  </w:r>
                  <w:r>
                    <w:rPr>
                      <w:sz w:val="24"/>
                    </w:rPr>
                    <w:t>i=1</w:t>
                  </w:r>
                  <w:r>
                    <w:rPr>
                      <w:rFonts w:hint="eastAsia"/>
                      <w:sz w:val="24"/>
                    </w:rPr>
                    <w:t xml:space="preserve">    </w:t>
                  </w:r>
                  <w:r>
                    <w:rPr>
                      <w:sz w:val="24"/>
                    </w:rPr>
                    <w:t>i=1</w:t>
                  </w:r>
                </w:p>
              </w:txbxContent>
            </v:textbox>
          </v:shape>
        </w:pict>
      </w:r>
    </w:p>
    <w:p>
      <w:pPr>
        <w:spacing w:line="480" w:lineRule="exact"/>
        <w:ind w:firstLine="480" w:firstLineChars="200"/>
        <w:rPr>
          <w:bCs/>
          <w:sz w:val="24"/>
        </w:rPr>
      </w:pPr>
    </w:p>
    <w:p>
      <w:pPr>
        <w:spacing w:line="480" w:lineRule="exact"/>
        <w:ind w:firstLine="480" w:firstLineChars="200"/>
        <w:rPr>
          <w:bCs/>
          <w:sz w:val="24"/>
        </w:rPr>
      </w:pPr>
    </w:p>
    <w:p>
      <w:pPr>
        <w:spacing w:line="440" w:lineRule="exact"/>
        <w:ind w:firstLine="480" w:firstLineChars="200"/>
        <w:rPr>
          <w:sz w:val="24"/>
        </w:rPr>
      </w:pPr>
      <w:r>
        <w:rPr>
          <w:sz w:val="24"/>
        </w:rPr>
        <w:t>式中：Ni ——能源利用的经济效</w:t>
      </w:r>
    </w:p>
    <w:p>
      <w:pPr>
        <w:spacing w:line="440" w:lineRule="exact"/>
        <w:ind w:firstLine="480" w:firstLineChars="200"/>
        <w:rPr>
          <w:sz w:val="24"/>
        </w:rPr>
      </w:pPr>
      <w:r>
        <w:rPr>
          <w:sz w:val="24"/>
        </w:rPr>
        <w:t xml:space="preserve">      Mi ——水源利用的经济效益</w:t>
      </w:r>
    </w:p>
    <w:p>
      <w:pPr>
        <w:spacing w:line="440" w:lineRule="exact"/>
        <w:ind w:firstLine="480" w:firstLineChars="200"/>
        <w:rPr>
          <w:sz w:val="24"/>
        </w:rPr>
      </w:pPr>
      <w:r>
        <w:rPr>
          <w:sz w:val="24"/>
        </w:rPr>
        <w:t xml:space="preserve">      Qi ——废气利用的经济效益</w:t>
      </w:r>
    </w:p>
    <w:p>
      <w:pPr>
        <w:spacing w:line="440" w:lineRule="exact"/>
        <w:ind w:firstLine="480" w:firstLineChars="200"/>
        <w:rPr>
          <w:sz w:val="24"/>
        </w:rPr>
      </w:pPr>
      <w:r>
        <w:rPr>
          <w:sz w:val="24"/>
        </w:rPr>
        <w:t xml:space="preserve">      Si ——固体废物利用的经济效益</w:t>
      </w:r>
    </w:p>
    <w:p>
      <w:pPr>
        <w:spacing w:line="440" w:lineRule="exact"/>
        <w:ind w:firstLine="480" w:firstLineChars="200"/>
        <w:rPr>
          <w:sz w:val="24"/>
        </w:rPr>
      </w:pPr>
      <w:r>
        <w:rPr>
          <w:sz w:val="24"/>
        </w:rPr>
        <w:t xml:space="preserve">      Ti ——废水利用的经济效益</w:t>
      </w:r>
    </w:p>
    <w:p>
      <w:pPr>
        <w:spacing w:line="440" w:lineRule="exact"/>
        <w:ind w:firstLine="480" w:firstLineChars="200"/>
        <w:rPr>
          <w:sz w:val="24"/>
        </w:rPr>
      </w:pPr>
      <w:r>
        <w:rPr>
          <w:sz w:val="24"/>
        </w:rPr>
        <w:t xml:space="preserve">      i ——利用项目个数 </w:t>
      </w:r>
    </w:p>
    <w:p>
      <w:pPr>
        <w:spacing w:line="480" w:lineRule="exact"/>
        <w:ind w:firstLine="480" w:firstLineChars="200"/>
        <w:rPr>
          <w:bCs/>
          <w:sz w:val="24"/>
        </w:rPr>
      </w:pPr>
      <w:r>
        <w:rPr>
          <w:sz w:val="24"/>
        </w:rPr>
        <w:t>本工程环保投资所创造的直接经济效益</w:t>
      </w:r>
      <w:r>
        <w:rPr>
          <w:rFonts w:hint="eastAsia"/>
          <w:sz w:val="24"/>
        </w:rPr>
        <w:t>约</w:t>
      </w:r>
      <w:r>
        <w:rPr>
          <w:sz w:val="24"/>
        </w:rPr>
        <w:t>为105万元/年。</w:t>
      </w:r>
    </w:p>
    <w:p>
      <w:pPr>
        <w:spacing w:line="480" w:lineRule="exact"/>
        <w:rPr>
          <w:b/>
          <w:bCs/>
          <w:sz w:val="24"/>
        </w:rPr>
      </w:pPr>
      <w:r>
        <w:rPr>
          <w:b/>
          <w:bCs/>
          <w:sz w:val="24"/>
        </w:rPr>
        <w:t>2</w:t>
      </w:r>
      <w:r>
        <w:rPr>
          <w:rFonts w:hint="eastAsia"/>
          <w:b/>
          <w:bCs/>
          <w:sz w:val="24"/>
        </w:rPr>
        <w:t>、</w:t>
      </w:r>
      <w:r>
        <w:rPr>
          <w:b/>
          <w:bCs/>
          <w:sz w:val="24"/>
        </w:rPr>
        <w:t>直接经济效益（R</w:t>
      </w:r>
      <w:r>
        <w:rPr>
          <w:b/>
          <w:bCs/>
          <w:sz w:val="24"/>
          <w:vertAlign w:val="subscript"/>
        </w:rPr>
        <w:t>2</w:t>
      </w:r>
      <w:r>
        <w:rPr>
          <w:b/>
          <w:bCs/>
          <w:sz w:val="24"/>
        </w:rPr>
        <w:t>）</w:t>
      </w:r>
    </w:p>
    <w:p>
      <w:pPr>
        <w:spacing w:line="440" w:lineRule="exact"/>
        <w:ind w:firstLine="480" w:firstLineChars="200"/>
        <w:rPr>
          <w:sz w:val="24"/>
        </w:rPr>
      </w:pPr>
      <w:r>
        <w:rPr>
          <w:sz w:val="24"/>
        </w:rPr>
        <w:t>R</w:t>
      </w:r>
      <w:r>
        <w:rPr>
          <w:sz w:val="24"/>
          <w:vertAlign w:val="subscript"/>
        </w:rPr>
        <w:t>2</w:t>
      </w:r>
      <w:r>
        <w:rPr>
          <w:sz w:val="24"/>
        </w:rPr>
        <w:t xml:space="preserve"> = Ji + Ki + Fi </w:t>
      </w:r>
    </w:p>
    <w:p>
      <w:pPr>
        <w:spacing w:line="480" w:lineRule="exact"/>
        <w:ind w:firstLine="480" w:firstLineChars="200"/>
        <w:rPr>
          <w:sz w:val="24"/>
        </w:rPr>
      </w:pPr>
      <w:r>
        <w:rPr>
          <w:sz w:val="24"/>
        </w:rPr>
        <w:t>式中：Ji ——控制污染后环境减少的损失</w:t>
      </w:r>
    </w:p>
    <w:p>
      <w:pPr>
        <w:spacing w:line="480" w:lineRule="exact"/>
        <w:ind w:firstLine="480" w:firstLineChars="200"/>
        <w:rPr>
          <w:sz w:val="24"/>
        </w:rPr>
      </w:pPr>
      <w:r>
        <w:rPr>
          <w:sz w:val="24"/>
        </w:rPr>
        <w:t xml:space="preserve">      Ki ——控制污染后对人体减少的损失</w:t>
      </w:r>
    </w:p>
    <w:p>
      <w:pPr>
        <w:spacing w:line="480" w:lineRule="exact"/>
        <w:ind w:firstLine="480" w:firstLineChars="200"/>
        <w:rPr>
          <w:sz w:val="24"/>
        </w:rPr>
      </w:pPr>
      <w:r>
        <w:rPr>
          <w:sz w:val="24"/>
        </w:rPr>
        <w:t xml:space="preserve">      Fi ——控制污染减少的排污费</w:t>
      </w:r>
    </w:p>
    <w:p>
      <w:pPr>
        <w:spacing w:line="480" w:lineRule="exact"/>
        <w:ind w:firstLine="480" w:firstLineChars="200"/>
        <w:rPr>
          <w:sz w:val="24"/>
        </w:rPr>
      </w:pPr>
      <w:r>
        <w:rPr>
          <w:sz w:val="24"/>
        </w:rPr>
        <w:t>间接经济效益是由环保设施投入运行期间，所能减少的损失和补偿性费用构成的，因无实际数据，取直接经济效益的5%。则R</w:t>
      </w:r>
      <w:r>
        <w:rPr>
          <w:sz w:val="24"/>
          <w:vertAlign w:val="subscript"/>
        </w:rPr>
        <w:t>2</w:t>
      </w:r>
      <w:r>
        <w:rPr>
          <w:sz w:val="24"/>
        </w:rPr>
        <w:t xml:space="preserve"> =</w:t>
      </w:r>
      <w:r>
        <w:rPr>
          <w:kern w:val="0"/>
          <w:sz w:val="24"/>
        </w:rPr>
        <w:t>24.4</w:t>
      </w:r>
      <w:r>
        <w:rPr>
          <w:sz w:val="24"/>
        </w:rPr>
        <w:t>万元</w:t>
      </w:r>
    </w:p>
    <w:p>
      <w:pPr>
        <w:spacing w:line="480" w:lineRule="exact"/>
        <w:ind w:firstLine="480" w:firstLineChars="200"/>
        <w:rPr>
          <w:bCs/>
          <w:sz w:val="24"/>
        </w:rPr>
      </w:pPr>
      <w:r>
        <w:rPr>
          <w:sz w:val="24"/>
        </w:rPr>
        <w:t>以上经济效益总指标R= R</w:t>
      </w:r>
      <w:r>
        <w:rPr>
          <w:sz w:val="24"/>
          <w:vertAlign w:val="subscript"/>
        </w:rPr>
        <w:t>1</w:t>
      </w:r>
      <w:r>
        <w:rPr>
          <w:sz w:val="24"/>
        </w:rPr>
        <w:t xml:space="preserve"> + R</w:t>
      </w:r>
      <w:r>
        <w:rPr>
          <w:sz w:val="24"/>
          <w:vertAlign w:val="subscript"/>
        </w:rPr>
        <w:t>2</w:t>
      </w:r>
      <w:r>
        <w:rPr>
          <w:sz w:val="24"/>
        </w:rPr>
        <w:t xml:space="preserve"> =</w:t>
      </w:r>
      <w:r>
        <w:rPr>
          <w:kern w:val="0"/>
          <w:sz w:val="24"/>
        </w:rPr>
        <w:t>129.4</w:t>
      </w:r>
      <w:r>
        <w:rPr>
          <w:sz w:val="24"/>
        </w:rPr>
        <w:t>万元</w:t>
      </w:r>
      <w:r>
        <w:rPr>
          <w:rFonts w:hint="eastAsia"/>
          <w:sz w:val="24"/>
        </w:rPr>
        <w:t>。</w:t>
      </w:r>
    </w:p>
    <w:p>
      <w:pPr>
        <w:pStyle w:val="2"/>
        <w:spacing w:before="156" w:beforeLines="50" w:after="0" w:line="480" w:lineRule="exact"/>
        <w:rPr>
          <w:rFonts w:ascii="Times New Roman" w:hAnsi="Times New Roman"/>
          <w:bCs w:val="0"/>
          <w:spacing w:val="4"/>
          <w:sz w:val="28"/>
          <w:szCs w:val="28"/>
        </w:rPr>
      </w:pPr>
      <w:bookmarkStart w:id="140" w:name="_Toc527569085"/>
      <w:bookmarkStart w:id="141" w:name="_Toc19105482"/>
      <w:r>
        <w:rPr>
          <w:rFonts w:hint="eastAsia" w:ascii="Times New Roman" w:hAnsi="Times New Roman"/>
          <w:bCs w:val="0"/>
          <w:spacing w:val="4"/>
          <w:sz w:val="28"/>
          <w:szCs w:val="28"/>
        </w:rPr>
        <w:t>8.</w:t>
      </w:r>
      <w:r>
        <w:rPr>
          <w:rFonts w:ascii="Times New Roman" w:hAnsi="Times New Roman"/>
          <w:bCs w:val="0"/>
          <w:spacing w:val="4"/>
          <w:sz w:val="28"/>
          <w:szCs w:val="28"/>
        </w:rPr>
        <w:t>2</w:t>
      </w:r>
      <w:r>
        <w:rPr>
          <w:rFonts w:hint="eastAsia" w:ascii="Times New Roman" w:hAnsi="Times New Roman"/>
          <w:bCs w:val="0"/>
          <w:spacing w:val="4"/>
          <w:sz w:val="28"/>
          <w:szCs w:val="28"/>
        </w:rPr>
        <w:t>社会</w:t>
      </w:r>
      <w:r>
        <w:rPr>
          <w:sz w:val="28"/>
          <w:szCs w:val="28"/>
        </w:rPr>
        <w:t>效益分析</w:t>
      </w:r>
      <w:bookmarkEnd w:id="140"/>
      <w:bookmarkEnd w:id="141"/>
    </w:p>
    <w:p>
      <w:pPr>
        <w:spacing w:line="480" w:lineRule="exact"/>
        <w:ind w:firstLine="480" w:firstLineChars="200"/>
        <w:rPr>
          <w:sz w:val="24"/>
        </w:rPr>
      </w:pPr>
      <w:r>
        <w:rPr>
          <w:sz w:val="24"/>
        </w:rPr>
        <w:t>本项目的建设不仅具有环境效益和经济效益，而且具有一定的社会效益。</w:t>
      </w:r>
    </w:p>
    <w:p>
      <w:pPr>
        <w:spacing w:line="480" w:lineRule="exact"/>
        <w:ind w:firstLine="480" w:firstLineChars="200"/>
        <w:rPr>
          <w:sz w:val="24"/>
        </w:rPr>
      </w:pPr>
      <w:r>
        <w:rPr>
          <w:sz w:val="24"/>
        </w:rPr>
        <w:t>（1）项目建成后，既能给企业发展创造良好开端，也会给</w:t>
      </w:r>
      <w:r>
        <w:rPr>
          <w:rFonts w:hint="eastAsia"/>
          <w:sz w:val="24"/>
        </w:rPr>
        <w:t>汾阳市</w:t>
      </w:r>
      <w:r>
        <w:rPr>
          <w:sz w:val="24"/>
        </w:rPr>
        <w:t>带来的新的经济增长点。</w:t>
      </w:r>
    </w:p>
    <w:p>
      <w:pPr>
        <w:spacing w:line="480" w:lineRule="exact"/>
        <w:ind w:firstLine="480" w:firstLineChars="200"/>
        <w:rPr>
          <w:sz w:val="24"/>
        </w:rPr>
      </w:pPr>
      <w:r>
        <w:rPr>
          <w:sz w:val="24"/>
        </w:rPr>
        <w:t>（2）拟建项目生产的产品具有广阔的市场空间，可满足国内外市场需求，提高国内企业在世界市场的竞争力。</w:t>
      </w:r>
    </w:p>
    <w:p>
      <w:pPr>
        <w:spacing w:line="480" w:lineRule="exact"/>
        <w:ind w:firstLine="480" w:firstLineChars="200"/>
        <w:rPr>
          <w:sz w:val="24"/>
        </w:rPr>
      </w:pPr>
      <w:r>
        <w:rPr>
          <w:sz w:val="24"/>
        </w:rPr>
        <w:t>（3）项目投产后，每年上缴一定的利税，增加地方的财政收入，促进当地经济的发展，有利于维护社会治安的稳定和发展。</w:t>
      </w:r>
    </w:p>
    <w:p>
      <w:pPr>
        <w:spacing w:line="480" w:lineRule="exact"/>
        <w:ind w:firstLine="480" w:firstLineChars="200"/>
        <w:rPr>
          <w:bCs/>
          <w:sz w:val="24"/>
        </w:rPr>
      </w:pPr>
      <w:r>
        <w:rPr>
          <w:sz w:val="24"/>
        </w:rPr>
        <w:t>（4）本项目的实施，可带动物流运输业、基础服务业等其它辅助行业的发展，创造就业岗位，解决当地剩余劳动力就业问题，减轻地方政府就业压力，有利于社会安定和经济繁荣</w:t>
      </w:r>
      <w:r>
        <w:rPr>
          <w:rFonts w:hint="eastAsia"/>
          <w:sz w:val="24"/>
        </w:rPr>
        <w:t>。</w:t>
      </w:r>
    </w:p>
    <w:p>
      <w:pPr>
        <w:pStyle w:val="2"/>
        <w:spacing w:before="156" w:beforeLines="50" w:after="0" w:line="480" w:lineRule="exact"/>
        <w:rPr>
          <w:rFonts w:ascii="Times New Roman" w:hAnsi="Times New Roman"/>
          <w:bCs w:val="0"/>
          <w:spacing w:val="4"/>
          <w:sz w:val="28"/>
          <w:szCs w:val="28"/>
        </w:rPr>
      </w:pPr>
      <w:bookmarkStart w:id="142" w:name="_Toc527569086"/>
      <w:bookmarkStart w:id="143" w:name="_Toc19105483"/>
      <w:r>
        <w:rPr>
          <w:rFonts w:hint="eastAsia" w:ascii="Times New Roman" w:hAnsi="Times New Roman"/>
          <w:bCs w:val="0"/>
          <w:spacing w:val="4"/>
          <w:sz w:val="28"/>
          <w:szCs w:val="28"/>
        </w:rPr>
        <w:t>8.</w:t>
      </w:r>
      <w:r>
        <w:rPr>
          <w:rFonts w:ascii="Times New Roman" w:hAnsi="Times New Roman"/>
          <w:bCs w:val="0"/>
          <w:spacing w:val="4"/>
          <w:sz w:val="28"/>
          <w:szCs w:val="28"/>
        </w:rPr>
        <w:t>3小结</w:t>
      </w:r>
      <w:bookmarkEnd w:id="142"/>
      <w:bookmarkEnd w:id="143"/>
    </w:p>
    <w:p>
      <w:pPr>
        <w:spacing w:line="480" w:lineRule="exact"/>
        <w:ind w:firstLine="480" w:firstLineChars="200"/>
        <w:rPr>
          <w:bCs/>
          <w:sz w:val="24"/>
        </w:rPr>
      </w:pPr>
      <w:r>
        <w:rPr>
          <w:bCs/>
          <w:sz w:val="24"/>
        </w:rPr>
        <w:t>本项目实施过程中加强了对环保工程设施的投资力度，但是在建设和运行中仍不可避免会对周围群众的生产生活带来一定的影响。因此，企业在施工和运行阶段必须严格落实环评提出的各项环保措施，企业投入足够的环保资金保护环境是本工程建设的前提条件之一。</w:t>
      </w:r>
    </w:p>
    <w:p>
      <w:pPr>
        <w:spacing w:line="480" w:lineRule="exact"/>
        <w:ind w:firstLine="480" w:firstLineChars="200"/>
        <w:rPr>
          <w:bCs/>
          <w:sz w:val="24"/>
        </w:rPr>
      </w:pPr>
      <w:r>
        <w:rPr>
          <w:bCs/>
          <w:sz w:val="24"/>
        </w:rPr>
        <w:t>项目在采取了相应的环保治理措施后，资源、能源可得到了充分的利用，环境资源损失相应减少，污染物排放量大大减少。项目建成后，污染治理设施的运行费用可与取得的环境经济效益基本持平，环保投资可取得预期的效益。环保投资在工程运行成本中所占比例较小，与建设规模和生产成本相比在减轻环境污染的同时还可取得很好的经济效益。实现社会、经济和环境效益的和谐统一，同时也符合经济与环境协调持续发展的原则。</w:t>
      </w: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hint="eastAsia"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pPr>
    </w:p>
    <w:p>
      <w:pPr>
        <w:spacing w:line="480" w:lineRule="exact"/>
        <w:ind w:firstLine="482"/>
        <w:rPr>
          <w:rFonts w:ascii="宋体" w:hAnsi="宋体"/>
          <w:bCs/>
          <w:sz w:val="24"/>
          <w:szCs w:val="24"/>
        </w:rPr>
        <w:sectPr>
          <w:headerReference r:id="rId13" w:type="default"/>
          <w:pgSz w:w="11906" w:h="16838"/>
          <w:pgMar w:top="1418" w:right="1531" w:bottom="1418" w:left="1531" w:header="851" w:footer="992" w:gutter="0"/>
          <w:cols w:space="425" w:num="1"/>
          <w:docGrid w:type="linesAndChars" w:linePitch="312" w:charSpace="0"/>
        </w:sectPr>
      </w:pPr>
    </w:p>
    <w:p>
      <w:pPr>
        <w:spacing w:line="720" w:lineRule="auto"/>
        <w:jc w:val="center"/>
        <w:outlineLvl w:val="0"/>
        <w:rPr>
          <w:rFonts w:hAnsi="黑体" w:eastAsia="黑体"/>
          <w:b/>
          <w:bCs/>
          <w:sz w:val="44"/>
          <w:szCs w:val="44"/>
        </w:rPr>
      </w:pPr>
      <w:bookmarkStart w:id="144" w:name="_Toc19105484"/>
      <w:r>
        <w:rPr>
          <w:rFonts w:hint="eastAsia" w:hAnsi="黑体" w:eastAsia="黑体"/>
          <w:b/>
          <w:bCs/>
          <w:sz w:val="44"/>
          <w:szCs w:val="44"/>
        </w:rPr>
        <w:t>9 环境管理和监测计划</w:t>
      </w:r>
      <w:bookmarkEnd w:id="144"/>
    </w:p>
    <w:p>
      <w:pPr>
        <w:pStyle w:val="85"/>
        <w:spacing w:line="480" w:lineRule="exact"/>
        <w:ind w:firstLine="480"/>
        <w:rPr>
          <w:sz w:val="24"/>
          <w:szCs w:val="24"/>
        </w:rPr>
      </w:pPr>
      <w:r>
        <w:rPr>
          <w:sz w:val="24"/>
          <w:szCs w:val="24"/>
        </w:rPr>
        <w:t>环境管理是以环境科学为基础，运用经济、法律、技术、行政、教育等手段对经济、社会发展过程中施加给环境的破坏和污染进行控制，实现经济、社会和环境效益的和谐统一。随着我国环保法规地完善及严格执法，环境污染问题将极大地影响企业的生存与发展，因此，环境管理应作为企业管理工作中的重要组成部分，企业应积极并主动的预防和治理污染，提高全体员工的环境意识，避免因管理不善而产生的环境风险，为企业实现可持续发展打下坚实的基础。</w:t>
      </w:r>
    </w:p>
    <w:p>
      <w:pPr>
        <w:pStyle w:val="70"/>
        <w:spacing w:line="480" w:lineRule="exact"/>
        <w:jc w:val="both"/>
      </w:pPr>
      <w:r>
        <w:rPr>
          <w:rFonts w:hint="eastAsia"/>
          <w:szCs w:val="24"/>
        </w:rPr>
        <w:t>汾阳市褚凤养殖场</w:t>
      </w:r>
      <w:r>
        <w:rPr>
          <w:szCs w:val="24"/>
        </w:rPr>
        <w:t>目前尚未成立环保管理机构、监测机构。为保证本次工程的建设能够从较高的层次上达到环境保护的要求，评价将对企业提出环境管理机构、环境管理制度、环境管理计划等要求，加强企业的环境管理。</w:t>
      </w:r>
    </w:p>
    <w:p>
      <w:pPr>
        <w:pStyle w:val="2"/>
        <w:spacing w:before="156" w:beforeLines="50" w:after="0" w:line="480" w:lineRule="exact"/>
        <w:rPr>
          <w:rFonts w:ascii="Times New Roman" w:hAnsi="Times New Roman"/>
          <w:bCs w:val="0"/>
          <w:spacing w:val="4"/>
          <w:sz w:val="28"/>
          <w:szCs w:val="28"/>
        </w:rPr>
      </w:pPr>
      <w:bookmarkStart w:id="145" w:name="_Toc19105485"/>
      <w:r>
        <w:rPr>
          <w:rFonts w:hint="eastAsia" w:ascii="Times New Roman" w:hAnsi="Times New Roman"/>
          <w:bCs w:val="0"/>
          <w:spacing w:val="4"/>
          <w:sz w:val="28"/>
          <w:szCs w:val="28"/>
        </w:rPr>
        <w:t>9.1</w:t>
      </w:r>
      <w:r>
        <w:rPr>
          <w:rFonts w:hint="eastAsia"/>
          <w:sz w:val="28"/>
          <w:szCs w:val="28"/>
        </w:rPr>
        <w:t>环境管理</w:t>
      </w:r>
      <w:bookmarkEnd w:id="145"/>
    </w:p>
    <w:p>
      <w:pPr>
        <w:pStyle w:val="3"/>
        <w:spacing w:before="0" w:after="0" w:line="480" w:lineRule="exact"/>
        <w:rPr>
          <w:sz w:val="24"/>
          <w:szCs w:val="24"/>
        </w:rPr>
      </w:pPr>
      <w:r>
        <w:rPr>
          <w:rFonts w:hint="eastAsia"/>
          <w:sz w:val="24"/>
          <w:szCs w:val="24"/>
        </w:rPr>
        <w:t>9.1.1总章</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1</w:t>
      </w:r>
      <w:r>
        <w:rPr>
          <w:rFonts w:ascii="Times New Roman" w:cs="Times New Roman"/>
          <w:sz w:val="24"/>
          <w:szCs w:val="24"/>
        </w:rPr>
        <w:t>）为有效地防止环境污染，促进高标准现代化企业建设，特制订《环境保护规章制度》。</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2</w:t>
      </w:r>
      <w:r>
        <w:rPr>
          <w:rFonts w:ascii="Times New Roman" w:cs="Times New Roman"/>
          <w:sz w:val="24"/>
          <w:szCs w:val="24"/>
        </w:rPr>
        <w:t>）公司环境保护的主要任务是：适应生产建设的发展，控制污染源的产生，防止环境污染，为职工创造清洁适宜的生活和生产环境，促进企业现代化建设。</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3</w:t>
      </w:r>
      <w:r>
        <w:rPr>
          <w:rFonts w:ascii="Times New Roman" w:cs="Times New Roman"/>
          <w:sz w:val="24"/>
          <w:szCs w:val="24"/>
        </w:rPr>
        <w:t>）必须实行综合利用的方针，对工业废渣要进一步做好综合利用，防止破坏生态环境。</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4</w:t>
      </w:r>
      <w:r>
        <w:rPr>
          <w:rFonts w:ascii="Times New Roman" w:cs="Times New Roman"/>
          <w:sz w:val="24"/>
          <w:szCs w:val="24"/>
        </w:rPr>
        <w:t>）保护环境人人有责，各级领导群众必须遵守国家制定的各项政策、法令，有权控告一切违法破坏环境的部门和个人。</w:t>
      </w:r>
    </w:p>
    <w:p>
      <w:pPr>
        <w:spacing w:line="480" w:lineRule="exact"/>
        <w:ind w:firstLine="480" w:firstLineChars="200"/>
        <w:rPr>
          <w:bCs/>
          <w:sz w:val="24"/>
          <w:szCs w:val="24"/>
        </w:rPr>
      </w:pPr>
      <w:r>
        <w:rPr>
          <w:sz w:val="24"/>
          <w:szCs w:val="24"/>
        </w:rPr>
        <w:t>（5）厂内各部门要认真贯彻执行本制度，切实重视抓好环境保护工作，环保科要负责协调和监督工作。</w:t>
      </w:r>
    </w:p>
    <w:p>
      <w:pPr>
        <w:pStyle w:val="3"/>
        <w:spacing w:before="0" w:after="0" w:line="480" w:lineRule="exact"/>
        <w:rPr>
          <w:sz w:val="24"/>
          <w:szCs w:val="24"/>
        </w:rPr>
      </w:pPr>
      <w:r>
        <w:rPr>
          <w:rFonts w:hint="eastAsia"/>
          <w:sz w:val="24"/>
          <w:szCs w:val="24"/>
        </w:rPr>
        <w:t>9.1.2环境管理体系与职责</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1</w:t>
      </w:r>
      <w:r>
        <w:rPr>
          <w:rFonts w:ascii="Times New Roman" w:cs="Times New Roman"/>
          <w:sz w:val="24"/>
          <w:szCs w:val="24"/>
        </w:rPr>
        <w:t>）企业内部的环境管理体系</w:t>
      </w:r>
    </w:p>
    <w:p>
      <w:pPr>
        <w:spacing w:line="480" w:lineRule="exact"/>
        <w:ind w:firstLine="480" w:firstLineChars="200"/>
        <w:rPr>
          <w:bCs/>
          <w:sz w:val="24"/>
          <w:szCs w:val="24"/>
        </w:rPr>
      </w:pPr>
      <w:r>
        <w:rPr>
          <w:sz w:val="24"/>
          <w:szCs w:val="24"/>
        </w:rPr>
        <w:t>本厂设环境保护委员会，由总经理任主任，副总经理、总工程师任副主任。下设环保科，负责日常工作，并配备1名专职环保人员。</w:t>
      </w:r>
    </w:p>
    <w:p>
      <w:pPr>
        <w:pStyle w:val="85"/>
        <w:spacing w:line="480" w:lineRule="exact"/>
        <w:ind w:firstLine="480"/>
        <w:rPr>
          <w:rFonts w:ascii="Times New Roman" w:cs="Times New Roman"/>
          <w:sz w:val="24"/>
          <w:szCs w:val="24"/>
        </w:rPr>
      </w:pPr>
    </w:p>
    <w:p>
      <w:pPr>
        <w:pStyle w:val="85"/>
        <w:spacing w:line="480" w:lineRule="exact"/>
        <w:ind w:firstLine="480"/>
        <w:rPr>
          <w:rFonts w:ascii="Times New Roman" w:cs="Times New Roman"/>
          <w:sz w:val="24"/>
          <w:szCs w:val="24"/>
        </w:rPr>
      </w:pPr>
    </w:p>
    <w:p>
      <w:pPr>
        <w:pStyle w:val="85"/>
        <w:spacing w:line="480" w:lineRule="exact"/>
        <w:ind w:firstLine="480"/>
        <w:rPr>
          <w:rFonts w:ascii="Times New Roman" w:cs="Times New Roman"/>
          <w:sz w:val="24"/>
          <w:szCs w:val="24"/>
        </w:rPr>
      </w:pPr>
    </w:p>
    <w:p>
      <w:pPr>
        <w:pStyle w:val="85"/>
        <w:spacing w:line="480" w:lineRule="exact"/>
        <w:ind w:firstLine="480"/>
        <w:rPr>
          <w:rFonts w:ascii="Times New Roman" w:cs="Times New Roman"/>
          <w:sz w:val="24"/>
          <w:szCs w:val="24"/>
        </w:rPr>
      </w:pPr>
    </w:p>
    <w:p>
      <w:pPr>
        <w:pStyle w:val="85"/>
        <w:spacing w:line="480" w:lineRule="exact"/>
        <w:ind w:firstLine="480"/>
        <w:rPr>
          <w:rFonts w:ascii="Times New Roman" w:cs="Times New Roman"/>
          <w:sz w:val="24"/>
          <w:szCs w:val="24"/>
        </w:rPr>
      </w:pPr>
    </w:p>
    <w:p>
      <w:pPr>
        <w:pStyle w:val="85"/>
        <w:spacing w:line="480" w:lineRule="exact"/>
        <w:ind w:firstLine="480"/>
        <w:rPr>
          <w:rFonts w:ascii="Times New Roman" w:cs="Times New Roman"/>
          <w:sz w:val="24"/>
          <w:szCs w:val="24"/>
        </w:rPr>
      </w:pPr>
    </w:p>
    <w:p>
      <w:pPr>
        <w:pStyle w:val="85"/>
        <w:spacing w:line="480" w:lineRule="exact"/>
        <w:ind w:firstLine="480"/>
        <w:rPr>
          <w:rFonts w:ascii="Times New Roman" w:cs="Times New Roman"/>
          <w:sz w:val="24"/>
          <w:szCs w:val="24"/>
        </w:rPr>
      </w:pPr>
    </w:p>
    <w:p>
      <w:pPr>
        <w:pStyle w:val="85"/>
        <w:spacing w:line="480" w:lineRule="exact"/>
        <w:ind w:firstLine="480"/>
        <w:rPr>
          <w:rFonts w:ascii="Times New Roman" w:cs="Times New Roman"/>
          <w:sz w:val="24"/>
          <w:szCs w:val="24"/>
        </w:rPr>
      </w:pPr>
      <w:r>
        <w:rPr>
          <w:rFonts w:ascii="Times New Roman" w:cs="Times New Roman"/>
          <w:sz w:val="24"/>
          <w:szCs w:val="24"/>
        </w:rPr>
        <w:pict>
          <v:group id="组合 20042" o:spid="_x0000_s1036" o:spt="203" style="position:absolute;left:0pt;margin-left:49.35pt;margin-top:-137pt;height:193.2pt;width:337.5pt;z-index:251660288;mso-width-relative:page;mso-height-relative:page;" coordorigin="2438,1590" coordsize="6750,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">
            <o:lock v:ext="edit"/>
            <v:line id="直线 20043" o:spid="_x0000_s1037" o:spt="20" style="position:absolute;left:3413;top:4534;height:452;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">
              <v:path arrowok="t"/>
              <v:fill focussize="0,0"/>
              <v:stroke weight="1.5pt" endarrow="block"/>
              <v:imagedata o:title=""/>
              <o:lock v:ext="edit"/>
            </v:line>
            <v:line id="直线 20044" o:spid="_x0000_s1038" o:spt="20" style="position:absolute;left:8138;top:4534;height:452;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">
              <v:path arrowok="t"/>
              <v:fill focussize="0,0"/>
              <v:stroke weight="1.5pt" endarrow="block"/>
              <v:imagedata o:title=""/>
              <o:lock v:ext="edit"/>
            </v:line>
            <v:line id="直线 20045" o:spid="_x0000_s1039" o:spt="20" style="position:absolute;left:3413;top:4518;height:0;width:472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">
              <v:path arrowok="t"/>
              <v:fill focussize="0,0"/>
              <v:stroke weight="1.5pt"/>
              <v:imagedata o:title=""/>
              <o:lock v:ext="edit"/>
            </v:line>
            <v:line id="直线 20046" o:spid="_x0000_s1040" o:spt="20" style="position:absolute;left:5723;top:4050;height:4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">
              <v:path arrowok="t"/>
              <v:fill focussize="0,0"/>
              <v:stroke weight="1.5pt" endarrow="block"/>
              <v:imagedata o:title=""/>
              <o:lock v:ext="edit"/>
            </v:line>
            <v:line id="直线 20047" o:spid="_x0000_s1041" o:spt="20" style="position:absolute;left:5703;top:2077;flip:x;height:525;width:1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">
              <v:path arrowok="t"/>
              <v:fill focussize="0,0"/>
              <v:stroke weight="1.5pt" endarrow="block"/>
              <v:imagedata o:title=""/>
              <o:lock v:ext="edit"/>
            </v:line>
            <v:line id="直线 20048" o:spid="_x0000_s1042" o:spt="20" style="position:absolute;left:5703;top:3030;height:552;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">
              <v:path arrowok="t"/>
              <v:fill focussize="0,0"/>
              <v:stroke weight="1.5pt" endarrow="block"/>
              <v:imagedata o:title=""/>
              <o:lock v:ext="edit"/>
            </v:line>
            <v:shape id="文本框 20049" o:spid="_x0000_s1043" o:spt="202" type="#_x0000_t202" style="position:absolute;left:4778;top:1590;height:468;width:199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">
              <v:path/>
              <v:fill focussize="0,0"/>
              <v:stroke weight="1.5pt" joinstyle="miter"/>
              <v:imagedata o:title=""/>
              <o:lock v:ext="edit"/>
              <v:textbox>
                <w:txbxContent>
                  <w:p>
                    <w:pPr>
                      <w:jc w:val="center"/>
                    </w:pPr>
                    <w:r>
                      <w:rPr>
                        <w:rFonts w:hint="eastAsia"/>
                        <w:sz w:val="24"/>
                      </w:rPr>
                      <w:t>厂</w:t>
                    </w:r>
                    <w:r>
                      <w:rPr>
                        <w:sz w:val="24"/>
                      </w:rPr>
                      <w:t xml:space="preserve"> </w:t>
                    </w:r>
                    <w:r>
                      <w:rPr>
                        <w:rFonts w:hint="eastAsia"/>
                        <w:sz w:val="24"/>
                      </w:rPr>
                      <w:t xml:space="preserve"> </w:t>
                    </w:r>
                    <w:r>
                      <w:rPr>
                        <w:sz w:val="24"/>
                      </w:rPr>
                      <w:t>长</w:t>
                    </w:r>
                  </w:p>
                </w:txbxContent>
              </v:textbox>
            </v:shape>
            <v:shape id="文本框 20050" o:spid="_x0000_s1044" o:spt="202" type="#_x0000_t202" style="position:absolute;left:4028;top:2616;height:468;width:33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">
              <v:path/>
              <v:fill focussize="0,0"/>
              <v:stroke weight="1.5pt" joinstyle="miter"/>
              <v:imagedata o:title=""/>
              <o:lock v:ext="edit"/>
              <v:textbox>
                <w:txbxContent>
                  <w:p>
                    <w:pPr>
                      <w:jc w:val="center"/>
                      <w:rPr>
                        <w:sz w:val="24"/>
                      </w:rPr>
                    </w:pPr>
                    <w:r>
                      <w:rPr>
                        <w:rFonts w:hint="eastAsia"/>
                        <w:sz w:val="24"/>
                      </w:rPr>
                      <w:t>生产</w:t>
                    </w:r>
                    <w:r>
                      <w:rPr>
                        <w:sz w:val="24"/>
                      </w:rPr>
                      <w:t>副</w:t>
                    </w:r>
                    <w:r>
                      <w:rPr>
                        <w:rFonts w:hint="eastAsia"/>
                        <w:sz w:val="24"/>
                      </w:rPr>
                      <w:t>厂</w:t>
                    </w:r>
                    <w:r>
                      <w:rPr>
                        <w:sz w:val="24"/>
                      </w:rPr>
                      <w:t>长</w:t>
                    </w:r>
                    <w:r>
                      <w:rPr>
                        <w:rFonts w:hint="eastAsia"/>
                        <w:sz w:val="24"/>
                      </w:rPr>
                      <w:t>、总工程师</w:t>
                    </w:r>
                  </w:p>
                </w:txbxContent>
              </v:textbox>
            </v:shape>
            <v:shape id="文本框 20051" o:spid="_x0000_s1045" o:spt="202" type="#_x0000_t202" style="position:absolute;left:4673;top:3582;height:468;width:199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">
              <v:path/>
              <v:fill focussize="0,0"/>
              <v:stroke weight="1.5pt" joinstyle="miter"/>
              <v:imagedata o:title=""/>
              <o:lock v:ext="edit"/>
              <v:textbox>
                <w:txbxContent>
                  <w:p>
                    <w:pPr>
                      <w:jc w:val="center"/>
                      <w:rPr>
                        <w:sz w:val="24"/>
                      </w:rPr>
                    </w:pPr>
                    <w:r>
                      <w:rPr>
                        <w:sz w:val="24"/>
                      </w:rPr>
                      <w:t>环保科科长</w:t>
                    </w:r>
                  </w:p>
                  <w:p/>
                </w:txbxContent>
              </v:textbox>
            </v:shape>
            <v:shape id="文本框 20052" o:spid="_x0000_s1046" o:spt="202" type="#_x0000_t202" style="position:absolute;left:2438;top:4986;height:468;width:18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">
              <v:path/>
              <v:fill focussize="0,0"/>
              <v:stroke weight="1.5pt" joinstyle="miter"/>
              <v:imagedata o:title=""/>
              <o:lock v:ext="edit"/>
              <v:textbox>
                <w:txbxContent>
                  <w:p>
                    <w:pPr>
                      <w:jc w:val="center"/>
                      <w:rPr>
                        <w:sz w:val="24"/>
                      </w:rPr>
                    </w:pPr>
                    <w:r>
                      <w:rPr>
                        <w:rFonts w:hint="eastAsia"/>
                        <w:sz w:val="24"/>
                      </w:rPr>
                      <w:t>日常环保工作</w:t>
                    </w:r>
                  </w:p>
                </w:txbxContent>
              </v:textbox>
            </v:shape>
            <v:shape id="文本框 20053" o:spid="_x0000_s1047" o:spt="202" type="#_x0000_t202" style="position:absolute;left:7193;top:4986;height:468;width:199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">
              <v:path/>
              <v:fill focussize="0,0"/>
              <v:stroke weight="1.5pt" joinstyle="miter"/>
              <v:imagedata o:title=""/>
              <o:lock v:ext="edit"/>
              <v:textbox>
                <w:txbxContent>
                  <w:p>
                    <w:pPr>
                      <w:jc w:val="center"/>
                      <w:rPr>
                        <w:sz w:val="24"/>
                      </w:rPr>
                    </w:pPr>
                    <w:r>
                      <w:rPr>
                        <w:rFonts w:hint="eastAsia"/>
                        <w:sz w:val="24"/>
                      </w:rPr>
                      <w:t>日常环境</w:t>
                    </w:r>
                    <w:r>
                      <w:rPr>
                        <w:sz w:val="24"/>
                      </w:rPr>
                      <w:t>监测</w:t>
                    </w:r>
                  </w:p>
                </w:txbxContent>
              </v:textbox>
            </v:shape>
          </v:group>
        </w:pict>
      </w:r>
    </w:p>
    <w:p>
      <w:pPr>
        <w:pStyle w:val="85"/>
        <w:spacing w:line="480" w:lineRule="exact"/>
        <w:ind w:firstLine="480"/>
        <w:rPr>
          <w:rFonts w:ascii="Times New Roman" w:cs="Times New Roman"/>
          <w:sz w:val="24"/>
          <w:szCs w:val="24"/>
        </w:rPr>
      </w:pPr>
    </w:p>
    <w:p>
      <w:pPr>
        <w:pStyle w:val="85"/>
        <w:spacing w:line="480" w:lineRule="exact"/>
        <w:ind w:firstLine="480"/>
        <w:rPr>
          <w:rFonts w:ascii="Times New Roman" w:cs="Times New Roman"/>
          <w:sz w:val="24"/>
          <w:szCs w:val="24"/>
        </w:rPr>
      </w:pPr>
    </w:p>
    <w:p>
      <w:pPr>
        <w:spacing w:line="480" w:lineRule="exact"/>
        <w:jc w:val="center"/>
        <w:rPr>
          <w:rFonts w:ascii="黑体" w:hAnsi="黑体" w:eastAsia="黑体"/>
          <w:color w:val="000000"/>
          <w:sz w:val="24"/>
        </w:rPr>
      </w:pPr>
      <w:r>
        <w:rPr>
          <w:rFonts w:ascii="黑体" w:hAnsi="黑体" w:eastAsia="黑体"/>
          <w:color w:val="000000"/>
          <w:sz w:val="24"/>
        </w:rPr>
        <w:t>图</w:t>
      </w:r>
      <w:r>
        <w:rPr>
          <w:rFonts w:hint="eastAsia" w:ascii="黑体" w:hAnsi="黑体" w:eastAsia="黑体"/>
          <w:color w:val="000000"/>
          <w:sz w:val="24"/>
        </w:rPr>
        <w:t>9.1</w:t>
      </w:r>
      <w:r>
        <w:rPr>
          <w:rFonts w:ascii="黑体" w:hAnsi="黑体" w:eastAsia="黑体"/>
          <w:color w:val="000000"/>
          <w:sz w:val="24"/>
        </w:rPr>
        <w:t>-1</w:t>
      </w:r>
      <w:r>
        <w:rPr>
          <w:rFonts w:hint="eastAsia" w:ascii="黑体" w:hAnsi="黑体" w:eastAsia="黑体"/>
          <w:color w:val="000000"/>
          <w:sz w:val="24"/>
        </w:rPr>
        <w:t xml:space="preserve">  </w:t>
      </w:r>
      <w:r>
        <w:rPr>
          <w:rFonts w:ascii="黑体" w:hAnsi="黑体" w:eastAsia="黑体"/>
          <w:color w:val="000000"/>
          <w:sz w:val="24"/>
        </w:rPr>
        <w:t>企业环境管理组织网络图</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2</w:t>
      </w:r>
      <w:r>
        <w:rPr>
          <w:rFonts w:ascii="Times New Roman" w:cs="Times New Roman"/>
          <w:sz w:val="24"/>
          <w:szCs w:val="24"/>
        </w:rPr>
        <w:t>）环保科职责和任务</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环保科是厂内行政职能科室，是厂区环保工作的办事机构，负责全厂的环境管理和监测工作。</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cs="Times New Roman"/>
          <w:sz w:val="24"/>
          <w:szCs w:val="24"/>
        </w:rPr>
        <w:t>）负责贯彻、执行国家的环保方针、政策，组织制定本单位的各项环保制度，并督促执行。</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cs="Times New Roman"/>
          <w:sz w:val="24"/>
          <w:szCs w:val="24"/>
        </w:rPr>
        <w:t>）开展内容丰富的宣传、教育工作，普及环保知识，提高人民的环保意识。</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cs="Times New Roman"/>
          <w:sz w:val="24"/>
          <w:szCs w:val="24"/>
        </w:rPr>
        <w:t>）编制本单位环境保护长远规划和年度计划。提高审查环境项目所需资金、设备、材料，并负责检查环保计划的实施。</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4</w:t>
      </w:r>
      <w:r>
        <w:rPr>
          <w:rFonts w:ascii="Times New Roman" w:cs="Times New Roman"/>
          <w:sz w:val="24"/>
          <w:szCs w:val="24"/>
        </w:rPr>
        <w:t>）负责本厂的环境监测管理工作。认真执行环境评价和</w:t>
      </w:r>
      <w:r>
        <w:rPr>
          <w:rFonts w:ascii="Times New Roman" w:hAnsi="Times New Roman" w:cs="Times New Roman"/>
          <w:sz w:val="24"/>
          <w:szCs w:val="24"/>
        </w:rPr>
        <w:t>“</w:t>
      </w:r>
      <w:r>
        <w:rPr>
          <w:rFonts w:ascii="Times New Roman" w:cs="Times New Roman"/>
          <w:sz w:val="24"/>
          <w:szCs w:val="24"/>
        </w:rPr>
        <w:t>三同时</w:t>
      </w:r>
      <w:r>
        <w:rPr>
          <w:rFonts w:ascii="Times New Roman" w:hAnsi="Times New Roman" w:cs="Times New Roman"/>
          <w:sz w:val="24"/>
          <w:szCs w:val="24"/>
        </w:rPr>
        <w:t>”</w:t>
      </w:r>
      <w:r>
        <w:rPr>
          <w:rFonts w:ascii="Times New Roman" w:cs="Times New Roman"/>
          <w:sz w:val="24"/>
          <w:szCs w:val="24"/>
        </w:rPr>
        <w:t>制度。协助全厂搞好投产前的环保工程验收工作。</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5</w:t>
      </w:r>
      <w:r>
        <w:rPr>
          <w:rFonts w:ascii="Times New Roman" w:cs="Times New Roman"/>
          <w:sz w:val="24"/>
          <w:szCs w:val="24"/>
        </w:rPr>
        <w:t>）开展污染源调查工作，掌握本单位污染状况，制定本单位治理放案。</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6</w:t>
      </w:r>
      <w:r>
        <w:rPr>
          <w:rFonts w:ascii="Times New Roman" w:cs="Times New Roman"/>
          <w:sz w:val="24"/>
          <w:szCs w:val="24"/>
        </w:rPr>
        <w:t>）积极治理环境污染，管好用好环保资金。</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7</w:t>
      </w:r>
      <w:r>
        <w:rPr>
          <w:rFonts w:ascii="Times New Roman" w:cs="Times New Roman"/>
          <w:sz w:val="24"/>
          <w:szCs w:val="24"/>
        </w:rPr>
        <w:t>）负责搞好环保统计工作，及时、准确的上报各种环保统计报表。</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8</w:t>
      </w:r>
      <w:r>
        <w:rPr>
          <w:rFonts w:ascii="Times New Roman" w:cs="Times New Roman"/>
          <w:sz w:val="24"/>
          <w:szCs w:val="24"/>
        </w:rPr>
        <w:t>）负责本单位环保专业人员的业务、技术培训，提高他们的业务水平和技术素质。</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9</w:t>
      </w:r>
      <w:r>
        <w:rPr>
          <w:rFonts w:ascii="Times New Roman" w:cs="Times New Roman"/>
          <w:sz w:val="24"/>
          <w:szCs w:val="24"/>
        </w:rPr>
        <w:t>）加强新技术、新工艺的研究，促进</w:t>
      </w:r>
      <w:r>
        <w:rPr>
          <w:rFonts w:ascii="Times New Roman" w:hAnsi="Times New Roman" w:cs="Times New Roman"/>
          <w:sz w:val="24"/>
          <w:szCs w:val="24"/>
        </w:rPr>
        <w:t>“</w:t>
      </w:r>
      <w:r>
        <w:rPr>
          <w:rFonts w:ascii="Times New Roman" w:cs="Times New Roman"/>
          <w:sz w:val="24"/>
          <w:szCs w:val="24"/>
        </w:rPr>
        <w:t>三废</w:t>
      </w:r>
      <w:r>
        <w:rPr>
          <w:rFonts w:ascii="Times New Roman" w:hAnsi="Times New Roman" w:cs="Times New Roman"/>
          <w:sz w:val="24"/>
          <w:szCs w:val="24"/>
        </w:rPr>
        <w:t>”</w:t>
      </w:r>
      <w:r>
        <w:rPr>
          <w:rFonts w:ascii="Times New Roman" w:cs="Times New Roman"/>
          <w:sz w:val="24"/>
          <w:szCs w:val="24"/>
        </w:rPr>
        <w:t>资源化，收集相关信息，搞好污染治理，负责有关环保方面的咨询。</w:t>
      </w:r>
    </w:p>
    <w:p>
      <w:pPr>
        <w:pStyle w:val="85"/>
        <w:spacing w:line="480" w:lineRule="exact"/>
        <w:ind w:firstLine="480"/>
        <w:rPr>
          <w:rFonts w:ascii="Times New Roman" w:hAnsi="Times New Roman" w:cs="Times New Roman"/>
          <w:sz w:val="24"/>
          <w:szCs w:val="24"/>
        </w:rPr>
      </w:pPr>
      <w:r>
        <w:rPr>
          <w:rFonts w:ascii="Times New Roman" w:hAnsi="Times New Roman" w:cs="Times New Roman"/>
          <w:sz w:val="24"/>
          <w:szCs w:val="24"/>
        </w:rPr>
        <w:t>10</w:t>
      </w:r>
      <w:r>
        <w:rPr>
          <w:rFonts w:ascii="Times New Roman" w:cs="Times New Roman"/>
          <w:sz w:val="24"/>
          <w:szCs w:val="24"/>
        </w:rPr>
        <w:t>）认真执行上级环保部门对矿下达的环境目标责任制，采用无污染、少污染的先进工艺，完成自立项目。</w:t>
      </w:r>
    </w:p>
    <w:p>
      <w:pPr>
        <w:spacing w:line="480" w:lineRule="exact"/>
        <w:ind w:firstLine="480" w:firstLineChars="200"/>
        <w:rPr>
          <w:bCs/>
          <w:sz w:val="24"/>
          <w:szCs w:val="24"/>
        </w:rPr>
      </w:pPr>
      <w:r>
        <w:rPr>
          <w:sz w:val="24"/>
          <w:szCs w:val="24"/>
        </w:rPr>
        <w:t>11）按国家制定的有关环保政策、法规，按时缴纳排污费。</w:t>
      </w:r>
    </w:p>
    <w:p>
      <w:pPr>
        <w:pStyle w:val="3"/>
        <w:spacing w:before="0" w:after="0" w:line="480" w:lineRule="exact"/>
        <w:rPr>
          <w:sz w:val="24"/>
          <w:szCs w:val="24"/>
        </w:rPr>
      </w:pPr>
      <w:r>
        <w:rPr>
          <w:rFonts w:hint="eastAsia"/>
          <w:sz w:val="24"/>
          <w:szCs w:val="24"/>
        </w:rPr>
        <w:t>9.1.3环境管理制度</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企业在健全了环境管理体制与管理机构的基础上，还必须健全环保管理规章制度，做到</w:t>
      </w:r>
      <w:r>
        <w:rPr>
          <w:rFonts w:hint="eastAsia" w:ascii="Times New Roman" w:hAnsi="Times New Roman" w:cs="Times New Roman"/>
          <w:sz w:val="24"/>
          <w:szCs w:val="24"/>
        </w:rPr>
        <w:t>“</w:t>
      </w:r>
      <w:r>
        <w:rPr>
          <w:rFonts w:ascii="Times New Roman" w:cs="Times New Roman"/>
          <w:sz w:val="24"/>
          <w:szCs w:val="24"/>
        </w:rPr>
        <w:t>有法可依、有章可循</w:t>
      </w:r>
      <w:r>
        <w:rPr>
          <w:rFonts w:hint="eastAsia" w:ascii="Times New Roman" w:hAnsi="Times New Roman" w:cs="Times New Roman"/>
          <w:sz w:val="24"/>
          <w:szCs w:val="24"/>
        </w:rPr>
        <w:t>”</w:t>
      </w:r>
      <w:r>
        <w:rPr>
          <w:rFonts w:ascii="Times New Roman" w:cs="Times New Roman"/>
          <w:sz w:val="24"/>
          <w:szCs w:val="24"/>
        </w:rPr>
        <w:t>，才能保证环保工作健康、持续的运转。各项规章制度应体现环境管理的任务、内容和准则，使环境管理的特点和要求渗透到企业的各项管理工作中。</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根据自身的具体情况，本公司制定了相应的环境管理制度，包括：</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1</w:t>
      </w:r>
      <w:r>
        <w:rPr>
          <w:rFonts w:ascii="Times New Roman" w:cs="Times New Roman"/>
          <w:sz w:val="24"/>
          <w:szCs w:val="24"/>
        </w:rPr>
        <w:t>）环境保护管理条例；</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2</w:t>
      </w:r>
      <w:r>
        <w:rPr>
          <w:rFonts w:ascii="Times New Roman" w:cs="Times New Roman"/>
          <w:sz w:val="24"/>
          <w:szCs w:val="24"/>
        </w:rPr>
        <w:t>）环境管理的经济责任制；</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3</w:t>
      </w:r>
      <w:r>
        <w:rPr>
          <w:rFonts w:ascii="Times New Roman" w:cs="Times New Roman"/>
          <w:sz w:val="24"/>
          <w:szCs w:val="24"/>
        </w:rPr>
        <w:t>）环保设施运行与管理制度；</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4</w:t>
      </w:r>
      <w:r>
        <w:rPr>
          <w:rFonts w:ascii="Times New Roman" w:cs="Times New Roman"/>
          <w:sz w:val="24"/>
          <w:szCs w:val="24"/>
        </w:rPr>
        <w:t>）环境管理岗位责任制；</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5</w:t>
      </w:r>
      <w:r>
        <w:rPr>
          <w:rFonts w:ascii="Times New Roman" w:cs="Times New Roman"/>
          <w:sz w:val="24"/>
          <w:szCs w:val="24"/>
        </w:rPr>
        <w:t>）环境管理技术规程；</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6</w:t>
      </w:r>
      <w:r>
        <w:rPr>
          <w:rFonts w:ascii="Times New Roman" w:cs="Times New Roman"/>
          <w:sz w:val="24"/>
          <w:szCs w:val="24"/>
        </w:rPr>
        <w:t>）环境保护的考核制度；</w:t>
      </w:r>
    </w:p>
    <w:p>
      <w:pPr>
        <w:spacing w:line="480" w:lineRule="exact"/>
        <w:ind w:firstLine="480" w:firstLineChars="200"/>
        <w:rPr>
          <w:bCs/>
          <w:sz w:val="24"/>
          <w:szCs w:val="24"/>
        </w:rPr>
      </w:pPr>
      <w:r>
        <w:rPr>
          <w:sz w:val="24"/>
          <w:szCs w:val="24"/>
        </w:rPr>
        <w:t>（7）环境保护奖惩办法。</w:t>
      </w:r>
    </w:p>
    <w:p>
      <w:pPr>
        <w:pStyle w:val="3"/>
        <w:spacing w:before="0" w:after="0" w:line="480" w:lineRule="exact"/>
        <w:rPr>
          <w:sz w:val="24"/>
          <w:szCs w:val="24"/>
        </w:rPr>
      </w:pPr>
      <w:r>
        <w:rPr>
          <w:rFonts w:hint="eastAsia"/>
          <w:sz w:val="24"/>
          <w:szCs w:val="24"/>
        </w:rPr>
        <w:t>9.1.4环境管理计划</w:t>
      </w:r>
    </w:p>
    <w:p>
      <w:pPr>
        <w:pStyle w:val="85"/>
        <w:spacing w:line="480" w:lineRule="exact"/>
        <w:ind w:firstLine="480"/>
        <w:rPr>
          <w:sz w:val="24"/>
          <w:szCs w:val="24"/>
        </w:rPr>
      </w:pPr>
      <w:r>
        <w:rPr>
          <w:sz w:val="24"/>
          <w:szCs w:val="24"/>
        </w:rPr>
        <w:t>针对本工程不同的工作阶段，需制定有关的环境管理计划。</w:t>
      </w:r>
    </w:p>
    <w:p>
      <w:pPr>
        <w:spacing w:line="480" w:lineRule="exact"/>
        <w:ind w:firstLine="480" w:firstLineChars="200"/>
        <w:rPr>
          <w:rFonts w:ascii="宋体" w:hAnsi="宋体"/>
          <w:bCs/>
          <w:sz w:val="24"/>
          <w:szCs w:val="24"/>
        </w:rPr>
      </w:pPr>
      <w:r>
        <w:rPr>
          <w:sz w:val="24"/>
          <w:szCs w:val="24"/>
        </w:rPr>
        <w:t>具体管理内容、管理计划，详见表</w:t>
      </w:r>
      <w:r>
        <w:rPr>
          <w:rFonts w:hint="eastAsia"/>
          <w:sz w:val="24"/>
          <w:szCs w:val="24"/>
        </w:rPr>
        <w:t>9.1</w:t>
      </w:r>
      <w:r>
        <w:rPr>
          <w:sz w:val="24"/>
          <w:szCs w:val="24"/>
        </w:rPr>
        <w:t>-1、表</w:t>
      </w:r>
      <w:r>
        <w:rPr>
          <w:rFonts w:hint="eastAsia"/>
          <w:sz w:val="24"/>
          <w:szCs w:val="24"/>
        </w:rPr>
        <w:t>9.1</w:t>
      </w:r>
      <w:r>
        <w:rPr>
          <w:sz w:val="24"/>
          <w:szCs w:val="24"/>
        </w:rPr>
        <w:t>-2。</w:t>
      </w:r>
    </w:p>
    <w:p>
      <w:pPr>
        <w:pStyle w:val="12"/>
        <w:spacing w:line="480" w:lineRule="exact"/>
        <w:jc w:val="center"/>
        <w:rPr>
          <w:rFonts w:ascii="黑体" w:hAnsi="黑体" w:eastAsia="黑体"/>
          <w:color w:val="000000"/>
          <w:szCs w:val="21"/>
        </w:rPr>
      </w:pPr>
      <w:r>
        <w:rPr>
          <w:rFonts w:hint="eastAsia" w:ascii="黑体" w:hAnsi="黑体" w:eastAsia="黑体"/>
          <w:color w:val="000000"/>
          <w:sz w:val="24"/>
          <w:szCs w:val="24"/>
        </w:rPr>
        <w:t>表9.1-1 各阶段环境管理工作的具体内容</w:t>
      </w:r>
    </w:p>
    <w:tbl>
      <w:tblPr>
        <w:tblStyle w:val="3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40"/>
        <w:gridCol w:w="672"/>
        <w:gridCol w:w="774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724" w:type="pct"/>
            <w:gridSpan w:val="2"/>
            <w:tcBorders>
              <w:tl2br w:val="nil"/>
              <w:tr2bl w:val="nil"/>
            </w:tcBorders>
            <w:vAlign w:val="center"/>
          </w:tcPr>
          <w:p>
            <w:pPr>
              <w:pStyle w:val="12"/>
              <w:jc w:val="center"/>
              <w:rPr>
                <w:rFonts w:ascii="Times New Roman" w:hAnsi="Times New Roman"/>
                <w:color w:val="000000"/>
              </w:rPr>
            </w:pPr>
            <w:r>
              <w:rPr>
                <w:rFonts w:ascii="Times New Roman" w:hAnsi="Times New Roman"/>
                <w:color w:val="000000"/>
              </w:rPr>
              <w:t>各阶段</w:t>
            </w:r>
          </w:p>
        </w:tc>
        <w:tc>
          <w:tcPr>
            <w:tcW w:w="4276" w:type="pct"/>
            <w:tcBorders>
              <w:tl2br w:val="nil"/>
              <w:tr2bl w:val="nil"/>
            </w:tcBorders>
            <w:vAlign w:val="center"/>
          </w:tcPr>
          <w:p>
            <w:pPr>
              <w:pStyle w:val="12"/>
              <w:jc w:val="center"/>
              <w:rPr>
                <w:rFonts w:ascii="Times New Roman" w:hAnsi="Times New Roman"/>
                <w:color w:val="000000"/>
              </w:rPr>
            </w:pPr>
            <w:r>
              <w:rPr>
                <w:rFonts w:ascii="Times New Roman" w:hAnsi="Times New Roman"/>
                <w:color w:val="000000"/>
              </w:rPr>
              <w:t>环境管理工作计划的具体内容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0" w:hRule="atLeast"/>
          <w:jc w:val="center"/>
        </w:trPr>
        <w:tc>
          <w:tcPr>
            <w:tcW w:w="724" w:type="pct"/>
            <w:gridSpan w:val="2"/>
            <w:tcBorders>
              <w:tl2br w:val="nil"/>
              <w:tr2bl w:val="nil"/>
            </w:tcBorders>
            <w:vAlign w:val="center"/>
          </w:tcPr>
          <w:p>
            <w:pPr>
              <w:pStyle w:val="12"/>
              <w:jc w:val="center"/>
              <w:rPr>
                <w:rFonts w:ascii="Times New Roman" w:hAnsi="Times New Roman"/>
                <w:color w:val="000000"/>
              </w:rPr>
            </w:pPr>
            <w:r>
              <w:rPr>
                <w:rFonts w:ascii="Times New Roman" w:hAnsi="Times New Roman"/>
                <w:color w:val="000000"/>
              </w:rPr>
              <w:t>企业环境</w:t>
            </w:r>
          </w:p>
          <w:p>
            <w:pPr>
              <w:pStyle w:val="12"/>
              <w:jc w:val="center"/>
              <w:rPr>
                <w:rFonts w:ascii="Times New Roman" w:hAnsi="Times New Roman"/>
                <w:color w:val="000000"/>
              </w:rPr>
            </w:pPr>
            <w:r>
              <w:rPr>
                <w:rFonts w:ascii="Times New Roman" w:hAnsi="Times New Roman"/>
                <w:color w:val="000000"/>
              </w:rPr>
              <w:t>管理总要求</w:t>
            </w:r>
          </w:p>
        </w:tc>
        <w:tc>
          <w:tcPr>
            <w:tcW w:w="4276" w:type="pct"/>
            <w:tcBorders>
              <w:tl2br w:val="nil"/>
              <w:tr2bl w:val="nil"/>
            </w:tcBorders>
            <w:vAlign w:val="center"/>
          </w:tcPr>
          <w:p>
            <w:pPr>
              <w:pStyle w:val="12"/>
              <w:rPr>
                <w:rFonts w:ascii="Times New Roman" w:hAnsi="Times New Roman"/>
                <w:color w:val="000000"/>
              </w:rPr>
            </w:pPr>
            <w:r>
              <w:rPr>
                <w:rFonts w:hint="eastAsia" w:hAnsi="宋体" w:cs="宋体"/>
                <w:color w:val="000000"/>
              </w:rPr>
              <w:t>①</w:t>
            </w:r>
            <w:r>
              <w:rPr>
                <w:rFonts w:ascii="Times New Roman" w:hAnsi="Times New Roman"/>
                <w:color w:val="000000"/>
              </w:rPr>
              <w:t>可研阶段，委托评价单位进行环境影响评价；</w:t>
            </w:r>
            <w:r>
              <w:rPr>
                <w:rFonts w:hint="eastAsia" w:hAnsi="宋体" w:cs="宋体"/>
                <w:color w:val="000000"/>
              </w:rPr>
              <w:t>②施工过程中，严格</w:t>
            </w:r>
            <w:r>
              <w:rPr>
                <w:rFonts w:ascii="Times New Roman" w:hAnsi="Times New Roman"/>
                <w:color w:val="000000"/>
              </w:rPr>
              <w:t>履行“三同时”手续；</w:t>
            </w:r>
            <w:r>
              <w:rPr>
                <w:rFonts w:hint="eastAsia" w:hAnsi="宋体" w:cs="宋体"/>
                <w:color w:val="000000"/>
              </w:rPr>
              <w:t>③</w:t>
            </w:r>
            <w:r>
              <w:rPr>
                <w:rFonts w:ascii="Times New Roman" w:hAnsi="Times New Roman"/>
                <w:color w:val="000000"/>
              </w:rPr>
              <w:t>项目</w:t>
            </w:r>
            <w:r>
              <w:rPr>
                <w:rFonts w:hint="eastAsia" w:ascii="Times New Roman" w:hAnsi="Times New Roman"/>
                <w:color w:val="000000"/>
              </w:rPr>
              <w:t>竣工</w:t>
            </w:r>
            <w:r>
              <w:rPr>
                <w:rFonts w:ascii="Times New Roman" w:hAnsi="Times New Roman"/>
                <w:color w:val="000000"/>
              </w:rPr>
              <w:t>后，</w:t>
            </w:r>
            <w:r>
              <w:rPr>
                <w:rFonts w:hint="eastAsia" w:ascii="Times New Roman" w:hAnsi="Times New Roman"/>
                <w:color w:val="000000"/>
              </w:rPr>
              <w:t>及时申请项目排污许可证，并进行环保竣工验收</w:t>
            </w:r>
            <w:r>
              <w:rPr>
                <w:rFonts w:ascii="Times New Roman" w:hAnsi="Times New Roman"/>
                <w:color w:val="000000"/>
              </w:rPr>
              <w:t>；</w:t>
            </w:r>
            <w:r>
              <w:rPr>
                <w:rFonts w:hint="eastAsia" w:hAnsi="宋体" w:cs="宋体"/>
                <w:color w:val="000000"/>
              </w:rPr>
              <w:t>④</w:t>
            </w:r>
            <w:r>
              <w:rPr>
                <w:rFonts w:ascii="Times New Roman" w:hAnsi="Times New Roman"/>
                <w:color w:val="000000"/>
              </w:rPr>
              <w:t>生产运行阶段，定期请当地环保部门监督、检查，协助作好环境管理工作，对不达标装置及时整改；</w:t>
            </w:r>
            <w:r>
              <w:rPr>
                <w:rFonts w:hint="eastAsia" w:hAnsi="宋体" w:cs="宋体"/>
                <w:color w:val="000000"/>
              </w:rPr>
              <w:t>⑤</w:t>
            </w:r>
            <w:r>
              <w:rPr>
                <w:rFonts w:ascii="Times New Roman" w:hAnsi="Times New Roman"/>
                <w:color w:val="000000"/>
              </w:rPr>
              <w:t>配合当地环境监测站搞好监测工作。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5" w:hRule="atLeast"/>
          <w:jc w:val="center"/>
        </w:trPr>
        <w:tc>
          <w:tcPr>
            <w:tcW w:w="724" w:type="pct"/>
            <w:gridSpan w:val="2"/>
            <w:tcBorders>
              <w:tl2br w:val="nil"/>
              <w:tr2bl w:val="nil"/>
            </w:tcBorders>
            <w:vAlign w:val="center"/>
          </w:tcPr>
          <w:p>
            <w:pPr>
              <w:pStyle w:val="12"/>
              <w:jc w:val="center"/>
              <w:rPr>
                <w:rFonts w:ascii="Times New Roman" w:hAnsi="Times New Roman"/>
                <w:color w:val="000000"/>
              </w:rPr>
            </w:pPr>
            <w:r>
              <w:rPr>
                <w:rFonts w:ascii="Times New Roman" w:hAnsi="Times New Roman"/>
                <w:color w:val="000000"/>
              </w:rPr>
              <w:t>设计阶段</w:t>
            </w:r>
          </w:p>
        </w:tc>
        <w:tc>
          <w:tcPr>
            <w:tcW w:w="4276" w:type="pct"/>
            <w:tcBorders>
              <w:tl2br w:val="nil"/>
              <w:tr2bl w:val="nil"/>
            </w:tcBorders>
            <w:vAlign w:val="center"/>
          </w:tcPr>
          <w:p>
            <w:pPr>
              <w:pStyle w:val="12"/>
              <w:rPr>
                <w:rFonts w:ascii="Times New Roman" w:hAnsi="Times New Roman"/>
                <w:color w:val="000000"/>
              </w:rPr>
            </w:pPr>
            <w:r>
              <w:rPr>
                <w:rFonts w:ascii="Times New Roman" w:hAnsi="Times New Roman"/>
                <w:color w:val="000000"/>
              </w:rPr>
              <w:t>对设计单位提出下述要求并督促其实施：</w:t>
            </w:r>
          </w:p>
          <w:p>
            <w:pPr>
              <w:pStyle w:val="12"/>
              <w:rPr>
                <w:rFonts w:ascii="Times New Roman" w:hAnsi="Times New Roman"/>
                <w:color w:val="000000"/>
              </w:rPr>
            </w:pPr>
            <w:r>
              <w:rPr>
                <w:rFonts w:hint="eastAsia" w:hAnsi="宋体" w:cs="宋体"/>
                <w:color w:val="000000"/>
              </w:rPr>
              <w:t>①</w:t>
            </w:r>
            <w:r>
              <w:rPr>
                <w:rFonts w:ascii="Times New Roman" w:hAnsi="Times New Roman"/>
                <w:color w:val="000000"/>
              </w:rPr>
              <w:t>本项目的总图布置，在满足主体工程需要的前提下，宜将污染较大的设施布置在远离非污染设施的地段，然后合理确定其余设施的相应位置，避免互相影响和污染；</w:t>
            </w:r>
          </w:p>
          <w:p>
            <w:pPr>
              <w:pStyle w:val="12"/>
              <w:rPr>
                <w:rFonts w:ascii="Times New Roman" w:hAnsi="Times New Roman"/>
                <w:color w:val="000000"/>
              </w:rPr>
            </w:pPr>
            <w:r>
              <w:rPr>
                <w:rFonts w:hint="eastAsia" w:hAnsi="宋体" w:cs="宋体"/>
                <w:color w:val="000000"/>
              </w:rPr>
              <w:t>②</w:t>
            </w:r>
            <w:r>
              <w:rPr>
                <w:rFonts w:ascii="Times New Roman" w:hAnsi="Times New Roman"/>
                <w:color w:val="000000"/>
              </w:rPr>
              <w:t>本项目的主要废气排放筒等宜布置在场地常年主导风向的下风侧，并与居民区保留必要的防护距离，并采取绿化隔声等防护措施；</w:t>
            </w:r>
          </w:p>
          <w:p>
            <w:pPr>
              <w:pStyle w:val="12"/>
              <w:rPr>
                <w:rFonts w:ascii="Times New Roman" w:hAnsi="Times New Roman"/>
                <w:color w:val="000000"/>
              </w:rPr>
            </w:pPr>
            <w:r>
              <w:rPr>
                <w:rFonts w:hint="eastAsia" w:hAnsi="宋体" w:cs="宋体"/>
                <w:color w:val="000000"/>
              </w:rPr>
              <w:t>③</w:t>
            </w:r>
            <w:r>
              <w:rPr>
                <w:rFonts w:ascii="Times New Roman" w:hAnsi="Times New Roman"/>
                <w:color w:val="000000"/>
              </w:rPr>
              <w:t>完善工艺方案。设计应尽量采用新技术工艺、新设备，采用节约资源、能源的生产工艺和设备，选用低噪声设备，使生产过程中污染物的产生减少到最低限度。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2" w:hRule="atLeast"/>
          <w:jc w:val="center"/>
        </w:trPr>
        <w:tc>
          <w:tcPr>
            <w:tcW w:w="724" w:type="pct"/>
            <w:gridSpan w:val="2"/>
            <w:tcBorders>
              <w:tl2br w:val="nil"/>
              <w:tr2bl w:val="nil"/>
            </w:tcBorders>
            <w:vAlign w:val="center"/>
          </w:tcPr>
          <w:p>
            <w:pPr>
              <w:pStyle w:val="12"/>
              <w:jc w:val="center"/>
              <w:rPr>
                <w:rFonts w:ascii="Times New Roman" w:hAnsi="Times New Roman"/>
                <w:color w:val="000000"/>
              </w:rPr>
            </w:pPr>
            <w:r>
              <w:rPr>
                <w:rFonts w:ascii="Times New Roman" w:hAnsi="Times New Roman"/>
                <w:color w:val="000000"/>
              </w:rPr>
              <w:t>施工阶段</w:t>
            </w:r>
          </w:p>
        </w:tc>
        <w:tc>
          <w:tcPr>
            <w:tcW w:w="4276" w:type="pct"/>
            <w:tcBorders>
              <w:tl2br w:val="nil"/>
              <w:tr2bl w:val="nil"/>
            </w:tcBorders>
            <w:vAlign w:val="center"/>
          </w:tcPr>
          <w:p>
            <w:pPr>
              <w:pStyle w:val="12"/>
              <w:rPr>
                <w:rFonts w:ascii="Times New Roman" w:hAnsi="Times New Roman"/>
                <w:color w:val="000000"/>
              </w:rPr>
            </w:pPr>
            <w:r>
              <w:rPr>
                <w:rFonts w:hint="eastAsia" w:hAnsi="宋体" w:cs="宋体"/>
                <w:color w:val="000000"/>
              </w:rPr>
              <w:t>①</w:t>
            </w:r>
            <w:r>
              <w:rPr>
                <w:rFonts w:ascii="Times New Roman" w:hAnsi="Times New Roman"/>
                <w:color w:val="000000"/>
              </w:rPr>
              <w:t>督促施工单位按审查批准的设计文件要求落实环保工程的施工计划与进度，保证工程质量，以确保建设项目的环保工程与主体工程同时投产或使用；</w:t>
            </w:r>
          </w:p>
          <w:p>
            <w:pPr>
              <w:pStyle w:val="12"/>
              <w:rPr>
                <w:rFonts w:ascii="Times New Roman" w:hAnsi="Times New Roman"/>
                <w:color w:val="000000"/>
              </w:rPr>
            </w:pPr>
            <w:r>
              <w:rPr>
                <w:rFonts w:hint="eastAsia" w:hAnsi="宋体" w:cs="宋体"/>
                <w:color w:val="000000"/>
              </w:rPr>
              <w:t>②</w:t>
            </w:r>
            <w:r>
              <w:rPr>
                <w:rFonts w:ascii="Times New Roman" w:hAnsi="Times New Roman"/>
                <w:color w:val="000000"/>
              </w:rPr>
              <w:t>与施工单位签定有关环保合同。监督施工单位的施工活动是否按有关要求进行，防止其对环境造成污染和破坏；</w:t>
            </w:r>
          </w:p>
          <w:p>
            <w:pPr>
              <w:pStyle w:val="12"/>
              <w:rPr>
                <w:rFonts w:ascii="Times New Roman" w:hAnsi="Times New Roman"/>
                <w:color w:val="000000"/>
              </w:rPr>
            </w:pPr>
            <w:r>
              <w:rPr>
                <w:rFonts w:hint="eastAsia" w:hAnsi="宋体" w:cs="宋体"/>
                <w:color w:val="000000"/>
              </w:rPr>
              <w:t>③</w:t>
            </w:r>
            <w:r>
              <w:rPr>
                <w:rFonts w:ascii="Times New Roman" w:hAnsi="Times New Roman"/>
                <w:color w:val="000000"/>
              </w:rPr>
              <w:t>施工活动总平面布置要合理，严格按有关规定执行，不得干扰周围群众的正常生活；</w:t>
            </w:r>
          </w:p>
          <w:p>
            <w:pPr>
              <w:pStyle w:val="12"/>
              <w:rPr>
                <w:rFonts w:ascii="Times New Roman" w:hAnsi="Times New Roman"/>
                <w:color w:val="000000"/>
              </w:rPr>
            </w:pPr>
            <w:r>
              <w:rPr>
                <w:rFonts w:hint="eastAsia" w:hAnsi="宋体" w:cs="宋体"/>
                <w:color w:val="000000"/>
              </w:rPr>
              <w:t>④</w:t>
            </w:r>
            <w:r>
              <w:rPr>
                <w:rFonts w:ascii="Times New Roman" w:hAnsi="Times New Roman"/>
                <w:color w:val="000000"/>
              </w:rPr>
              <w:t>对施工造成的地表破坏、土地、植被毁坏应在施工结束后及时恢复。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88" w:hRule="atLeast"/>
          <w:jc w:val="center"/>
        </w:trPr>
        <w:tc>
          <w:tcPr>
            <w:tcW w:w="353" w:type="pct"/>
            <w:tcBorders>
              <w:tl2br w:val="nil"/>
              <w:tr2bl w:val="nil"/>
            </w:tcBorders>
            <w:vAlign w:val="center"/>
          </w:tcPr>
          <w:p>
            <w:pPr>
              <w:pStyle w:val="12"/>
              <w:jc w:val="center"/>
              <w:rPr>
                <w:rFonts w:ascii="Times New Roman" w:hAnsi="Times New Roman"/>
                <w:color w:val="000000"/>
              </w:rPr>
            </w:pPr>
            <w:r>
              <w:rPr>
                <w:rFonts w:ascii="Times New Roman" w:hAnsi="Times New Roman"/>
                <w:color w:val="000000"/>
              </w:rPr>
              <w:t>竣工</w:t>
            </w:r>
          </w:p>
          <w:p>
            <w:pPr>
              <w:pStyle w:val="12"/>
              <w:jc w:val="center"/>
              <w:rPr>
                <w:rFonts w:ascii="Times New Roman" w:hAnsi="Times New Roman"/>
                <w:color w:val="000000"/>
              </w:rPr>
            </w:pPr>
            <w:r>
              <w:rPr>
                <w:rFonts w:ascii="Times New Roman" w:hAnsi="Times New Roman"/>
                <w:color w:val="000000"/>
              </w:rPr>
              <w:t>验收</w:t>
            </w:r>
          </w:p>
          <w:p>
            <w:pPr>
              <w:pStyle w:val="12"/>
              <w:jc w:val="center"/>
              <w:rPr>
                <w:rFonts w:ascii="Times New Roman" w:hAnsi="Times New Roman"/>
                <w:color w:val="000000"/>
              </w:rPr>
            </w:pPr>
            <w:r>
              <w:rPr>
                <w:rFonts w:ascii="Times New Roman" w:hAnsi="Times New Roman"/>
                <w:color w:val="000000"/>
              </w:rPr>
              <w:t>阶段</w:t>
            </w:r>
          </w:p>
        </w:tc>
        <w:tc>
          <w:tcPr>
            <w:tcW w:w="371" w:type="pct"/>
            <w:tcBorders>
              <w:tl2br w:val="nil"/>
              <w:tr2bl w:val="nil"/>
            </w:tcBorders>
            <w:vAlign w:val="center"/>
          </w:tcPr>
          <w:p>
            <w:pPr>
              <w:pStyle w:val="12"/>
              <w:jc w:val="center"/>
              <w:rPr>
                <w:rFonts w:ascii="Times New Roman" w:hAnsi="Times New Roman"/>
                <w:color w:val="000000"/>
              </w:rPr>
            </w:pPr>
            <w:r>
              <w:rPr>
                <w:rFonts w:ascii="Times New Roman" w:hAnsi="Times New Roman"/>
                <w:color w:val="000000"/>
              </w:rPr>
              <w:t>自检</w:t>
            </w:r>
          </w:p>
          <w:p>
            <w:pPr>
              <w:pStyle w:val="12"/>
              <w:jc w:val="center"/>
              <w:rPr>
                <w:rFonts w:ascii="Times New Roman" w:hAnsi="Times New Roman"/>
                <w:color w:val="000000"/>
              </w:rPr>
            </w:pPr>
            <w:r>
              <w:rPr>
                <w:rFonts w:ascii="Times New Roman" w:hAnsi="Times New Roman"/>
                <w:color w:val="000000"/>
              </w:rPr>
              <w:t>准备</w:t>
            </w:r>
          </w:p>
          <w:p>
            <w:pPr>
              <w:pStyle w:val="12"/>
              <w:jc w:val="center"/>
              <w:rPr>
                <w:rFonts w:ascii="Times New Roman" w:hAnsi="Times New Roman"/>
                <w:color w:val="000000"/>
              </w:rPr>
            </w:pPr>
            <w:r>
              <w:rPr>
                <w:rFonts w:ascii="Times New Roman" w:hAnsi="Times New Roman"/>
                <w:color w:val="000000"/>
              </w:rPr>
              <w:t>阶段</w:t>
            </w:r>
          </w:p>
        </w:tc>
        <w:tc>
          <w:tcPr>
            <w:tcW w:w="4276" w:type="pct"/>
            <w:tcBorders>
              <w:tl2br w:val="nil"/>
              <w:tr2bl w:val="nil"/>
            </w:tcBorders>
            <w:vAlign w:val="center"/>
          </w:tcPr>
          <w:p>
            <w:pPr>
              <w:pStyle w:val="12"/>
              <w:rPr>
                <w:rFonts w:ascii="Times New Roman" w:hAnsi="Times New Roman"/>
                <w:color w:val="000000"/>
              </w:rPr>
            </w:pPr>
            <w:r>
              <w:rPr>
                <w:rFonts w:hint="eastAsia" w:hAnsi="宋体" w:cs="宋体"/>
                <w:color w:val="000000"/>
              </w:rPr>
              <w:t>①</w:t>
            </w:r>
            <w:r>
              <w:rPr>
                <w:rFonts w:ascii="Times New Roman" w:hAnsi="Times New Roman"/>
                <w:color w:val="000000"/>
              </w:rPr>
              <w:t>检查施工项目是否按设计规定全部完工；</w:t>
            </w:r>
          </w:p>
          <w:p>
            <w:pPr>
              <w:pStyle w:val="12"/>
              <w:rPr>
                <w:rFonts w:ascii="Times New Roman" w:hAnsi="Times New Roman"/>
                <w:color w:val="000000"/>
              </w:rPr>
            </w:pPr>
            <w:r>
              <w:rPr>
                <w:rFonts w:hint="eastAsia" w:hAnsi="宋体" w:cs="宋体"/>
                <w:color w:val="000000"/>
              </w:rPr>
              <w:t>②</w:t>
            </w:r>
            <w:r>
              <w:rPr>
                <w:rFonts w:ascii="Times New Roman" w:hAnsi="Times New Roman"/>
                <w:color w:val="000000"/>
              </w:rPr>
              <w:t>组织检查试车前的各项准备工作；</w:t>
            </w:r>
          </w:p>
          <w:p>
            <w:pPr>
              <w:pStyle w:val="12"/>
              <w:rPr>
                <w:rFonts w:ascii="Times New Roman" w:hAnsi="Times New Roman"/>
                <w:color w:val="000000"/>
              </w:rPr>
            </w:pPr>
            <w:r>
              <w:rPr>
                <w:rFonts w:hint="eastAsia" w:hAnsi="宋体" w:cs="宋体"/>
                <w:color w:val="000000"/>
              </w:rPr>
              <w:t>③</w:t>
            </w:r>
            <w:r>
              <w:rPr>
                <w:rFonts w:ascii="Times New Roman" w:hAnsi="Times New Roman"/>
                <w:color w:val="000000"/>
              </w:rPr>
              <w:t>检查操作技术文件和管理制度是否健全；</w:t>
            </w:r>
          </w:p>
          <w:p>
            <w:pPr>
              <w:pStyle w:val="12"/>
              <w:rPr>
                <w:rFonts w:ascii="Times New Roman" w:hAnsi="Times New Roman"/>
                <w:color w:val="000000"/>
              </w:rPr>
            </w:pPr>
            <w:r>
              <w:rPr>
                <w:rFonts w:hint="eastAsia" w:hAnsi="宋体" w:cs="宋体"/>
                <w:color w:val="000000"/>
              </w:rPr>
              <w:t>④</w:t>
            </w:r>
            <w:r>
              <w:rPr>
                <w:rFonts w:ascii="Times New Roman" w:hAnsi="Times New Roman"/>
                <w:color w:val="000000"/>
              </w:rPr>
              <w:t>整理技术文件资料档案；</w:t>
            </w:r>
          </w:p>
          <w:p>
            <w:pPr>
              <w:pStyle w:val="12"/>
              <w:rPr>
                <w:rFonts w:ascii="Times New Roman" w:hAnsi="Times New Roman"/>
                <w:color w:val="000000"/>
              </w:rPr>
            </w:pPr>
            <w:r>
              <w:rPr>
                <w:rFonts w:hint="eastAsia" w:hAnsi="宋体" w:cs="宋体"/>
                <w:color w:val="000000"/>
              </w:rPr>
              <w:t>⑤</w:t>
            </w:r>
            <w:r>
              <w:rPr>
                <w:rFonts w:ascii="Times New Roman" w:hAnsi="Times New Roman"/>
                <w:color w:val="000000"/>
              </w:rPr>
              <w:t>建立环保档案。</w:t>
            </w:r>
          </w:p>
        </w:tc>
      </w:tr>
    </w:tbl>
    <w:p>
      <w:pPr>
        <w:pStyle w:val="12"/>
        <w:spacing w:line="480" w:lineRule="exact"/>
        <w:jc w:val="center"/>
        <w:rPr>
          <w:rFonts w:ascii="黑体" w:hAnsi="黑体" w:eastAsia="黑体"/>
          <w:color w:val="000000"/>
          <w:sz w:val="24"/>
          <w:szCs w:val="24"/>
        </w:rPr>
      </w:pPr>
      <w:r>
        <w:rPr>
          <w:rFonts w:hint="eastAsia" w:ascii="黑体" w:hAnsi="黑体" w:eastAsia="黑体"/>
          <w:color w:val="000000"/>
          <w:sz w:val="24"/>
          <w:szCs w:val="24"/>
        </w:rPr>
        <w:t>表9.1-2 主要环境管理方案表</w:t>
      </w:r>
    </w:p>
    <w:tbl>
      <w:tblPr>
        <w:tblStyle w:val="3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71"/>
        <w:gridCol w:w="4073"/>
        <w:gridCol w:w="1587"/>
        <w:gridCol w:w="172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环境问题</w:t>
            </w:r>
          </w:p>
        </w:tc>
        <w:tc>
          <w:tcPr>
            <w:tcW w:w="2248"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防治措施</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经  费</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实施时间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项目占用土地</w:t>
            </w:r>
          </w:p>
        </w:tc>
        <w:tc>
          <w:tcPr>
            <w:tcW w:w="2248" w:type="pct"/>
            <w:tcBorders>
              <w:tl2br w:val="nil"/>
              <w:tr2bl w:val="nil"/>
            </w:tcBorders>
            <w:vAlign w:val="center"/>
          </w:tcPr>
          <w:p>
            <w:pPr>
              <w:pStyle w:val="12"/>
              <w:snapToGrid w:val="0"/>
              <w:rPr>
                <w:rFonts w:ascii="Times New Roman" w:hAnsi="Times New Roman"/>
                <w:color w:val="000000"/>
              </w:rPr>
            </w:pPr>
            <w:r>
              <w:rPr>
                <w:rFonts w:ascii="Times New Roman" w:hAnsi="Times New Roman"/>
                <w:color w:val="000000"/>
              </w:rPr>
              <w:t>加强绿化工作，规划出厂区绿化带</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列入环保经费中</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总图设计阶段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vMerge w:val="restar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废气排放</w:t>
            </w:r>
          </w:p>
        </w:tc>
        <w:tc>
          <w:tcPr>
            <w:tcW w:w="2248" w:type="pct"/>
            <w:tcBorders>
              <w:tl2br w:val="nil"/>
              <w:tr2bl w:val="nil"/>
            </w:tcBorders>
            <w:vAlign w:val="center"/>
          </w:tcPr>
          <w:p>
            <w:pPr>
              <w:pStyle w:val="12"/>
              <w:snapToGrid w:val="0"/>
              <w:rPr>
                <w:rFonts w:ascii="Times New Roman" w:hAnsi="Times New Roman"/>
                <w:color w:val="000000"/>
              </w:rPr>
            </w:pPr>
            <w:r>
              <w:rPr>
                <w:rFonts w:ascii="Times New Roman" w:hAnsi="Times New Roman"/>
                <w:color w:val="000000"/>
              </w:rPr>
              <w:t>定期进行生产知识及环保知识强化，提高操作人员文化素质及环保意识</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常规性开支</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生产期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vMerge w:val="continue"/>
            <w:tcBorders>
              <w:tl2br w:val="nil"/>
              <w:tr2bl w:val="nil"/>
            </w:tcBorders>
            <w:vAlign w:val="center"/>
          </w:tcPr>
          <w:p>
            <w:pPr>
              <w:pStyle w:val="12"/>
              <w:snapToGrid w:val="0"/>
              <w:jc w:val="center"/>
              <w:rPr>
                <w:rFonts w:ascii="Times New Roman" w:hAnsi="Times New Roman"/>
                <w:color w:val="000000"/>
              </w:rPr>
            </w:pPr>
          </w:p>
        </w:tc>
        <w:tc>
          <w:tcPr>
            <w:tcW w:w="2248" w:type="pct"/>
            <w:tcBorders>
              <w:tl2br w:val="nil"/>
              <w:tr2bl w:val="nil"/>
            </w:tcBorders>
            <w:vAlign w:val="center"/>
          </w:tcPr>
          <w:p>
            <w:pPr>
              <w:pStyle w:val="12"/>
              <w:snapToGrid w:val="0"/>
              <w:rPr>
                <w:rFonts w:ascii="Times New Roman" w:hAnsi="Times New Roman"/>
                <w:color w:val="000000"/>
              </w:rPr>
            </w:pPr>
            <w:r>
              <w:rPr>
                <w:rFonts w:ascii="Times New Roman" w:hAnsi="Times New Roman"/>
                <w:color w:val="000000"/>
              </w:rPr>
              <w:t>制定合理的绿化方案，选择滞尘、降噪、对生产中排放污染物有较强抵抗和吸收能力的树种进行种植</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列入环保经费中</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建设期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vMerge w:val="continue"/>
            <w:tcBorders>
              <w:tl2br w:val="nil"/>
              <w:tr2bl w:val="nil"/>
            </w:tcBorders>
            <w:vAlign w:val="center"/>
          </w:tcPr>
          <w:p>
            <w:pPr>
              <w:pStyle w:val="12"/>
              <w:snapToGrid w:val="0"/>
              <w:jc w:val="center"/>
              <w:rPr>
                <w:rFonts w:ascii="Times New Roman" w:hAnsi="Times New Roman"/>
                <w:color w:val="000000"/>
              </w:rPr>
            </w:pPr>
          </w:p>
        </w:tc>
        <w:tc>
          <w:tcPr>
            <w:tcW w:w="2248" w:type="pct"/>
            <w:tcBorders>
              <w:tl2br w:val="nil"/>
              <w:tr2bl w:val="nil"/>
            </w:tcBorders>
            <w:vAlign w:val="center"/>
          </w:tcPr>
          <w:p>
            <w:pPr>
              <w:pStyle w:val="12"/>
              <w:snapToGrid w:val="0"/>
              <w:rPr>
                <w:rFonts w:ascii="Times New Roman" w:hAnsi="Times New Roman"/>
                <w:color w:val="000000"/>
              </w:rPr>
            </w:pPr>
            <w:r>
              <w:rPr>
                <w:rFonts w:ascii="Times New Roman" w:hAnsi="Times New Roman"/>
                <w:color w:val="000000"/>
              </w:rPr>
              <w:t>加强事故风险的预防和控制</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计入成本</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施工期、生产期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vMerge w:val="restar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废水排放</w:t>
            </w:r>
          </w:p>
        </w:tc>
        <w:tc>
          <w:tcPr>
            <w:tcW w:w="2248" w:type="pct"/>
            <w:tcBorders>
              <w:tl2br w:val="nil"/>
              <w:tr2bl w:val="nil"/>
            </w:tcBorders>
            <w:vAlign w:val="center"/>
          </w:tcPr>
          <w:p>
            <w:pPr>
              <w:pStyle w:val="12"/>
              <w:snapToGrid w:val="0"/>
              <w:rPr>
                <w:rFonts w:ascii="Times New Roman" w:hAnsi="Times New Roman"/>
                <w:color w:val="000000"/>
              </w:rPr>
            </w:pPr>
            <w:r>
              <w:rPr>
                <w:rFonts w:hint="eastAsia" w:ascii="Times New Roman" w:hAnsi="Times New Roman"/>
                <w:color w:val="000000"/>
              </w:rPr>
              <w:t>生产含油废水经气浮、隔油处理后回用于循环冷却水补水</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环保资金</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生产期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vMerge w:val="continue"/>
            <w:tcBorders>
              <w:tl2br w:val="nil"/>
              <w:tr2bl w:val="nil"/>
            </w:tcBorders>
            <w:vAlign w:val="center"/>
          </w:tcPr>
          <w:p>
            <w:pPr>
              <w:pStyle w:val="12"/>
              <w:snapToGrid w:val="0"/>
              <w:jc w:val="center"/>
              <w:rPr>
                <w:rFonts w:ascii="Times New Roman" w:hAnsi="Times New Roman"/>
                <w:color w:val="000000"/>
              </w:rPr>
            </w:pPr>
          </w:p>
        </w:tc>
        <w:tc>
          <w:tcPr>
            <w:tcW w:w="2248" w:type="pct"/>
            <w:tcBorders>
              <w:tl2br w:val="nil"/>
              <w:tr2bl w:val="nil"/>
            </w:tcBorders>
            <w:vAlign w:val="center"/>
          </w:tcPr>
          <w:p>
            <w:pPr>
              <w:pStyle w:val="12"/>
              <w:snapToGrid w:val="0"/>
              <w:rPr>
                <w:rFonts w:ascii="Times New Roman" w:hAnsi="Times New Roman"/>
                <w:color w:val="000000"/>
              </w:rPr>
            </w:pPr>
            <w:r>
              <w:rPr>
                <w:rFonts w:ascii="Times New Roman" w:hAnsi="Times New Roman"/>
                <w:color w:val="000000"/>
              </w:rPr>
              <w:t>加强事故风险的预防和控制</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计入成本</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施工期、生产期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固体废物</w:t>
            </w:r>
          </w:p>
        </w:tc>
        <w:tc>
          <w:tcPr>
            <w:tcW w:w="2248" w:type="pct"/>
            <w:tcBorders>
              <w:tl2br w:val="nil"/>
              <w:tr2bl w:val="nil"/>
            </w:tcBorders>
            <w:vAlign w:val="center"/>
          </w:tcPr>
          <w:p>
            <w:pPr>
              <w:pStyle w:val="12"/>
              <w:snapToGrid w:val="0"/>
              <w:rPr>
                <w:rFonts w:ascii="Times New Roman" w:hAnsi="Times New Roman"/>
                <w:color w:val="000000"/>
              </w:rPr>
            </w:pPr>
            <w:r>
              <w:rPr>
                <w:rFonts w:ascii="Times New Roman" w:hAnsi="Times New Roman"/>
                <w:color w:val="000000"/>
              </w:rPr>
              <w:t>厂房内划出暂存区</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列入环保资金</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施工期、生产期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vMerge w:val="restar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噪声影响</w:t>
            </w:r>
          </w:p>
        </w:tc>
        <w:tc>
          <w:tcPr>
            <w:tcW w:w="2248" w:type="pct"/>
            <w:tcBorders>
              <w:tl2br w:val="nil"/>
              <w:tr2bl w:val="nil"/>
            </w:tcBorders>
            <w:vAlign w:val="center"/>
          </w:tcPr>
          <w:p>
            <w:pPr>
              <w:pStyle w:val="12"/>
              <w:snapToGrid w:val="0"/>
              <w:rPr>
                <w:rFonts w:ascii="Times New Roman" w:hAnsi="Times New Roman"/>
                <w:color w:val="000000"/>
              </w:rPr>
            </w:pPr>
            <w:r>
              <w:rPr>
                <w:rFonts w:ascii="Times New Roman" w:hAnsi="Times New Roman"/>
                <w:color w:val="000000"/>
              </w:rPr>
              <w:t>对各主要产噪点实施对应的减振、降噪措施</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计入成本</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施工期、生产期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vMerge w:val="continue"/>
            <w:tcBorders>
              <w:tl2br w:val="nil"/>
              <w:tr2bl w:val="nil"/>
            </w:tcBorders>
            <w:vAlign w:val="center"/>
          </w:tcPr>
          <w:p>
            <w:pPr>
              <w:pStyle w:val="12"/>
              <w:snapToGrid w:val="0"/>
              <w:jc w:val="center"/>
              <w:rPr>
                <w:rFonts w:ascii="Times New Roman" w:hAnsi="Times New Roman"/>
                <w:color w:val="000000"/>
              </w:rPr>
            </w:pPr>
          </w:p>
        </w:tc>
        <w:tc>
          <w:tcPr>
            <w:tcW w:w="2248" w:type="pct"/>
            <w:tcBorders>
              <w:tl2br w:val="nil"/>
              <w:tr2bl w:val="nil"/>
            </w:tcBorders>
            <w:vAlign w:val="center"/>
          </w:tcPr>
          <w:p>
            <w:pPr>
              <w:pStyle w:val="12"/>
              <w:snapToGrid w:val="0"/>
              <w:rPr>
                <w:rFonts w:ascii="Times New Roman" w:hAnsi="Times New Roman"/>
                <w:color w:val="000000"/>
              </w:rPr>
            </w:pPr>
            <w:r>
              <w:rPr>
                <w:rFonts w:ascii="Times New Roman" w:hAnsi="Times New Roman"/>
                <w:color w:val="000000"/>
              </w:rPr>
              <w:t>施工期建设围墙，运营期加强场内绿化，对运输道路建设绿化带</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计入成本</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施工期</w:t>
            </w:r>
          </w:p>
          <w:p>
            <w:pPr>
              <w:pStyle w:val="12"/>
              <w:snapToGrid w:val="0"/>
              <w:jc w:val="center"/>
              <w:rPr>
                <w:rFonts w:ascii="Times New Roman" w:hAnsi="Times New Roman"/>
                <w:color w:val="000000"/>
              </w:rPr>
            </w:pPr>
            <w:r>
              <w:rPr>
                <w:rFonts w:ascii="Times New Roman" w:hAnsi="Times New Roman"/>
                <w:color w:val="000000"/>
              </w:rPr>
              <w:t>生产期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2" w:type="pct"/>
            <w:vMerge w:val="continue"/>
            <w:tcBorders>
              <w:tl2br w:val="nil"/>
              <w:tr2bl w:val="nil"/>
            </w:tcBorders>
            <w:vAlign w:val="center"/>
          </w:tcPr>
          <w:p>
            <w:pPr>
              <w:pStyle w:val="12"/>
              <w:snapToGrid w:val="0"/>
              <w:jc w:val="center"/>
              <w:rPr>
                <w:rFonts w:ascii="Times New Roman" w:hAnsi="Times New Roman"/>
                <w:color w:val="000000"/>
              </w:rPr>
            </w:pPr>
          </w:p>
        </w:tc>
        <w:tc>
          <w:tcPr>
            <w:tcW w:w="2248" w:type="pct"/>
            <w:tcBorders>
              <w:tl2br w:val="nil"/>
              <w:tr2bl w:val="nil"/>
            </w:tcBorders>
            <w:vAlign w:val="center"/>
          </w:tcPr>
          <w:p>
            <w:pPr>
              <w:pStyle w:val="12"/>
              <w:snapToGrid w:val="0"/>
              <w:rPr>
                <w:rFonts w:ascii="Times New Roman" w:hAnsi="Times New Roman"/>
                <w:color w:val="000000"/>
              </w:rPr>
            </w:pPr>
            <w:r>
              <w:rPr>
                <w:rFonts w:ascii="Times New Roman" w:hAnsi="Times New Roman"/>
                <w:color w:val="000000"/>
              </w:rPr>
              <w:t>加强日常监督管理</w:t>
            </w:r>
          </w:p>
        </w:tc>
        <w:tc>
          <w:tcPr>
            <w:tcW w:w="876"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计入成本</w:t>
            </w:r>
          </w:p>
        </w:tc>
        <w:tc>
          <w:tcPr>
            <w:tcW w:w="954" w:type="pct"/>
            <w:tcBorders>
              <w:tl2br w:val="nil"/>
              <w:tr2bl w:val="nil"/>
            </w:tcBorders>
            <w:vAlign w:val="center"/>
          </w:tcPr>
          <w:p>
            <w:pPr>
              <w:pStyle w:val="12"/>
              <w:snapToGrid w:val="0"/>
              <w:jc w:val="center"/>
              <w:rPr>
                <w:rFonts w:ascii="Times New Roman" w:hAnsi="Times New Roman"/>
                <w:color w:val="000000"/>
              </w:rPr>
            </w:pPr>
            <w:r>
              <w:rPr>
                <w:rFonts w:ascii="Times New Roman" w:hAnsi="Times New Roman"/>
                <w:color w:val="000000"/>
              </w:rPr>
              <w:t>生产期</w:t>
            </w:r>
          </w:p>
        </w:tc>
      </w:tr>
    </w:tbl>
    <w:p>
      <w:pPr>
        <w:pStyle w:val="3"/>
        <w:spacing w:before="0" w:after="0" w:line="480" w:lineRule="exact"/>
        <w:rPr>
          <w:sz w:val="24"/>
          <w:szCs w:val="24"/>
        </w:rPr>
      </w:pPr>
      <w:r>
        <w:rPr>
          <w:rFonts w:hint="eastAsia"/>
          <w:sz w:val="24"/>
          <w:szCs w:val="24"/>
        </w:rPr>
        <w:t>9.1.5环境管理重点</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本次工程建设与运行过程中环境管理的重点部位和内容有：</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1</w:t>
      </w:r>
      <w:r>
        <w:rPr>
          <w:rFonts w:ascii="Times New Roman" w:cs="Times New Roman"/>
          <w:sz w:val="24"/>
          <w:szCs w:val="24"/>
        </w:rPr>
        <w:t>）建设过程相应的环境管理；</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①危废暂存库的合理选择与处理堆存；</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②建设施工过程的污染治理与施工管理；</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③环境保护设施的建设。</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w:t>
      </w:r>
      <w:r>
        <w:rPr>
          <w:rFonts w:ascii="Times New Roman" w:hAnsi="Times New Roman" w:cs="Times New Roman"/>
          <w:sz w:val="24"/>
          <w:szCs w:val="24"/>
        </w:rPr>
        <w:t>2</w:t>
      </w:r>
      <w:r>
        <w:rPr>
          <w:rFonts w:ascii="Times New Roman" w:cs="Times New Roman"/>
          <w:sz w:val="24"/>
          <w:szCs w:val="24"/>
        </w:rPr>
        <w:t>）生产运行过程相应的环境管理，包括：</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①地表水、地下水的污染防治；</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②</w:t>
      </w:r>
      <w:r>
        <w:rPr>
          <w:rFonts w:hint="eastAsia" w:ascii="Times New Roman" w:cs="Times New Roman"/>
          <w:sz w:val="24"/>
          <w:szCs w:val="24"/>
        </w:rPr>
        <w:t>污染治理设施</w:t>
      </w:r>
      <w:r>
        <w:rPr>
          <w:rFonts w:ascii="Times New Roman" w:cs="Times New Roman"/>
          <w:sz w:val="24"/>
          <w:szCs w:val="24"/>
        </w:rPr>
        <w:t>日常管理与维护工作；</w:t>
      </w:r>
    </w:p>
    <w:p>
      <w:pPr>
        <w:spacing w:line="480" w:lineRule="exact"/>
        <w:ind w:firstLine="480" w:firstLineChars="200"/>
        <w:rPr>
          <w:bCs/>
          <w:sz w:val="24"/>
          <w:szCs w:val="24"/>
        </w:rPr>
      </w:pPr>
      <w:r>
        <w:rPr>
          <w:rFonts w:hAnsi="宋体"/>
          <w:sz w:val="24"/>
          <w:szCs w:val="24"/>
        </w:rPr>
        <w:t>③各工段污染控制设施（气、水、声、渣）的管理与维护。</w:t>
      </w:r>
    </w:p>
    <w:p>
      <w:pPr>
        <w:pStyle w:val="85"/>
        <w:spacing w:line="480" w:lineRule="exact"/>
        <w:ind w:firstLine="480"/>
        <w:rPr>
          <w:rFonts w:ascii="Times New Roman" w:hAnsi="Times New Roman" w:cs="Times New Roman"/>
          <w:sz w:val="24"/>
          <w:szCs w:val="24"/>
        </w:rPr>
      </w:pPr>
      <w:r>
        <w:rPr>
          <w:rFonts w:hint="eastAsia" w:ascii="Times New Roman" w:cs="Times New Roman"/>
          <w:sz w:val="24"/>
          <w:szCs w:val="24"/>
        </w:rPr>
        <w:t>④</w:t>
      </w:r>
      <w:r>
        <w:rPr>
          <w:rFonts w:ascii="Times New Roman" w:cs="Times New Roman"/>
          <w:sz w:val="24"/>
          <w:szCs w:val="24"/>
        </w:rPr>
        <w:t>厂址区内外绿化管理；</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⑤运输道路的管理。</w:t>
      </w:r>
    </w:p>
    <w:p>
      <w:pPr>
        <w:pStyle w:val="85"/>
        <w:spacing w:line="480" w:lineRule="exact"/>
        <w:ind w:firstLine="480"/>
        <w:rPr>
          <w:rFonts w:ascii="Times New Roman" w:hAnsi="Times New Roman" w:cs="Times New Roman"/>
          <w:sz w:val="24"/>
          <w:szCs w:val="24"/>
        </w:rPr>
      </w:pPr>
      <w:r>
        <w:rPr>
          <w:rFonts w:ascii="Times New Roman" w:cs="Times New Roman"/>
          <w:sz w:val="24"/>
          <w:szCs w:val="24"/>
        </w:rPr>
        <w:t>对厂区各类排污口应进行相应的规范，包括：在厂区</w:t>
      </w:r>
      <w:r>
        <w:rPr>
          <w:rFonts w:ascii="Times New Roman" w:hAnsi="Times New Roman" w:cs="Times New Roman"/>
          <w:sz w:val="24"/>
          <w:szCs w:val="24"/>
        </w:rPr>
        <w:t>“</w:t>
      </w:r>
      <w:r>
        <w:rPr>
          <w:rFonts w:ascii="Times New Roman" w:cs="Times New Roman"/>
          <w:sz w:val="24"/>
          <w:szCs w:val="24"/>
        </w:rPr>
        <w:t>三废</w:t>
      </w:r>
      <w:r>
        <w:rPr>
          <w:rFonts w:ascii="Times New Roman" w:hAnsi="Times New Roman" w:cs="Times New Roman"/>
          <w:sz w:val="24"/>
          <w:szCs w:val="24"/>
        </w:rPr>
        <w:t>”</w:t>
      </w:r>
      <w:r>
        <w:rPr>
          <w:rFonts w:ascii="Times New Roman" w:cs="Times New Roman"/>
          <w:sz w:val="24"/>
          <w:szCs w:val="24"/>
        </w:rPr>
        <w:t>及噪声排放点，设置明显标志，标志的设置应执行《环境保护图形标志排放口》（</w:t>
      </w:r>
      <w:r>
        <w:rPr>
          <w:rFonts w:ascii="Times New Roman" w:hAnsi="Times New Roman" w:cs="Times New Roman"/>
          <w:sz w:val="24"/>
          <w:szCs w:val="24"/>
        </w:rPr>
        <w:t>GB15562.1-1995</w:t>
      </w:r>
      <w:r>
        <w:rPr>
          <w:rFonts w:ascii="Times New Roman" w:cs="Times New Roman"/>
          <w:sz w:val="24"/>
          <w:szCs w:val="24"/>
        </w:rPr>
        <w:t>）及《环境保护图形标志固体废物贮存（处置）场》（</w:t>
      </w:r>
      <w:r>
        <w:rPr>
          <w:rFonts w:ascii="Times New Roman" w:hAnsi="Times New Roman" w:cs="Times New Roman"/>
          <w:sz w:val="24"/>
          <w:szCs w:val="24"/>
        </w:rPr>
        <w:t>GB15562.2-1995</w:t>
      </w:r>
      <w:r>
        <w:rPr>
          <w:rFonts w:ascii="Times New Roman" w:cs="Times New Roman"/>
          <w:sz w:val="24"/>
          <w:szCs w:val="24"/>
        </w:rPr>
        <w:t>）中有关规定。排放口图形标志见表</w:t>
      </w:r>
      <w:r>
        <w:rPr>
          <w:rFonts w:ascii="Times New Roman" w:hAnsi="Times New Roman" w:cs="Times New Roman"/>
          <w:sz w:val="24"/>
          <w:szCs w:val="24"/>
        </w:rPr>
        <w:t>9.1-3</w:t>
      </w:r>
      <w:r>
        <w:rPr>
          <w:rFonts w:ascii="Times New Roman" w:cs="Times New Roman"/>
          <w:sz w:val="24"/>
          <w:szCs w:val="24"/>
        </w:rPr>
        <w:t>。</w:t>
      </w:r>
    </w:p>
    <w:p>
      <w:pPr>
        <w:pStyle w:val="12"/>
        <w:spacing w:line="480" w:lineRule="exact"/>
        <w:jc w:val="center"/>
        <w:rPr>
          <w:rFonts w:ascii="黑体" w:hAnsi="黑体" w:eastAsia="黑体"/>
          <w:color w:val="000000"/>
          <w:sz w:val="24"/>
          <w:szCs w:val="24"/>
        </w:rPr>
      </w:pPr>
      <w:r>
        <w:rPr>
          <w:rFonts w:ascii="黑体" w:hAnsi="黑体" w:eastAsia="黑体"/>
          <w:color w:val="000000"/>
          <w:sz w:val="24"/>
          <w:szCs w:val="24"/>
        </w:rPr>
        <w:t xml:space="preserve">表9.1-3 </w:t>
      </w:r>
      <w:r>
        <w:rPr>
          <w:rFonts w:hint="eastAsia" w:ascii="黑体" w:hAnsi="黑体" w:eastAsia="黑体"/>
          <w:color w:val="000000"/>
          <w:sz w:val="24"/>
          <w:szCs w:val="24"/>
        </w:rPr>
        <w:t xml:space="preserve"> </w:t>
      </w:r>
      <w:r>
        <w:rPr>
          <w:rFonts w:ascii="黑体" w:hAnsi="黑体" w:eastAsia="黑体"/>
          <w:color w:val="000000"/>
          <w:sz w:val="24"/>
          <w:szCs w:val="24"/>
        </w:rPr>
        <w:t>排放口图形标志</w:t>
      </w:r>
    </w:p>
    <w:tbl>
      <w:tblPr>
        <w:tblStyle w:val="3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58"/>
        <w:gridCol w:w="1930"/>
        <w:gridCol w:w="1923"/>
        <w:gridCol w:w="1923"/>
        <w:gridCol w:w="18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5" w:type="pct"/>
            <w:tcBorders>
              <w:tl2br w:val="nil"/>
              <w:tr2bl w:val="nil"/>
            </w:tcBorders>
            <w:vAlign w:val="center"/>
          </w:tcPr>
          <w:p>
            <w:pPr>
              <w:pStyle w:val="8"/>
              <w:adjustRightInd w:val="0"/>
              <w:snapToGrid w:val="0"/>
              <w:spacing w:after="0"/>
              <w:jc w:val="center"/>
              <w:rPr>
                <w:color w:val="000000"/>
              </w:rPr>
            </w:pPr>
            <w:r>
              <w:rPr>
                <w:color w:val="000000"/>
              </w:rPr>
              <w:t>排放口</w:t>
            </w:r>
          </w:p>
        </w:tc>
        <w:tc>
          <w:tcPr>
            <w:tcW w:w="1065" w:type="pct"/>
            <w:tcBorders>
              <w:tl2br w:val="nil"/>
              <w:tr2bl w:val="nil"/>
            </w:tcBorders>
            <w:vAlign w:val="center"/>
          </w:tcPr>
          <w:p>
            <w:pPr>
              <w:pStyle w:val="8"/>
              <w:adjustRightInd w:val="0"/>
              <w:snapToGrid w:val="0"/>
              <w:spacing w:after="0"/>
              <w:jc w:val="center"/>
              <w:rPr>
                <w:color w:val="000000"/>
              </w:rPr>
            </w:pPr>
            <w:r>
              <w:rPr>
                <w:color w:val="000000"/>
              </w:rPr>
              <w:t>废水排放口</w:t>
            </w:r>
          </w:p>
        </w:tc>
        <w:tc>
          <w:tcPr>
            <w:tcW w:w="1061" w:type="pct"/>
            <w:tcBorders>
              <w:tl2br w:val="nil"/>
              <w:tr2bl w:val="nil"/>
            </w:tcBorders>
            <w:vAlign w:val="center"/>
          </w:tcPr>
          <w:p>
            <w:pPr>
              <w:pStyle w:val="8"/>
              <w:adjustRightInd w:val="0"/>
              <w:snapToGrid w:val="0"/>
              <w:spacing w:after="0"/>
              <w:jc w:val="center"/>
              <w:rPr>
                <w:color w:val="000000"/>
              </w:rPr>
            </w:pPr>
            <w:r>
              <w:rPr>
                <w:color w:val="000000"/>
              </w:rPr>
              <w:t>噪声源</w:t>
            </w:r>
          </w:p>
        </w:tc>
        <w:tc>
          <w:tcPr>
            <w:tcW w:w="1061" w:type="pct"/>
            <w:tcBorders>
              <w:tl2br w:val="nil"/>
              <w:tr2bl w:val="nil"/>
            </w:tcBorders>
            <w:vAlign w:val="center"/>
          </w:tcPr>
          <w:p>
            <w:pPr>
              <w:pStyle w:val="8"/>
              <w:adjustRightInd w:val="0"/>
              <w:snapToGrid w:val="0"/>
              <w:spacing w:after="0"/>
              <w:jc w:val="center"/>
              <w:rPr>
                <w:color w:val="000000"/>
              </w:rPr>
            </w:pPr>
            <w:r>
              <w:rPr>
                <w:color w:val="000000"/>
              </w:rPr>
              <w:t>废气排放口</w:t>
            </w:r>
          </w:p>
        </w:tc>
        <w:tc>
          <w:tcPr>
            <w:tcW w:w="1008" w:type="pct"/>
            <w:tcBorders>
              <w:tl2br w:val="nil"/>
              <w:tr2bl w:val="nil"/>
            </w:tcBorders>
            <w:vAlign w:val="center"/>
          </w:tcPr>
          <w:p>
            <w:pPr>
              <w:pStyle w:val="8"/>
              <w:adjustRightInd w:val="0"/>
              <w:snapToGrid w:val="0"/>
              <w:spacing w:after="0"/>
              <w:jc w:val="center"/>
              <w:rPr>
                <w:color w:val="000000"/>
              </w:rPr>
            </w:pPr>
            <w:r>
              <w:rPr>
                <w:color w:val="000000"/>
              </w:rPr>
              <w:t>固体废物</w:t>
            </w:r>
          </w:p>
          <w:p>
            <w:pPr>
              <w:pStyle w:val="8"/>
              <w:adjustRightInd w:val="0"/>
              <w:snapToGrid w:val="0"/>
              <w:spacing w:after="0"/>
              <w:jc w:val="center"/>
              <w:rPr>
                <w:color w:val="000000"/>
              </w:rPr>
            </w:pPr>
            <w:r>
              <w:rPr>
                <w:color w:val="000000"/>
              </w:rPr>
              <w:t>堆放场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5" w:type="pct"/>
            <w:tcBorders>
              <w:tl2br w:val="nil"/>
              <w:tr2bl w:val="nil"/>
            </w:tcBorders>
            <w:vAlign w:val="center"/>
          </w:tcPr>
          <w:p>
            <w:pPr>
              <w:pStyle w:val="8"/>
              <w:adjustRightInd w:val="0"/>
              <w:snapToGrid w:val="0"/>
              <w:spacing w:after="0"/>
              <w:jc w:val="center"/>
              <w:rPr>
                <w:color w:val="000000"/>
              </w:rPr>
            </w:pPr>
            <w:r>
              <w:rPr>
                <w:color w:val="000000"/>
              </w:rPr>
              <w:t>图形</w:t>
            </w:r>
          </w:p>
          <w:p>
            <w:pPr>
              <w:pStyle w:val="8"/>
              <w:adjustRightInd w:val="0"/>
              <w:snapToGrid w:val="0"/>
              <w:spacing w:after="0"/>
              <w:jc w:val="center"/>
              <w:rPr>
                <w:color w:val="000000"/>
                <w:sz w:val="24"/>
              </w:rPr>
            </w:pPr>
            <w:r>
              <w:rPr>
                <w:color w:val="000000"/>
              </w:rPr>
              <w:t>符号</w:t>
            </w:r>
          </w:p>
        </w:tc>
        <w:tc>
          <w:tcPr>
            <w:tcW w:w="1065" w:type="pct"/>
            <w:tcBorders>
              <w:tl2br w:val="nil"/>
              <w:tr2bl w:val="nil"/>
            </w:tcBorders>
            <w:vAlign w:val="center"/>
          </w:tcPr>
          <w:p>
            <w:pPr>
              <w:pStyle w:val="8"/>
              <w:adjustRightInd w:val="0"/>
              <w:snapToGrid w:val="0"/>
              <w:spacing w:after="0"/>
              <w:jc w:val="center"/>
              <w:rPr>
                <w:color w:val="000000"/>
                <w:sz w:val="24"/>
              </w:rPr>
            </w:pPr>
            <w:r>
              <w:rPr>
                <w:color w:val="000000"/>
              </w:rPr>
              <w:drawing>
                <wp:anchor distT="0" distB="0" distL="114300" distR="114300" simplePos="0" relativeHeight="251659264" behindDoc="1" locked="0" layoutInCell="1" allowOverlap="1">
                  <wp:simplePos x="0" y="0"/>
                  <wp:positionH relativeFrom="column">
                    <wp:posOffset>19685</wp:posOffset>
                  </wp:positionH>
                  <wp:positionV relativeFrom="paragraph">
                    <wp:posOffset>51435</wp:posOffset>
                  </wp:positionV>
                  <wp:extent cx="4619625" cy="942975"/>
                  <wp:effectExtent l="19050" t="0" r="9525" b="0"/>
                  <wp:wrapNone/>
                  <wp:docPr id="487" name="图片 20054" descr="20071070041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20054" descr="2007107004120_2"/>
                          <pic:cNvPicPr>
                            <a:picLocks noChangeAspect="1" noChangeArrowheads="1"/>
                          </pic:cNvPicPr>
                        </pic:nvPicPr>
                        <pic:blipFill>
                          <a:blip r:embed="rId45" cstate="print"/>
                          <a:srcRect t="71022"/>
                          <a:stretch>
                            <a:fillRect/>
                          </a:stretch>
                        </pic:blipFill>
                        <pic:spPr>
                          <a:xfrm>
                            <a:off x="0" y="0"/>
                            <a:ext cx="4619625" cy="942975"/>
                          </a:xfrm>
                          <a:prstGeom prst="rect">
                            <a:avLst/>
                          </a:prstGeom>
                          <a:noFill/>
                          <a:ln w="9525" cmpd="sng">
                            <a:noFill/>
                            <a:miter lim="800000"/>
                            <a:headEnd/>
                            <a:tailEnd/>
                          </a:ln>
                          <a:effectLst/>
                        </pic:spPr>
                      </pic:pic>
                    </a:graphicData>
                  </a:graphic>
                </wp:anchor>
              </w:drawing>
            </w:r>
          </w:p>
          <w:p>
            <w:pPr>
              <w:pStyle w:val="8"/>
              <w:adjustRightInd w:val="0"/>
              <w:snapToGrid w:val="0"/>
              <w:spacing w:after="0"/>
              <w:jc w:val="center"/>
              <w:rPr>
                <w:color w:val="000000"/>
                <w:sz w:val="24"/>
              </w:rPr>
            </w:pPr>
          </w:p>
          <w:p>
            <w:pPr>
              <w:pStyle w:val="8"/>
              <w:adjustRightInd w:val="0"/>
              <w:snapToGrid w:val="0"/>
              <w:spacing w:after="0"/>
              <w:jc w:val="center"/>
              <w:rPr>
                <w:color w:val="000000"/>
                <w:sz w:val="24"/>
              </w:rPr>
            </w:pPr>
          </w:p>
          <w:p>
            <w:pPr>
              <w:pStyle w:val="8"/>
              <w:adjustRightInd w:val="0"/>
              <w:snapToGrid w:val="0"/>
              <w:spacing w:after="0"/>
              <w:jc w:val="center"/>
              <w:rPr>
                <w:color w:val="000000"/>
                <w:sz w:val="24"/>
              </w:rPr>
            </w:pPr>
          </w:p>
          <w:p>
            <w:pPr>
              <w:pStyle w:val="8"/>
              <w:adjustRightInd w:val="0"/>
              <w:snapToGrid w:val="0"/>
              <w:spacing w:after="0"/>
              <w:jc w:val="center"/>
              <w:rPr>
                <w:color w:val="000000"/>
                <w:sz w:val="24"/>
              </w:rPr>
            </w:pPr>
          </w:p>
          <w:p>
            <w:pPr>
              <w:pStyle w:val="8"/>
              <w:adjustRightInd w:val="0"/>
              <w:snapToGrid w:val="0"/>
              <w:spacing w:after="0"/>
              <w:jc w:val="center"/>
              <w:rPr>
                <w:color w:val="000000"/>
                <w:sz w:val="24"/>
              </w:rPr>
            </w:pPr>
          </w:p>
        </w:tc>
        <w:tc>
          <w:tcPr>
            <w:tcW w:w="1061" w:type="pct"/>
            <w:tcBorders>
              <w:tl2br w:val="nil"/>
              <w:tr2bl w:val="nil"/>
            </w:tcBorders>
            <w:vAlign w:val="center"/>
          </w:tcPr>
          <w:p>
            <w:pPr>
              <w:pStyle w:val="8"/>
              <w:adjustRightInd w:val="0"/>
              <w:snapToGrid w:val="0"/>
              <w:spacing w:after="0"/>
              <w:jc w:val="center"/>
              <w:rPr>
                <w:color w:val="000000"/>
                <w:sz w:val="24"/>
              </w:rPr>
            </w:pPr>
          </w:p>
        </w:tc>
        <w:tc>
          <w:tcPr>
            <w:tcW w:w="1061" w:type="pct"/>
            <w:tcBorders>
              <w:tl2br w:val="nil"/>
              <w:tr2bl w:val="nil"/>
            </w:tcBorders>
            <w:vAlign w:val="center"/>
          </w:tcPr>
          <w:p>
            <w:pPr>
              <w:pStyle w:val="8"/>
              <w:adjustRightInd w:val="0"/>
              <w:snapToGrid w:val="0"/>
              <w:spacing w:after="0"/>
              <w:jc w:val="center"/>
              <w:rPr>
                <w:color w:val="000000"/>
                <w:sz w:val="24"/>
              </w:rPr>
            </w:pPr>
          </w:p>
        </w:tc>
        <w:tc>
          <w:tcPr>
            <w:tcW w:w="1008" w:type="pct"/>
            <w:tcBorders>
              <w:tl2br w:val="nil"/>
              <w:tr2bl w:val="nil"/>
            </w:tcBorders>
            <w:vAlign w:val="center"/>
          </w:tcPr>
          <w:p>
            <w:pPr>
              <w:pStyle w:val="8"/>
              <w:adjustRightInd w:val="0"/>
              <w:snapToGrid w:val="0"/>
              <w:spacing w:after="0"/>
              <w:jc w:val="center"/>
              <w:rPr>
                <w:color w:val="000000"/>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5" w:type="pct"/>
            <w:tcBorders>
              <w:tl2br w:val="nil"/>
              <w:tr2bl w:val="nil"/>
            </w:tcBorders>
            <w:vAlign w:val="center"/>
          </w:tcPr>
          <w:p>
            <w:pPr>
              <w:pStyle w:val="8"/>
              <w:adjustRightInd w:val="0"/>
              <w:snapToGrid w:val="0"/>
              <w:spacing w:after="0"/>
              <w:jc w:val="center"/>
              <w:rPr>
                <w:color w:val="000000"/>
              </w:rPr>
            </w:pPr>
            <w:r>
              <w:rPr>
                <w:color w:val="000000"/>
              </w:rPr>
              <w:t>背景颜色</w:t>
            </w:r>
          </w:p>
        </w:tc>
        <w:tc>
          <w:tcPr>
            <w:tcW w:w="4195" w:type="pct"/>
            <w:gridSpan w:val="4"/>
            <w:tcBorders>
              <w:tl2br w:val="nil"/>
              <w:tr2bl w:val="nil"/>
            </w:tcBorders>
            <w:vAlign w:val="center"/>
          </w:tcPr>
          <w:p>
            <w:pPr>
              <w:pStyle w:val="8"/>
              <w:adjustRightInd w:val="0"/>
              <w:snapToGrid w:val="0"/>
              <w:spacing w:after="0"/>
              <w:jc w:val="center"/>
              <w:rPr>
                <w:color w:val="000000"/>
              </w:rPr>
            </w:pPr>
            <w:r>
              <w:rPr>
                <w:color w:val="000000"/>
              </w:rPr>
              <w:t>绿色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5" w:type="pct"/>
            <w:tcBorders>
              <w:tl2br w:val="nil"/>
              <w:tr2bl w:val="nil"/>
            </w:tcBorders>
            <w:vAlign w:val="center"/>
          </w:tcPr>
          <w:p>
            <w:pPr>
              <w:pStyle w:val="8"/>
              <w:adjustRightInd w:val="0"/>
              <w:snapToGrid w:val="0"/>
              <w:spacing w:after="0"/>
              <w:jc w:val="center"/>
              <w:rPr>
                <w:color w:val="000000"/>
              </w:rPr>
            </w:pPr>
            <w:r>
              <w:rPr>
                <w:color w:val="000000"/>
              </w:rPr>
              <w:t>图形颜色</w:t>
            </w:r>
          </w:p>
        </w:tc>
        <w:tc>
          <w:tcPr>
            <w:tcW w:w="4195" w:type="pct"/>
            <w:gridSpan w:val="4"/>
            <w:tcBorders>
              <w:tl2br w:val="nil"/>
              <w:tr2bl w:val="nil"/>
            </w:tcBorders>
            <w:vAlign w:val="center"/>
          </w:tcPr>
          <w:p>
            <w:pPr>
              <w:pStyle w:val="8"/>
              <w:adjustRightInd w:val="0"/>
              <w:snapToGrid w:val="0"/>
              <w:spacing w:after="0"/>
              <w:jc w:val="center"/>
              <w:rPr>
                <w:color w:val="000000"/>
              </w:rPr>
            </w:pPr>
            <w:r>
              <w:rPr>
                <w:color w:val="000000"/>
              </w:rPr>
              <w:t>白色</w:t>
            </w:r>
          </w:p>
        </w:tc>
      </w:tr>
    </w:tbl>
    <w:p>
      <w:pPr>
        <w:pStyle w:val="2"/>
        <w:spacing w:before="156" w:beforeLines="50" w:after="0" w:line="480" w:lineRule="exact"/>
        <w:rPr>
          <w:rFonts w:ascii="Times New Roman" w:hAnsi="Times New Roman"/>
          <w:bCs w:val="0"/>
          <w:spacing w:val="4"/>
          <w:sz w:val="28"/>
          <w:szCs w:val="28"/>
        </w:rPr>
      </w:pPr>
      <w:bookmarkStart w:id="146" w:name="_Toc19105486"/>
      <w:r>
        <w:rPr>
          <w:rFonts w:hint="eastAsia" w:ascii="Times New Roman" w:hAnsi="Times New Roman"/>
          <w:bCs w:val="0"/>
          <w:spacing w:val="4"/>
          <w:sz w:val="28"/>
          <w:szCs w:val="28"/>
        </w:rPr>
        <w:t>9.2</w:t>
      </w:r>
      <w:r>
        <w:rPr>
          <w:rFonts w:hint="eastAsia"/>
          <w:sz w:val="28"/>
          <w:szCs w:val="28"/>
        </w:rPr>
        <w:t>环境监测计划</w:t>
      </w:r>
      <w:bookmarkEnd w:id="146"/>
    </w:p>
    <w:p>
      <w:pPr>
        <w:pStyle w:val="85"/>
        <w:spacing w:line="480" w:lineRule="exact"/>
        <w:ind w:firstLine="496"/>
        <w:rPr>
          <w:rFonts w:ascii="Times New Roman" w:hAnsi="Times New Roman" w:cs="Times New Roman"/>
          <w:sz w:val="24"/>
          <w:szCs w:val="24"/>
        </w:rPr>
      </w:pPr>
      <w:r>
        <w:rPr>
          <w:rFonts w:ascii="Times New Roman" w:hAnsi="Times New Roman" w:cs="Times New Roman"/>
          <w:spacing w:val="4"/>
          <w:sz w:val="24"/>
          <w:szCs w:val="24"/>
        </w:rPr>
        <w:t>环境监测是环境管理的依据和基础，它为环境评价和管理提供科学依据，并据此制定污染防治对策和规划。根据本建设项目的隶属、性质、生产规模，生产中污染物排放的实际情况和企业的发展规划，需监测时可委托具有环境监测资质的单位监测。</w:t>
      </w:r>
    </w:p>
    <w:p>
      <w:pPr>
        <w:pStyle w:val="85"/>
        <w:spacing w:line="480" w:lineRule="exact"/>
        <w:ind w:firstLine="496"/>
        <w:rPr>
          <w:rFonts w:ascii="Times New Roman" w:hAnsi="Times New Roman" w:cs="Times New Roman"/>
          <w:spacing w:val="4"/>
          <w:sz w:val="24"/>
          <w:szCs w:val="24"/>
        </w:rPr>
      </w:pPr>
      <w:r>
        <w:rPr>
          <w:rFonts w:ascii="Times New Roman" w:hAnsi="Times New Roman" w:cs="Times New Roman"/>
          <w:spacing w:val="4"/>
          <w:sz w:val="24"/>
          <w:szCs w:val="24"/>
        </w:rPr>
        <w:t>环境监测计划的制定依据工程内容和企业实际情况，制定相应切实可行的方案。重点监测本企业污染源的污染物排放状况以及附近关心点、敏感点的污染物浓度状况。</w:t>
      </w:r>
    </w:p>
    <w:p>
      <w:pPr>
        <w:pStyle w:val="85"/>
        <w:spacing w:line="480" w:lineRule="exact"/>
        <w:ind w:firstLine="496"/>
        <w:rPr>
          <w:rFonts w:ascii="Times New Roman" w:hAnsi="Times New Roman" w:cs="Times New Roman"/>
          <w:spacing w:val="4"/>
          <w:sz w:val="24"/>
          <w:szCs w:val="24"/>
        </w:rPr>
      </w:pPr>
      <w:bookmarkStart w:id="147" w:name="_Hlk9002710"/>
      <w:r>
        <w:rPr>
          <w:rFonts w:hint="eastAsia" w:ascii="Times New Roman" w:hAnsi="Times New Roman" w:cs="Times New Roman"/>
          <w:spacing w:val="4"/>
          <w:sz w:val="24"/>
          <w:szCs w:val="24"/>
        </w:rPr>
        <w:t>本项目运营期环境监测计划见下表。</w:t>
      </w:r>
      <w:bookmarkEnd w:id="147"/>
    </w:p>
    <w:p>
      <w:pPr>
        <w:spacing w:line="480" w:lineRule="exact"/>
        <w:jc w:val="center"/>
        <w:rPr>
          <w:rFonts w:ascii="黑体" w:hAnsi="黑体" w:eastAsia="黑体"/>
          <w:kern w:val="0"/>
          <w:sz w:val="24"/>
        </w:rPr>
      </w:pPr>
      <w:bookmarkStart w:id="148" w:name="_Hlk9002717"/>
      <w:r>
        <w:rPr>
          <w:rFonts w:hint="eastAsia" w:ascii="黑体" w:hAnsi="黑体" w:eastAsia="黑体"/>
          <w:kern w:val="0"/>
          <w:sz w:val="24"/>
        </w:rPr>
        <w:t>表</w:t>
      </w:r>
      <w:r>
        <w:rPr>
          <w:rFonts w:hint="eastAsia" w:ascii="黑体" w:hAnsi="黑体" w:eastAsia="黑体"/>
          <w:bCs/>
          <w:kern w:val="0"/>
          <w:sz w:val="24"/>
        </w:rPr>
        <w:t>9.2-1</w:t>
      </w:r>
      <w:r>
        <w:rPr>
          <w:rFonts w:hint="eastAsia" w:ascii="黑体" w:hAnsi="黑体" w:eastAsia="黑体"/>
          <w:kern w:val="0"/>
          <w:sz w:val="24"/>
        </w:rPr>
        <w:t xml:space="preserve">  运营期有组织废气监测计划</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64"/>
        <w:gridCol w:w="1723"/>
        <w:gridCol w:w="1435"/>
        <w:gridCol w:w="36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noWrap/>
            <w:vAlign w:val="center"/>
          </w:tcPr>
          <w:p>
            <w:pPr>
              <w:widowControl/>
              <w:jc w:val="center"/>
              <w:rPr>
                <w:b/>
                <w:kern w:val="0"/>
                <w:szCs w:val="21"/>
              </w:rPr>
            </w:pPr>
            <w:r>
              <w:rPr>
                <w:b/>
                <w:kern w:val="0"/>
                <w:szCs w:val="21"/>
              </w:rPr>
              <w:t>监测点位</w:t>
            </w:r>
          </w:p>
        </w:tc>
        <w:tc>
          <w:tcPr>
            <w:tcW w:w="951" w:type="pct"/>
            <w:noWrap/>
            <w:vAlign w:val="center"/>
          </w:tcPr>
          <w:p>
            <w:pPr>
              <w:widowControl/>
              <w:jc w:val="center"/>
              <w:rPr>
                <w:b/>
                <w:kern w:val="0"/>
                <w:szCs w:val="21"/>
              </w:rPr>
            </w:pPr>
            <w:r>
              <w:rPr>
                <w:b/>
                <w:kern w:val="0"/>
                <w:szCs w:val="21"/>
              </w:rPr>
              <w:t>监测指标</w:t>
            </w:r>
          </w:p>
        </w:tc>
        <w:tc>
          <w:tcPr>
            <w:tcW w:w="792" w:type="pct"/>
            <w:noWrap/>
            <w:vAlign w:val="center"/>
          </w:tcPr>
          <w:p>
            <w:pPr>
              <w:widowControl/>
              <w:jc w:val="center"/>
              <w:rPr>
                <w:b/>
                <w:kern w:val="0"/>
                <w:szCs w:val="21"/>
              </w:rPr>
            </w:pPr>
            <w:r>
              <w:rPr>
                <w:b/>
                <w:kern w:val="0"/>
                <w:szCs w:val="21"/>
              </w:rPr>
              <w:t>监测频次</w:t>
            </w:r>
          </w:p>
        </w:tc>
        <w:tc>
          <w:tcPr>
            <w:tcW w:w="2008" w:type="pct"/>
            <w:noWrap/>
            <w:vAlign w:val="center"/>
          </w:tcPr>
          <w:p>
            <w:pPr>
              <w:widowControl/>
              <w:jc w:val="center"/>
              <w:rPr>
                <w:b/>
                <w:kern w:val="0"/>
                <w:szCs w:val="21"/>
              </w:rPr>
            </w:pPr>
            <w:r>
              <w:rPr>
                <w:b/>
                <w:kern w:val="0"/>
                <w:szCs w:val="21"/>
              </w:rPr>
              <w:t>执行排放标准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Merge w:val="restart"/>
            <w:tcBorders>
              <w:top w:val="single" w:color="auto" w:sz="4" w:space="0"/>
            </w:tcBorders>
            <w:noWrap/>
            <w:vAlign w:val="center"/>
          </w:tcPr>
          <w:p>
            <w:pPr>
              <w:widowControl/>
              <w:jc w:val="center"/>
              <w:rPr>
                <w:bCs/>
                <w:kern w:val="0"/>
                <w:szCs w:val="21"/>
              </w:rPr>
            </w:pPr>
            <w:r>
              <w:rPr>
                <w:rFonts w:hint="eastAsia"/>
                <w:bCs/>
                <w:kern w:val="0"/>
                <w:szCs w:val="21"/>
              </w:rPr>
              <w:t>燃气锅炉</w:t>
            </w:r>
            <w:r>
              <w:rPr>
                <w:bCs/>
                <w:kern w:val="0"/>
                <w:szCs w:val="21"/>
              </w:rPr>
              <w:t>排气筒出口</w:t>
            </w:r>
          </w:p>
        </w:tc>
        <w:tc>
          <w:tcPr>
            <w:tcW w:w="951" w:type="pct"/>
            <w:tcBorders>
              <w:top w:val="single" w:color="auto" w:sz="4" w:space="0"/>
              <w:bottom w:val="single" w:color="auto" w:sz="4" w:space="0"/>
            </w:tcBorders>
            <w:noWrap/>
            <w:vAlign w:val="center"/>
          </w:tcPr>
          <w:p>
            <w:pPr>
              <w:widowControl/>
              <w:jc w:val="center"/>
              <w:rPr>
                <w:bCs/>
                <w:kern w:val="0"/>
                <w:szCs w:val="21"/>
              </w:rPr>
            </w:pPr>
            <w:r>
              <w:rPr>
                <w:bCs/>
                <w:kern w:val="0"/>
                <w:szCs w:val="21"/>
              </w:rPr>
              <w:t>烟尘</w:t>
            </w:r>
          </w:p>
        </w:tc>
        <w:tc>
          <w:tcPr>
            <w:tcW w:w="792" w:type="pct"/>
            <w:noWrap/>
            <w:vAlign w:val="center"/>
          </w:tcPr>
          <w:p>
            <w:pPr>
              <w:widowControl/>
              <w:jc w:val="center"/>
              <w:rPr>
                <w:bCs/>
                <w:kern w:val="0"/>
                <w:szCs w:val="21"/>
              </w:rPr>
            </w:pPr>
            <w:r>
              <w:rPr>
                <w:bCs/>
                <w:kern w:val="0"/>
                <w:szCs w:val="21"/>
              </w:rPr>
              <w:t>每年1次</w:t>
            </w:r>
          </w:p>
        </w:tc>
        <w:tc>
          <w:tcPr>
            <w:tcW w:w="2008" w:type="pct"/>
            <w:vMerge w:val="restart"/>
            <w:noWrap/>
            <w:vAlign w:val="center"/>
          </w:tcPr>
          <w:p>
            <w:pPr>
              <w:widowControl/>
              <w:jc w:val="center"/>
              <w:rPr>
                <w:bCs/>
                <w:kern w:val="0"/>
                <w:szCs w:val="21"/>
              </w:rPr>
            </w:pPr>
            <w:r>
              <w:rPr>
                <w:bCs/>
                <w:kern w:val="0"/>
                <w:szCs w:val="21"/>
              </w:rPr>
              <w:t>《锅炉大气污染物排放标准》(GB</w:t>
            </w:r>
            <w:r>
              <w:t xml:space="preserve"> </w:t>
            </w:r>
            <w:r>
              <w:rPr>
                <w:bCs/>
                <w:kern w:val="0"/>
                <w:szCs w:val="21"/>
              </w:rPr>
              <w:t>GB13271-2014)</w:t>
            </w:r>
            <w:r>
              <w:t>表3中燃气锅炉大气污染物特别排放限值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Merge w:val="continue"/>
            <w:noWrap/>
            <w:vAlign w:val="center"/>
          </w:tcPr>
          <w:p>
            <w:pPr>
              <w:widowControl/>
              <w:jc w:val="center"/>
              <w:rPr>
                <w:bCs/>
                <w:kern w:val="0"/>
                <w:szCs w:val="21"/>
              </w:rPr>
            </w:pPr>
          </w:p>
        </w:tc>
        <w:tc>
          <w:tcPr>
            <w:tcW w:w="951" w:type="pct"/>
            <w:tcBorders>
              <w:top w:val="single" w:color="auto" w:sz="4" w:space="0"/>
              <w:bottom w:val="single" w:color="auto" w:sz="4" w:space="0"/>
            </w:tcBorders>
            <w:noWrap/>
            <w:vAlign w:val="center"/>
          </w:tcPr>
          <w:p>
            <w:pPr>
              <w:widowControl/>
              <w:jc w:val="center"/>
              <w:rPr>
                <w:bCs/>
                <w:kern w:val="0"/>
                <w:szCs w:val="21"/>
              </w:rPr>
            </w:pPr>
            <w:r>
              <w:rPr>
                <w:bCs/>
                <w:kern w:val="0"/>
                <w:szCs w:val="21"/>
              </w:rPr>
              <w:t>氮氧化物</w:t>
            </w:r>
          </w:p>
        </w:tc>
        <w:tc>
          <w:tcPr>
            <w:tcW w:w="792" w:type="pct"/>
            <w:noWrap/>
            <w:vAlign w:val="center"/>
          </w:tcPr>
          <w:p>
            <w:pPr>
              <w:widowControl/>
              <w:jc w:val="center"/>
              <w:rPr>
                <w:bCs/>
                <w:kern w:val="0"/>
                <w:szCs w:val="21"/>
              </w:rPr>
            </w:pPr>
            <w:r>
              <w:rPr>
                <w:bCs/>
                <w:kern w:val="0"/>
                <w:szCs w:val="21"/>
              </w:rPr>
              <w:t>每月1次</w:t>
            </w:r>
          </w:p>
        </w:tc>
        <w:tc>
          <w:tcPr>
            <w:tcW w:w="2008" w:type="pct"/>
            <w:vMerge w:val="continue"/>
            <w:noWrap/>
            <w:vAlign w:val="center"/>
          </w:tcPr>
          <w:p>
            <w:pPr>
              <w:widowControl/>
              <w:jc w:val="center"/>
              <w:rPr>
                <w:bCs/>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noWrap/>
            <w:vAlign w:val="center"/>
          </w:tcPr>
          <w:p>
            <w:pPr>
              <w:widowControl/>
              <w:jc w:val="center"/>
              <w:rPr>
                <w:bCs/>
                <w:kern w:val="0"/>
                <w:szCs w:val="21"/>
              </w:rPr>
            </w:pPr>
            <w:r>
              <w:rPr>
                <w:rFonts w:hint="eastAsia"/>
                <w:bCs/>
                <w:kern w:val="0"/>
                <w:szCs w:val="21"/>
              </w:rPr>
              <w:t>发酵罐废气排气筒出口</w:t>
            </w:r>
          </w:p>
        </w:tc>
        <w:tc>
          <w:tcPr>
            <w:tcW w:w="951" w:type="pct"/>
            <w:tcBorders>
              <w:top w:val="single" w:color="auto" w:sz="4" w:space="0"/>
            </w:tcBorders>
            <w:noWrap/>
            <w:vAlign w:val="center"/>
          </w:tcPr>
          <w:p>
            <w:pPr>
              <w:widowControl/>
              <w:jc w:val="center"/>
              <w:rPr>
                <w:bCs/>
                <w:kern w:val="0"/>
                <w:szCs w:val="21"/>
              </w:rPr>
            </w:pPr>
            <w:r>
              <w:rPr>
                <w:rFonts w:hint="eastAsia"/>
                <w:bCs/>
                <w:kern w:val="0"/>
                <w:szCs w:val="21"/>
              </w:rPr>
              <w:t>NH</w:t>
            </w:r>
            <w:r>
              <w:rPr>
                <w:rFonts w:hint="eastAsia"/>
                <w:bCs/>
                <w:kern w:val="0"/>
                <w:szCs w:val="21"/>
                <w:vertAlign w:val="subscript"/>
              </w:rPr>
              <w:t>3</w:t>
            </w:r>
            <w:r>
              <w:rPr>
                <w:rFonts w:hint="eastAsia"/>
                <w:bCs/>
                <w:kern w:val="0"/>
                <w:szCs w:val="21"/>
              </w:rPr>
              <w:t>、</w:t>
            </w:r>
            <w:r>
              <w:rPr>
                <w:rFonts w:hint="eastAsia"/>
                <w:kern w:val="0"/>
                <w:szCs w:val="21"/>
              </w:rPr>
              <w:t>H</w:t>
            </w:r>
            <w:r>
              <w:rPr>
                <w:rFonts w:hint="eastAsia"/>
                <w:kern w:val="0"/>
                <w:szCs w:val="21"/>
                <w:vertAlign w:val="subscript"/>
              </w:rPr>
              <w:t>2</w:t>
            </w:r>
            <w:r>
              <w:rPr>
                <w:rFonts w:hint="eastAsia"/>
                <w:kern w:val="0"/>
                <w:szCs w:val="21"/>
              </w:rPr>
              <w:t>S、臭气浓度</w:t>
            </w:r>
          </w:p>
        </w:tc>
        <w:tc>
          <w:tcPr>
            <w:tcW w:w="792" w:type="pct"/>
            <w:noWrap/>
            <w:vAlign w:val="center"/>
          </w:tcPr>
          <w:p>
            <w:pPr>
              <w:widowControl/>
              <w:jc w:val="center"/>
              <w:rPr>
                <w:bCs/>
                <w:kern w:val="0"/>
                <w:szCs w:val="21"/>
              </w:rPr>
            </w:pPr>
            <w:r>
              <w:rPr>
                <w:bCs/>
                <w:kern w:val="0"/>
                <w:szCs w:val="21"/>
              </w:rPr>
              <w:t>每年1次</w:t>
            </w:r>
          </w:p>
        </w:tc>
        <w:tc>
          <w:tcPr>
            <w:tcW w:w="2008" w:type="pct"/>
            <w:noWrap/>
            <w:vAlign w:val="center"/>
          </w:tcPr>
          <w:p>
            <w:pPr>
              <w:widowControl/>
              <w:jc w:val="center"/>
              <w:rPr>
                <w:szCs w:val="21"/>
              </w:rPr>
            </w:pPr>
            <w:r>
              <w:rPr>
                <w:rFonts w:hint="eastAsia"/>
                <w:szCs w:val="21"/>
              </w:rPr>
              <w:t>H</w:t>
            </w:r>
            <w:r>
              <w:rPr>
                <w:rFonts w:hint="eastAsia"/>
                <w:szCs w:val="21"/>
                <w:vertAlign w:val="subscript"/>
              </w:rPr>
              <w:t>3</w:t>
            </w:r>
            <w:r>
              <w:rPr>
                <w:rFonts w:hint="eastAsia"/>
                <w:szCs w:val="21"/>
              </w:rPr>
              <w:t>、</w:t>
            </w:r>
            <w:r>
              <w:rPr>
                <w:szCs w:val="21"/>
              </w:rPr>
              <w:t>H</w:t>
            </w:r>
            <w:r>
              <w:rPr>
                <w:szCs w:val="21"/>
                <w:vertAlign w:val="subscript"/>
              </w:rPr>
              <w:t>2</w:t>
            </w:r>
            <w:r>
              <w:rPr>
                <w:szCs w:val="21"/>
              </w:rPr>
              <w:t>S排放执行《恶臭污染物排放标准》（GB14554-1993）中二级标准及恶臭污染物厂界排放标准限值</w:t>
            </w:r>
          </w:p>
          <w:p>
            <w:pPr>
              <w:widowControl/>
              <w:jc w:val="center"/>
              <w:rPr>
                <w:bCs/>
                <w:kern w:val="0"/>
                <w:szCs w:val="21"/>
              </w:rPr>
            </w:pPr>
            <w:r>
              <w:rPr>
                <w:rFonts w:hint="eastAsia"/>
                <w:kern w:val="0"/>
                <w:szCs w:val="21"/>
              </w:rPr>
              <w:t>臭气浓度排放执行</w:t>
            </w:r>
            <w:r>
              <w:rPr>
                <w:rFonts w:hint="eastAsia"/>
                <w:bCs/>
                <w:kern w:val="0"/>
                <w:szCs w:val="21"/>
              </w:rPr>
              <w:t>《畜禽养殖业污染物排放标准》（GB18596-2001）表7中标准限值</w:t>
            </w:r>
          </w:p>
        </w:tc>
      </w:tr>
    </w:tbl>
    <w:p>
      <w:pPr>
        <w:spacing w:line="480" w:lineRule="exact"/>
        <w:jc w:val="center"/>
        <w:rPr>
          <w:rFonts w:ascii="黑体" w:hAnsi="黑体" w:eastAsia="黑体"/>
          <w:kern w:val="0"/>
          <w:sz w:val="24"/>
        </w:rPr>
      </w:pPr>
      <w:r>
        <w:rPr>
          <w:rFonts w:hint="eastAsia" w:ascii="黑体" w:hAnsi="黑体" w:eastAsia="黑体"/>
          <w:kern w:val="0"/>
          <w:sz w:val="24"/>
        </w:rPr>
        <w:t>表</w:t>
      </w:r>
      <w:r>
        <w:rPr>
          <w:bCs/>
          <w:sz w:val="24"/>
        </w:rPr>
        <w:t xml:space="preserve">9.2-2 </w:t>
      </w:r>
      <w:r>
        <w:rPr>
          <w:rFonts w:hint="eastAsia" w:ascii="黑体" w:hAnsi="黑体" w:eastAsia="黑体"/>
          <w:kern w:val="0"/>
          <w:sz w:val="24"/>
        </w:rPr>
        <w:t xml:space="preserve"> 运营期无组织废气监测计划</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2010"/>
        <w:gridCol w:w="1292"/>
        <w:gridCol w:w="42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3" w:type="pct"/>
            <w:noWrap/>
            <w:vAlign w:val="center"/>
          </w:tcPr>
          <w:p>
            <w:pPr>
              <w:widowControl/>
              <w:jc w:val="center"/>
              <w:rPr>
                <w:b/>
                <w:kern w:val="0"/>
                <w:szCs w:val="21"/>
              </w:rPr>
            </w:pPr>
            <w:r>
              <w:rPr>
                <w:b/>
                <w:kern w:val="0"/>
                <w:szCs w:val="21"/>
              </w:rPr>
              <w:t>监测点位</w:t>
            </w:r>
          </w:p>
        </w:tc>
        <w:tc>
          <w:tcPr>
            <w:tcW w:w="1109" w:type="pct"/>
            <w:noWrap/>
            <w:vAlign w:val="center"/>
          </w:tcPr>
          <w:p>
            <w:pPr>
              <w:widowControl/>
              <w:jc w:val="center"/>
              <w:rPr>
                <w:b/>
                <w:kern w:val="0"/>
                <w:szCs w:val="21"/>
              </w:rPr>
            </w:pPr>
            <w:r>
              <w:rPr>
                <w:b/>
                <w:kern w:val="0"/>
                <w:szCs w:val="21"/>
              </w:rPr>
              <w:t>监测指标</w:t>
            </w:r>
          </w:p>
        </w:tc>
        <w:tc>
          <w:tcPr>
            <w:tcW w:w="713" w:type="pct"/>
            <w:noWrap/>
            <w:vAlign w:val="center"/>
          </w:tcPr>
          <w:p>
            <w:pPr>
              <w:widowControl/>
              <w:jc w:val="center"/>
              <w:rPr>
                <w:b/>
                <w:kern w:val="0"/>
                <w:szCs w:val="21"/>
              </w:rPr>
            </w:pPr>
            <w:r>
              <w:rPr>
                <w:b/>
                <w:kern w:val="0"/>
                <w:szCs w:val="21"/>
              </w:rPr>
              <w:t>监测频次</w:t>
            </w:r>
          </w:p>
        </w:tc>
        <w:tc>
          <w:tcPr>
            <w:tcW w:w="2325" w:type="pct"/>
            <w:noWrap/>
            <w:vAlign w:val="center"/>
          </w:tcPr>
          <w:p>
            <w:pPr>
              <w:widowControl/>
              <w:jc w:val="center"/>
              <w:rPr>
                <w:b/>
                <w:kern w:val="0"/>
                <w:szCs w:val="21"/>
              </w:rPr>
            </w:pPr>
            <w:r>
              <w:rPr>
                <w:b/>
                <w:kern w:val="0"/>
                <w:szCs w:val="21"/>
              </w:rPr>
              <w:t>执行排放标准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6" w:hRule="atLeast"/>
        </w:trPr>
        <w:tc>
          <w:tcPr>
            <w:tcW w:w="853" w:type="pct"/>
            <w:noWrap/>
            <w:vAlign w:val="center"/>
          </w:tcPr>
          <w:p>
            <w:pPr>
              <w:widowControl/>
              <w:jc w:val="center"/>
              <w:rPr>
                <w:kern w:val="0"/>
                <w:szCs w:val="21"/>
              </w:rPr>
            </w:pPr>
            <w:r>
              <w:rPr>
                <w:bCs/>
                <w:spacing w:val="4"/>
                <w:szCs w:val="21"/>
              </w:rPr>
              <w:t>下风向设四个监控点</w:t>
            </w:r>
          </w:p>
        </w:tc>
        <w:tc>
          <w:tcPr>
            <w:tcW w:w="1109" w:type="pct"/>
            <w:noWrap/>
            <w:vAlign w:val="center"/>
          </w:tcPr>
          <w:p>
            <w:pPr>
              <w:widowControl/>
              <w:jc w:val="center"/>
              <w:rPr>
                <w:kern w:val="0"/>
                <w:szCs w:val="21"/>
              </w:rPr>
            </w:pPr>
            <w:r>
              <w:rPr>
                <w:rFonts w:hint="eastAsia"/>
                <w:kern w:val="0"/>
                <w:szCs w:val="21"/>
              </w:rPr>
              <w:t>NH</w:t>
            </w:r>
            <w:r>
              <w:rPr>
                <w:rFonts w:hint="eastAsia"/>
                <w:kern w:val="0"/>
                <w:szCs w:val="21"/>
                <w:vertAlign w:val="subscript"/>
              </w:rPr>
              <w:t>3</w:t>
            </w:r>
            <w:r>
              <w:rPr>
                <w:kern w:val="0"/>
                <w:szCs w:val="21"/>
              </w:rPr>
              <w:t>、H</w:t>
            </w:r>
            <w:r>
              <w:rPr>
                <w:kern w:val="0"/>
                <w:szCs w:val="21"/>
                <w:vertAlign w:val="subscript"/>
              </w:rPr>
              <w:t>2</w:t>
            </w:r>
            <w:r>
              <w:rPr>
                <w:kern w:val="0"/>
                <w:szCs w:val="21"/>
              </w:rPr>
              <w:t>S</w:t>
            </w:r>
            <w:r>
              <w:rPr>
                <w:rFonts w:hint="eastAsia"/>
                <w:kern w:val="0"/>
                <w:szCs w:val="21"/>
              </w:rPr>
              <w:t>、臭气浓度</w:t>
            </w:r>
          </w:p>
        </w:tc>
        <w:tc>
          <w:tcPr>
            <w:tcW w:w="713" w:type="pct"/>
            <w:noWrap/>
            <w:vAlign w:val="center"/>
          </w:tcPr>
          <w:p>
            <w:pPr>
              <w:widowControl/>
              <w:jc w:val="center"/>
              <w:rPr>
                <w:kern w:val="0"/>
                <w:szCs w:val="21"/>
              </w:rPr>
            </w:pPr>
            <w:r>
              <w:rPr>
                <w:bCs/>
                <w:szCs w:val="21"/>
              </w:rPr>
              <w:t>每年1次</w:t>
            </w:r>
          </w:p>
        </w:tc>
        <w:tc>
          <w:tcPr>
            <w:tcW w:w="2325" w:type="pct"/>
            <w:noWrap/>
            <w:vAlign w:val="center"/>
          </w:tcPr>
          <w:p>
            <w:pPr>
              <w:widowControl/>
              <w:jc w:val="center"/>
              <w:rPr>
                <w:szCs w:val="21"/>
              </w:rPr>
            </w:pPr>
            <w:r>
              <w:rPr>
                <w:rFonts w:hint="eastAsia"/>
                <w:szCs w:val="21"/>
              </w:rPr>
              <w:t>NH</w:t>
            </w:r>
            <w:r>
              <w:rPr>
                <w:rFonts w:hint="eastAsia"/>
                <w:szCs w:val="21"/>
                <w:vertAlign w:val="subscript"/>
              </w:rPr>
              <w:t>3</w:t>
            </w:r>
            <w:r>
              <w:rPr>
                <w:rFonts w:hint="eastAsia"/>
                <w:szCs w:val="21"/>
              </w:rPr>
              <w:t>、</w:t>
            </w:r>
            <w:r>
              <w:rPr>
                <w:szCs w:val="21"/>
              </w:rPr>
              <w:t>H</w:t>
            </w:r>
            <w:r>
              <w:rPr>
                <w:szCs w:val="21"/>
                <w:vertAlign w:val="subscript"/>
              </w:rPr>
              <w:t>2</w:t>
            </w:r>
            <w:r>
              <w:rPr>
                <w:szCs w:val="21"/>
              </w:rPr>
              <w:t>S排放执行《恶臭污染物排放标准》（GB14554-1993）中二级标准及恶臭污染物厂界排放标准限值</w:t>
            </w:r>
          </w:p>
          <w:p>
            <w:pPr>
              <w:widowControl/>
              <w:jc w:val="center"/>
              <w:rPr>
                <w:kern w:val="0"/>
                <w:szCs w:val="21"/>
              </w:rPr>
            </w:pPr>
            <w:r>
              <w:rPr>
                <w:rFonts w:hint="eastAsia"/>
                <w:kern w:val="0"/>
                <w:szCs w:val="21"/>
              </w:rPr>
              <w:t>臭气浓度排放执行</w:t>
            </w:r>
            <w:r>
              <w:rPr>
                <w:rFonts w:hint="eastAsia"/>
                <w:bCs/>
                <w:kern w:val="0"/>
                <w:szCs w:val="21"/>
              </w:rPr>
              <w:t>《畜禽养殖业污染物排放标准》（</w:t>
            </w:r>
            <w:r>
              <w:rPr>
                <w:bCs/>
                <w:kern w:val="0"/>
                <w:szCs w:val="21"/>
              </w:rPr>
              <w:t>GB18596-2001</w:t>
            </w:r>
            <w:r>
              <w:rPr>
                <w:rFonts w:hint="eastAsia"/>
                <w:bCs/>
                <w:kern w:val="0"/>
                <w:szCs w:val="21"/>
              </w:rPr>
              <w:t>）表</w:t>
            </w:r>
            <w:r>
              <w:rPr>
                <w:bCs/>
                <w:kern w:val="0"/>
                <w:szCs w:val="21"/>
              </w:rPr>
              <w:t>7</w:t>
            </w:r>
            <w:r>
              <w:rPr>
                <w:rFonts w:hint="eastAsia"/>
                <w:bCs/>
                <w:kern w:val="0"/>
                <w:szCs w:val="21"/>
              </w:rPr>
              <w:t>中标准限值</w:t>
            </w:r>
          </w:p>
        </w:tc>
      </w:tr>
    </w:tbl>
    <w:p>
      <w:pPr>
        <w:spacing w:line="480" w:lineRule="exact"/>
        <w:jc w:val="center"/>
        <w:rPr>
          <w:rFonts w:ascii="黑体" w:hAnsi="黑体" w:eastAsia="黑体"/>
          <w:kern w:val="0"/>
          <w:sz w:val="24"/>
        </w:rPr>
      </w:pPr>
      <w:r>
        <w:rPr>
          <w:rFonts w:hint="eastAsia" w:ascii="黑体" w:hAnsi="黑体" w:eastAsia="黑体"/>
          <w:kern w:val="0"/>
          <w:sz w:val="24"/>
        </w:rPr>
        <w:t>表</w:t>
      </w:r>
      <w:r>
        <w:rPr>
          <w:bCs/>
          <w:sz w:val="24"/>
        </w:rPr>
        <w:t xml:space="preserve">9.2-3 </w:t>
      </w:r>
      <w:r>
        <w:rPr>
          <w:rFonts w:hint="eastAsia" w:ascii="黑体" w:hAnsi="黑体" w:eastAsia="黑体"/>
          <w:kern w:val="0"/>
          <w:sz w:val="24"/>
        </w:rPr>
        <w:t xml:space="preserve"> 运营期地下水监测计划</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2542"/>
        <w:gridCol w:w="1094"/>
        <w:gridCol w:w="35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5"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监测点位</w:t>
            </w:r>
          </w:p>
        </w:tc>
        <w:tc>
          <w:tcPr>
            <w:tcW w:w="1403"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监测指标</w:t>
            </w:r>
          </w:p>
        </w:tc>
        <w:tc>
          <w:tcPr>
            <w:tcW w:w="604"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监测频次</w:t>
            </w:r>
          </w:p>
        </w:tc>
        <w:tc>
          <w:tcPr>
            <w:tcW w:w="1958"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执行排放标准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5"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color w:val="000000"/>
                <w:szCs w:val="21"/>
              </w:rPr>
              <w:t>工业场地下游潜水含水层</w:t>
            </w:r>
          </w:p>
        </w:tc>
        <w:tc>
          <w:tcPr>
            <w:tcW w:w="1403"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szCs w:val="21"/>
              </w:rPr>
              <w:t>pH</w:t>
            </w:r>
            <w:r>
              <w:rPr>
                <w:rFonts w:hint="eastAsia" w:hAnsi="Calibri"/>
                <w:szCs w:val="21"/>
              </w:rPr>
              <w:t>、氨氮、耗氧量</w:t>
            </w:r>
          </w:p>
        </w:tc>
        <w:tc>
          <w:tcPr>
            <w:tcW w:w="604"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bCs/>
                <w:szCs w:val="21"/>
              </w:rPr>
              <w:t>每年</w:t>
            </w:r>
            <w:r>
              <w:rPr>
                <w:bCs/>
                <w:szCs w:val="21"/>
              </w:rPr>
              <w:t>1</w:t>
            </w:r>
            <w:r>
              <w:rPr>
                <w:rFonts w:hint="eastAsia"/>
                <w:bCs/>
                <w:szCs w:val="21"/>
              </w:rPr>
              <w:t>次</w:t>
            </w:r>
          </w:p>
        </w:tc>
        <w:tc>
          <w:tcPr>
            <w:tcW w:w="1958"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kern w:val="0"/>
                <w:szCs w:val="21"/>
              </w:rPr>
              <w:t>《地下水质量标准》（</w:t>
            </w:r>
            <w:r>
              <w:rPr>
                <w:kern w:val="0"/>
                <w:szCs w:val="21"/>
              </w:rPr>
              <w:t>GB/T14848-2017</w:t>
            </w:r>
            <w:r>
              <w:rPr>
                <w:rFonts w:hint="eastAsia"/>
                <w:kern w:val="0"/>
                <w:szCs w:val="21"/>
              </w:rPr>
              <w:t>）</w:t>
            </w:r>
            <w:r>
              <w:rPr>
                <w:rFonts w:hint="eastAsia" w:ascii="宋体" w:hAnsi="宋体" w:cs="宋体"/>
                <w:kern w:val="0"/>
                <w:szCs w:val="21"/>
              </w:rPr>
              <w:t>Ⅲ</w:t>
            </w:r>
            <w:r>
              <w:rPr>
                <w:rFonts w:hint="eastAsia"/>
                <w:kern w:val="0"/>
                <w:szCs w:val="21"/>
              </w:rPr>
              <w:t>类标准</w:t>
            </w:r>
          </w:p>
        </w:tc>
      </w:tr>
    </w:tbl>
    <w:p>
      <w:pPr>
        <w:spacing w:line="480" w:lineRule="exact"/>
        <w:jc w:val="center"/>
        <w:rPr>
          <w:rFonts w:ascii="黑体" w:hAnsi="黑体" w:eastAsia="黑体"/>
          <w:kern w:val="0"/>
          <w:sz w:val="24"/>
        </w:rPr>
      </w:pPr>
      <w:r>
        <w:rPr>
          <w:rFonts w:hint="eastAsia" w:ascii="黑体" w:hAnsi="黑体" w:eastAsia="黑体"/>
          <w:kern w:val="0"/>
          <w:sz w:val="24"/>
        </w:rPr>
        <w:t>表</w:t>
      </w:r>
      <w:r>
        <w:rPr>
          <w:bCs/>
          <w:sz w:val="24"/>
        </w:rPr>
        <w:t xml:space="preserve">9.2-4 </w:t>
      </w:r>
      <w:r>
        <w:rPr>
          <w:rFonts w:hint="eastAsia" w:ascii="黑体" w:hAnsi="黑体" w:eastAsia="黑体"/>
          <w:kern w:val="0"/>
          <w:sz w:val="24"/>
        </w:rPr>
        <w:t xml:space="preserve"> 运营期厂界噪声监测计划</w:t>
      </w:r>
    </w:p>
    <w:tbl>
      <w:tblPr>
        <w:tblStyle w:val="3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1801"/>
        <w:gridCol w:w="2701"/>
        <w:gridCol w:w="38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trPr>
        <w:tc>
          <w:tcPr>
            <w:tcW w:w="853"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监测点位</w:t>
            </w:r>
          </w:p>
        </w:tc>
        <w:tc>
          <w:tcPr>
            <w:tcW w:w="1109"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监测指标</w:t>
            </w:r>
          </w:p>
        </w:tc>
        <w:tc>
          <w:tcPr>
            <w:tcW w:w="713"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监测频次</w:t>
            </w:r>
          </w:p>
        </w:tc>
        <w:tc>
          <w:tcPr>
            <w:tcW w:w="2325" w:type="pct"/>
            <w:tcBorders>
              <w:top w:val="single" w:color="auto" w:sz="6" w:space="0"/>
              <w:left w:val="single" w:color="auto" w:sz="6" w:space="0"/>
              <w:bottom w:val="single" w:color="auto" w:sz="6" w:space="0"/>
              <w:right w:val="single" w:color="auto" w:sz="6" w:space="0"/>
            </w:tcBorders>
            <w:noWrap/>
            <w:vAlign w:val="center"/>
          </w:tcPr>
          <w:p>
            <w:pPr>
              <w:widowControl/>
              <w:jc w:val="center"/>
              <w:rPr>
                <w:b/>
                <w:kern w:val="0"/>
                <w:szCs w:val="21"/>
              </w:rPr>
            </w:pPr>
            <w:r>
              <w:rPr>
                <w:rFonts w:hint="eastAsia"/>
                <w:b/>
                <w:kern w:val="0"/>
                <w:szCs w:val="21"/>
              </w:rPr>
              <w:t>执行排放标准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3"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szCs w:val="21"/>
              </w:rPr>
              <w:t>厂界</w:t>
            </w:r>
          </w:p>
        </w:tc>
        <w:tc>
          <w:tcPr>
            <w:tcW w:w="1109"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szCs w:val="21"/>
              </w:rPr>
              <w:t>Leq</w:t>
            </w:r>
            <w:r>
              <w:rPr>
                <w:rFonts w:hint="eastAsia"/>
                <w:szCs w:val="21"/>
              </w:rPr>
              <w:t>，同时统计</w:t>
            </w:r>
            <w:r>
              <w:rPr>
                <w:szCs w:val="21"/>
              </w:rPr>
              <w:t>L</w:t>
            </w:r>
            <w:r>
              <w:rPr>
                <w:szCs w:val="21"/>
                <w:vertAlign w:val="subscript"/>
              </w:rPr>
              <w:t>10</w:t>
            </w:r>
            <w:r>
              <w:rPr>
                <w:rFonts w:hint="eastAsia"/>
                <w:szCs w:val="21"/>
              </w:rPr>
              <w:t>、</w:t>
            </w:r>
            <w:r>
              <w:rPr>
                <w:szCs w:val="21"/>
              </w:rPr>
              <w:t>L</w:t>
            </w:r>
            <w:r>
              <w:rPr>
                <w:szCs w:val="21"/>
                <w:vertAlign w:val="subscript"/>
              </w:rPr>
              <w:t>50</w:t>
            </w:r>
            <w:r>
              <w:rPr>
                <w:rFonts w:hint="eastAsia"/>
                <w:szCs w:val="21"/>
              </w:rPr>
              <w:t>、</w:t>
            </w:r>
            <w:r>
              <w:rPr>
                <w:szCs w:val="21"/>
              </w:rPr>
              <w:t>L</w:t>
            </w:r>
            <w:r>
              <w:rPr>
                <w:szCs w:val="21"/>
                <w:vertAlign w:val="subscript"/>
              </w:rPr>
              <w:t>90</w:t>
            </w:r>
          </w:p>
        </w:tc>
        <w:tc>
          <w:tcPr>
            <w:tcW w:w="713" w:type="pct"/>
            <w:tcBorders>
              <w:top w:val="single" w:color="auto" w:sz="6" w:space="0"/>
              <w:left w:val="single" w:color="auto" w:sz="6" w:space="0"/>
              <w:bottom w:val="single" w:color="auto" w:sz="6" w:space="0"/>
              <w:right w:val="single" w:color="auto" w:sz="6" w:space="0"/>
            </w:tcBorders>
            <w:noWrap/>
            <w:vAlign w:val="center"/>
          </w:tcPr>
          <w:p>
            <w:pPr>
              <w:widowControl/>
              <w:jc w:val="center"/>
              <w:rPr>
                <w:kern w:val="0"/>
                <w:szCs w:val="21"/>
              </w:rPr>
            </w:pPr>
            <w:r>
              <w:rPr>
                <w:rFonts w:hint="eastAsia"/>
                <w:spacing w:val="4"/>
                <w:szCs w:val="21"/>
              </w:rPr>
              <w:t>每季度进行一次监测，每次昼夜各监测一次</w:t>
            </w:r>
          </w:p>
        </w:tc>
        <w:tc>
          <w:tcPr>
            <w:tcW w:w="2325" w:type="pct"/>
            <w:tcBorders>
              <w:top w:val="single" w:color="auto" w:sz="6" w:space="0"/>
              <w:left w:val="single" w:color="auto" w:sz="6" w:space="0"/>
              <w:bottom w:val="single" w:color="auto" w:sz="6" w:space="0"/>
              <w:right w:val="single" w:color="auto" w:sz="6" w:space="0"/>
            </w:tcBorders>
            <w:noWrap/>
            <w:vAlign w:val="center"/>
          </w:tcPr>
          <w:p>
            <w:pPr>
              <w:jc w:val="center"/>
              <w:rPr>
                <w:kern w:val="0"/>
                <w:szCs w:val="21"/>
              </w:rPr>
            </w:pPr>
            <w:r>
              <w:rPr>
                <w:rFonts w:hint="eastAsia"/>
                <w:szCs w:val="21"/>
              </w:rPr>
              <w:t>《工业企业厂界环境噪声排放标准》（</w:t>
            </w:r>
            <w:r>
              <w:rPr>
                <w:szCs w:val="21"/>
              </w:rPr>
              <w:t>GB12348-2008</w:t>
            </w:r>
            <w:r>
              <w:rPr>
                <w:rFonts w:hint="eastAsia"/>
                <w:szCs w:val="21"/>
              </w:rPr>
              <w:t>）中</w:t>
            </w:r>
            <w:r>
              <w:rPr>
                <w:szCs w:val="21"/>
              </w:rPr>
              <w:t>2</w:t>
            </w:r>
            <w:r>
              <w:rPr>
                <w:rFonts w:hint="eastAsia"/>
                <w:szCs w:val="21"/>
              </w:rPr>
              <w:t>类标准</w:t>
            </w:r>
          </w:p>
        </w:tc>
      </w:tr>
    </w:tbl>
    <w:p>
      <w:pPr>
        <w:pStyle w:val="14"/>
        <w:spacing w:line="480" w:lineRule="exact"/>
        <w:ind w:firstLine="480" w:firstLineChars="200"/>
        <w:rPr>
          <w:rFonts w:ascii="Times New Roman" w:eastAsia="宋体"/>
          <w:sz w:val="24"/>
        </w:rPr>
      </w:pPr>
      <w:r>
        <w:rPr>
          <w:rFonts w:hint="eastAsia" w:ascii="Times New Roman" w:eastAsia="宋体"/>
          <w:sz w:val="24"/>
        </w:rPr>
        <w:t>本项目所有监测均委托有资质的监测单位进行，均不自行进行监测。</w:t>
      </w:r>
    </w:p>
    <w:p>
      <w:pPr>
        <w:pStyle w:val="85"/>
        <w:spacing w:line="480" w:lineRule="exact"/>
        <w:ind w:firstLine="480"/>
        <w:rPr>
          <w:bCs/>
          <w:sz w:val="24"/>
          <w:szCs w:val="24"/>
        </w:rPr>
      </w:pPr>
      <w:r>
        <w:rPr>
          <w:rFonts w:hint="eastAsia"/>
          <w:kern w:val="0"/>
          <w:sz w:val="24"/>
        </w:rPr>
        <w:t>监测结果反馈：对监测结果进行统计汇总，上报有关领导和上级主管部门，监测结果如有异常，应及时反馈生产管理部门，查找原因，及时解决。</w:t>
      </w:r>
      <w:bookmarkEnd w:id="148"/>
    </w:p>
    <w:p>
      <w:pPr>
        <w:pStyle w:val="2"/>
        <w:spacing w:before="156" w:beforeLines="50" w:after="0" w:line="480" w:lineRule="exact"/>
        <w:rPr>
          <w:rFonts w:ascii="Times New Roman" w:hAnsi="Times New Roman"/>
          <w:bCs w:val="0"/>
          <w:spacing w:val="4"/>
          <w:sz w:val="28"/>
          <w:szCs w:val="28"/>
        </w:rPr>
      </w:pPr>
      <w:bookmarkStart w:id="149" w:name="_Toc19105487"/>
      <w:r>
        <w:rPr>
          <w:rFonts w:hint="eastAsia" w:ascii="Times New Roman" w:hAnsi="Times New Roman"/>
          <w:bCs w:val="0"/>
          <w:spacing w:val="4"/>
          <w:sz w:val="28"/>
          <w:szCs w:val="28"/>
        </w:rPr>
        <w:t>9.3</w:t>
      </w:r>
      <w:r>
        <w:rPr>
          <w:rFonts w:hint="eastAsia"/>
          <w:bCs w:val="0"/>
          <w:sz w:val="28"/>
          <w:szCs w:val="28"/>
        </w:rPr>
        <w:t>全厂污染物排放清单及管理要求</w:t>
      </w:r>
      <w:bookmarkEnd w:id="149"/>
    </w:p>
    <w:p>
      <w:pPr>
        <w:spacing w:line="480" w:lineRule="exact"/>
        <w:ind w:firstLine="480" w:firstLineChars="200"/>
        <w:rPr>
          <w:color w:val="000000"/>
          <w:sz w:val="24"/>
        </w:rPr>
      </w:pPr>
      <w:r>
        <w:rPr>
          <w:color w:val="000000"/>
          <w:sz w:val="24"/>
        </w:rPr>
        <w:t>根据工程及环保设施特点</w:t>
      </w:r>
      <w:r>
        <w:rPr>
          <w:rFonts w:hint="eastAsia"/>
          <w:color w:val="000000"/>
          <w:sz w:val="24"/>
        </w:rPr>
        <w:t>，项目运行后全厂污染物排放汇总情况及管理要求见</w:t>
      </w:r>
      <w:r>
        <w:rPr>
          <w:color w:val="000000"/>
          <w:sz w:val="24"/>
        </w:rPr>
        <w:t>表</w:t>
      </w:r>
      <w:r>
        <w:rPr>
          <w:rFonts w:hint="eastAsia"/>
          <w:color w:val="000000"/>
          <w:sz w:val="24"/>
        </w:rPr>
        <w:t>9.3-1</w:t>
      </w:r>
      <w:r>
        <w:rPr>
          <w:color w:val="000000"/>
          <w:sz w:val="24"/>
        </w:rPr>
        <w:t>。</w:t>
      </w:r>
    </w:p>
    <w:p>
      <w:pPr>
        <w:spacing w:line="480" w:lineRule="exact"/>
        <w:ind w:firstLine="480" w:firstLineChars="200"/>
        <w:rPr>
          <w:color w:val="000000"/>
          <w:sz w:val="24"/>
        </w:rPr>
      </w:pPr>
    </w:p>
    <w:p>
      <w:pPr>
        <w:spacing w:line="480" w:lineRule="exact"/>
        <w:ind w:firstLine="480" w:firstLineChars="200"/>
        <w:rPr>
          <w:color w:val="000000"/>
          <w:sz w:val="24"/>
        </w:rPr>
      </w:pPr>
    </w:p>
    <w:p>
      <w:pPr>
        <w:spacing w:line="480" w:lineRule="exact"/>
        <w:ind w:firstLine="480" w:firstLineChars="200"/>
        <w:rPr>
          <w:color w:val="000000"/>
          <w:sz w:val="24"/>
        </w:rPr>
      </w:pPr>
    </w:p>
    <w:p>
      <w:pPr>
        <w:spacing w:line="480" w:lineRule="exact"/>
        <w:ind w:firstLine="480" w:firstLineChars="200"/>
        <w:rPr>
          <w:color w:val="000000"/>
          <w:sz w:val="24"/>
        </w:rPr>
        <w:sectPr>
          <w:headerReference r:id="rId14" w:type="default"/>
          <w:pgSz w:w="11906" w:h="16838"/>
          <w:pgMar w:top="1418" w:right="1531" w:bottom="1418" w:left="1531" w:header="851" w:footer="992" w:gutter="0"/>
          <w:cols w:space="425" w:num="1"/>
          <w:docGrid w:type="linesAndChars" w:linePitch="312" w:charSpace="0"/>
        </w:sectPr>
      </w:pPr>
    </w:p>
    <w:p>
      <w:pPr>
        <w:jc w:val="center"/>
        <w:rPr>
          <w:rFonts w:ascii="黑体" w:hAnsi="黑体" w:eastAsia="黑体"/>
          <w:color w:val="000000"/>
          <w:sz w:val="24"/>
          <w:szCs w:val="24"/>
        </w:rPr>
      </w:pPr>
      <w:r>
        <w:rPr>
          <w:rFonts w:hint="eastAsia" w:ascii="黑体" w:hAnsi="黑体" w:eastAsia="黑体"/>
          <w:sz w:val="24"/>
          <w:szCs w:val="24"/>
        </w:rPr>
        <w:t>表</w:t>
      </w:r>
      <w:r>
        <w:rPr>
          <w:rFonts w:ascii="黑体" w:hAnsi="黑体" w:eastAsia="黑体"/>
          <w:sz w:val="24"/>
          <w:szCs w:val="24"/>
        </w:rPr>
        <w:t>9.3-1</w:t>
      </w:r>
      <w:r>
        <w:rPr>
          <w:rFonts w:hint="eastAsia" w:ascii="黑体" w:hAnsi="黑体" w:eastAsia="黑体"/>
          <w:sz w:val="24"/>
          <w:szCs w:val="24"/>
        </w:rPr>
        <w:t xml:space="preserve"> </w:t>
      </w:r>
      <w:r>
        <w:rPr>
          <w:rFonts w:ascii="黑体" w:hAnsi="黑体" w:eastAsia="黑体"/>
          <w:sz w:val="24"/>
          <w:szCs w:val="24"/>
        </w:rPr>
        <w:t xml:space="preserve"> </w:t>
      </w:r>
      <w:r>
        <w:rPr>
          <w:rFonts w:hint="eastAsia" w:ascii="黑体" w:hAnsi="黑体" w:eastAsia="黑体"/>
          <w:sz w:val="24"/>
          <w:szCs w:val="24"/>
        </w:rPr>
        <w:t>项目</w:t>
      </w:r>
      <w:r>
        <w:rPr>
          <w:rFonts w:hint="eastAsia" w:ascii="黑体" w:hAnsi="黑体" w:eastAsia="黑体"/>
          <w:color w:val="000000"/>
          <w:sz w:val="24"/>
          <w:szCs w:val="24"/>
        </w:rPr>
        <w:t>全厂污染物产排情况及管理要求表</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00"/>
        <w:gridCol w:w="746"/>
        <w:gridCol w:w="951"/>
        <w:gridCol w:w="1534"/>
        <w:gridCol w:w="2653"/>
        <w:gridCol w:w="1394"/>
        <w:gridCol w:w="1117"/>
        <w:gridCol w:w="977"/>
        <w:gridCol w:w="977"/>
        <w:gridCol w:w="977"/>
        <w:gridCol w:w="21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445" w:type="pct"/>
            <w:gridSpan w:val="2"/>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污染源</w:t>
            </w:r>
          </w:p>
        </w:tc>
        <w:tc>
          <w:tcPr>
            <w:tcW w:w="340"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排放位置</w:t>
            </w:r>
          </w:p>
        </w:tc>
        <w:tc>
          <w:tcPr>
            <w:tcW w:w="548"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污染物</w:t>
            </w:r>
          </w:p>
        </w:tc>
        <w:tc>
          <w:tcPr>
            <w:tcW w:w="948"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污染物治理措施</w:t>
            </w:r>
          </w:p>
        </w:tc>
        <w:tc>
          <w:tcPr>
            <w:tcW w:w="897" w:type="pct"/>
            <w:gridSpan w:val="2"/>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污染物排放量</w:t>
            </w:r>
          </w:p>
        </w:tc>
        <w:tc>
          <w:tcPr>
            <w:tcW w:w="1047" w:type="pct"/>
            <w:gridSpan w:val="3"/>
            <w:tcBorders>
              <w:top w:val="single" w:color="auto" w:sz="6" w:space="0"/>
              <w:left w:val="single" w:color="auto" w:sz="6" w:space="0"/>
              <w:bottom w:val="single" w:color="auto" w:sz="6" w:space="0"/>
              <w:right w:val="single" w:color="auto" w:sz="4" w:space="0"/>
            </w:tcBorders>
            <w:vAlign w:val="center"/>
          </w:tcPr>
          <w:p>
            <w:pPr>
              <w:tabs>
                <w:tab w:val="left" w:pos="7470"/>
              </w:tabs>
              <w:spacing w:line="360" w:lineRule="exact"/>
              <w:jc w:val="center"/>
              <w:rPr>
                <w:szCs w:val="21"/>
              </w:rPr>
            </w:pPr>
            <w:r>
              <w:rPr>
                <w:rFonts w:hint="eastAsia"/>
                <w:szCs w:val="21"/>
              </w:rPr>
              <w:t>排放参数</w:t>
            </w:r>
          </w:p>
        </w:tc>
        <w:tc>
          <w:tcPr>
            <w:tcW w:w="774" w:type="pct"/>
            <w:vMerge w:val="restart"/>
            <w:tcBorders>
              <w:top w:val="single" w:color="auto" w:sz="6" w:space="0"/>
              <w:left w:val="single" w:color="auto" w:sz="4" w:space="0"/>
              <w:right w:val="single" w:color="auto" w:sz="6" w:space="0"/>
            </w:tcBorders>
            <w:vAlign w:val="center"/>
          </w:tcPr>
          <w:p>
            <w:pPr>
              <w:tabs>
                <w:tab w:val="left" w:pos="7470"/>
              </w:tabs>
              <w:spacing w:line="0" w:lineRule="atLeast"/>
              <w:jc w:val="center"/>
              <w:rPr>
                <w:szCs w:val="21"/>
              </w:rPr>
            </w:pPr>
            <w:r>
              <w:rPr>
                <w:rFonts w:hint="eastAsia"/>
                <w:szCs w:val="21"/>
              </w:rPr>
              <w:t>管理要求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编号</w:t>
            </w:r>
          </w:p>
        </w:tc>
        <w:tc>
          <w:tcPr>
            <w:tcW w:w="267"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名称</w:t>
            </w:r>
          </w:p>
        </w:tc>
        <w:tc>
          <w:tcPr>
            <w:tcW w:w="340"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548"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948"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排放浓度</w:t>
            </w:r>
          </w:p>
          <w:p>
            <w:pPr>
              <w:tabs>
                <w:tab w:val="left" w:pos="7470"/>
              </w:tabs>
              <w:jc w:val="center"/>
              <w:rPr>
                <w:szCs w:val="21"/>
              </w:rPr>
            </w:pPr>
            <w:r>
              <w:rPr>
                <w:szCs w:val="21"/>
              </w:rPr>
              <w:t>/</w:t>
            </w:r>
            <w:r>
              <w:rPr>
                <w:rFonts w:hint="eastAsia"/>
                <w:szCs w:val="21"/>
              </w:rPr>
              <w:t>速率</w:t>
            </w:r>
          </w:p>
        </w:tc>
        <w:tc>
          <w:tcPr>
            <w:tcW w:w="39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排放量</w:t>
            </w:r>
          </w:p>
          <w:p>
            <w:pPr>
              <w:tabs>
                <w:tab w:val="left" w:pos="7470"/>
              </w:tabs>
              <w:jc w:val="center"/>
              <w:rPr>
                <w:szCs w:val="21"/>
              </w:rPr>
            </w:pPr>
            <w:r>
              <w:rPr>
                <w:rFonts w:hint="eastAsia"/>
                <w:szCs w:val="21"/>
              </w:rPr>
              <w:t>（</w:t>
            </w:r>
            <w:r>
              <w:rPr>
                <w:szCs w:val="21"/>
              </w:rPr>
              <w:t>t/a</w:t>
            </w:r>
            <w:r>
              <w:rPr>
                <w:rFonts w:hint="eastAsia"/>
                <w:szCs w:val="21"/>
              </w:rPr>
              <w:t>）</w:t>
            </w:r>
          </w:p>
        </w:tc>
        <w:tc>
          <w:tcPr>
            <w:tcW w:w="349" w:type="pct"/>
            <w:tcBorders>
              <w:top w:val="single" w:color="auto" w:sz="6" w:space="0"/>
              <w:left w:val="single" w:color="auto" w:sz="6" w:space="0"/>
              <w:bottom w:val="single" w:color="auto" w:sz="6" w:space="0"/>
              <w:right w:val="single" w:color="auto" w:sz="6" w:space="0"/>
            </w:tcBorders>
            <w:vAlign w:val="center"/>
          </w:tcPr>
          <w:p>
            <w:pPr>
              <w:tabs>
                <w:tab w:val="left" w:pos="7470"/>
              </w:tabs>
              <w:spacing w:line="0" w:lineRule="atLeast"/>
              <w:jc w:val="center"/>
              <w:rPr>
                <w:szCs w:val="21"/>
              </w:rPr>
            </w:pPr>
            <w:r>
              <w:rPr>
                <w:rFonts w:hint="eastAsia"/>
                <w:szCs w:val="21"/>
              </w:rPr>
              <w:t>风量</w:t>
            </w:r>
          </w:p>
          <w:p>
            <w:pPr>
              <w:tabs>
                <w:tab w:val="left" w:pos="7470"/>
              </w:tabs>
              <w:spacing w:line="0" w:lineRule="atLeast"/>
              <w:jc w:val="center"/>
              <w:rPr>
                <w:szCs w:val="21"/>
              </w:rPr>
            </w:pPr>
            <w:r>
              <w:rPr>
                <w:szCs w:val="21"/>
              </w:rPr>
              <w:t>m</w:t>
            </w:r>
            <w:r>
              <w:rPr>
                <w:szCs w:val="21"/>
                <w:vertAlign w:val="superscript"/>
              </w:rPr>
              <w:t>3</w:t>
            </w:r>
            <w:r>
              <w:rPr>
                <w:szCs w:val="21"/>
              </w:rPr>
              <w:t>/h</w:t>
            </w:r>
          </w:p>
        </w:tc>
        <w:tc>
          <w:tcPr>
            <w:tcW w:w="349" w:type="pct"/>
            <w:tcBorders>
              <w:top w:val="single" w:color="auto" w:sz="6" w:space="0"/>
              <w:left w:val="single" w:color="auto" w:sz="6" w:space="0"/>
              <w:bottom w:val="single" w:color="auto" w:sz="6" w:space="0"/>
              <w:right w:val="single" w:color="auto" w:sz="6" w:space="0"/>
            </w:tcBorders>
            <w:vAlign w:val="center"/>
          </w:tcPr>
          <w:p>
            <w:pPr>
              <w:tabs>
                <w:tab w:val="left" w:pos="7470"/>
              </w:tabs>
              <w:spacing w:line="0" w:lineRule="atLeast"/>
              <w:jc w:val="center"/>
              <w:rPr>
                <w:szCs w:val="21"/>
              </w:rPr>
            </w:pPr>
            <w:r>
              <w:rPr>
                <w:rFonts w:hint="eastAsia"/>
                <w:szCs w:val="21"/>
              </w:rPr>
              <w:t>排放</w:t>
            </w:r>
          </w:p>
          <w:p>
            <w:pPr>
              <w:tabs>
                <w:tab w:val="left" w:pos="7470"/>
              </w:tabs>
              <w:spacing w:line="0" w:lineRule="atLeast"/>
              <w:jc w:val="center"/>
              <w:rPr>
                <w:szCs w:val="21"/>
              </w:rPr>
            </w:pPr>
            <w:r>
              <w:rPr>
                <w:rFonts w:hint="eastAsia"/>
                <w:szCs w:val="21"/>
              </w:rPr>
              <w:t>时间</w:t>
            </w:r>
            <w:r>
              <w:rPr>
                <w:szCs w:val="21"/>
              </w:rPr>
              <w:t>h/a</w:t>
            </w:r>
          </w:p>
        </w:tc>
        <w:tc>
          <w:tcPr>
            <w:tcW w:w="349" w:type="pct"/>
            <w:tcBorders>
              <w:top w:val="single" w:color="auto" w:sz="6" w:space="0"/>
              <w:left w:val="single" w:color="auto" w:sz="6" w:space="0"/>
              <w:bottom w:val="single" w:color="auto" w:sz="6" w:space="0"/>
              <w:right w:val="single" w:color="auto" w:sz="4" w:space="0"/>
            </w:tcBorders>
            <w:vAlign w:val="center"/>
          </w:tcPr>
          <w:p>
            <w:pPr>
              <w:tabs>
                <w:tab w:val="left" w:pos="7470"/>
              </w:tabs>
              <w:spacing w:line="0" w:lineRule="atLeast"/>
              <w:jc w:val="center"/>
              <w:rPr>
                <w:szCs w:val="21"/>
              </w:rPr>
            </w:pPr>
            <w:r>
              <w:rPr>
                <w:rFonts w:hint="eastAsia"/>
                <w:szCs w:val="21"/>
              </w:rPr>
              <w:t>排放</w:t>
            </w:r>
          </w:p>
          <w:p>
            <w:pPr>
              <w:tabs>
                <w:tab w:val="left" w:pos="7470"/>
              </w:tabs>
              <w:spacing w:line="0" w:lineRule="atLeast"/>
              <w:jc w:val="center"/>
              <w:rPr>
                <w:szCs w:val="21"/>
              </w:rPr>
            </w:pPr>
            <w:r>
              <w:rPr>
                <w:rFonts w:hint="eastAsia"/>
                <w:szCs w:val="21"/>
              </w:rPr>
              <w:t>形式</w:t>
            </w:r>
          </w:p>
        </w:tc>
        <w:tc>
          <w:tcPr>
            <w:tcW w:w="774" w:type="pct"/>
            <w:vMerge w:val="continue"/>
            <w:tcBorders>
              <w:left w:val="single" w:color="auto" w:sz="4" w:space="0"/>
              <w:bottom w:val="single" w:color="auto" w:sz="6" w:space="0"/>
              <w:right w:val="single" w:color="auto" w:sz="6" w:space="0"/>
            </w:tcBorders>
            <w:vAlign w:val="center"/>
          </w:tcPr>
          <w:p>
            <w:pPr>
              <w:tabs>
                <w:tab w:val="left" w:pos="7470"/>
              </w:tabs>
              <w:spacing w:line="0" w:lineRule="atLeast"/>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废气</w:t>
            </w:r>
          </w:p>
        </w:tc>
        <w:tc>
          <w:tcPr>
            <w:tcW w:w="267"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恶臭</w:t>
            </w:r>
          </w:p>
        </w:tc>
        <w:tc>
          <w:tcPr>
            <w:tcW w:w="340"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鸡舍</w:t>
            </w: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NH</w:t>
            </w:r>
            <w:r>
              <w:rPr>
                <w:szCs w:val="21"/>
                <w:vertAlign w:val="subscript"/>
              </w:rPr>
              <w:t>3</w:t>
            </w:r>
          </w:p>
        </w:tc>
        <w:tc>
          <w:tcPr>
            <w:tcW w:w="948"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采用干清粪技术，及时清粪；加强鸡舍通风；定期喷洒除臭剂；合理调配饲料，饲料中添加</w:t>
            </w:r>
            <w:r>
              <w:rPr>
                <w:szCs w:val="21"/>
              </w:rPr>
              <w:t>EM</w:t>
            </w:r>
            <w:r>
              <w:rPr>
                <w:rFonts w:hint="eastAsia"/>
                <w:szCs w:val="21"/>
              </w:rPr>
              <w:t>菌，</w:t>
            </w:r>
            <w:r>
              <w:rPr>
                <w:rFonts w:hint="eastAsia"/>
                <w:snapToGrid w:val="0"/>
              </w:rPr>
              <w:t>同时加强场区内绿化管理</w:t>
            </w:r>
            <w:r>
              <w:rPr>
                <w:rFonts w:hint="eastAsia"/>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0.0</w:t>
            </w:r>
            <w:r>
              <w:rPr>
                <w:rFonts w:hint="eastAsia"/>
                <w:szCs w:val="21"/>
              </w:rPr>
              <w:t>32</w:t>
            </w:r>
            <w:r>
              <w:rPr>
                <w:szCs w:val="21"/>
              </w:rPr>
              <w:t>kg/h</w:t>
            </w:r>
          </w:p>
        </w:tc>
        <w:tc>
          <w:tcPr>
            <w:tcW w:w="39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0.206</w:t>
            </w:r>
          </w:p>
        </w:tc>
        <w:tc>
          <w:tcPr>
            <w:tcW w:w="349"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spacing w:line="0" w:lineRule="atLeast"/>
              <w:jc w:val="center"/>
              <w:rPr>
                <w:szCs w:val="21"/>
              </w:rPr>
            </w:pPr>
            <w:r>
              <w:rPr>
                <w:szCs w:val="21"/>
              </w:rPr>
              <w:t>/</w:t>
            </w:r>
          </w:p>
        </w:tc>
        <w:tc>
          <w:tcPr>
            <w:tcW w:w="349"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spacing w:line="0" w:lineRule="atLeast"/>
              <w:jc w:val="center"/>
              <w:rPr>
                <w:szCs w:val="21"/>
              </w:rPr>
            </w:pPr>
            <w:r>
              <w:rPr>
                <w:szCs w:val="21"/>
              </w:rPr>
              <w:t>6480</w:t>
            </w:r>
          </w:p>
        </w:tc>
        <w:tc>
          <w:tcPr>
            <w:tcW w:w="349" w:type="pct"/>
            <w:vMerge w:val="restart"/>
            <w:tcBorders>
              <w:top w:val="single" w:color="auto" w:sz="6" w:space="0"/>
              <w:left w:val="single" w:color="auto" w:sz="6" w:space="0"/>
              <w:bottom w:val="single" w:color="auto" w:sz="6" w:space="0"/>
              <w:right w:val="single" w:color="auto" w:sz="4" w:space="0"/>
            </w:tcBorders>
            <w:vAlign w:val="center"/>
          </w:tcPr>
          <w:p>
            <w:pPr>
              <w:tabs>
                <w:tab w:val="left" w:pos="7470"/>
              </w:tabs>
              <w:spacing w:line="0" w:lineRule="atLeast"/>
              <w:jc w:val="center"/>
              <w:rPr>
                <w:szCs w:val="21"/>
              </w:rPr>
            </w:pPr>
            <w:r>
              <w:rPr>
                <w:rFonts w:hint="eastAsia"/>
                <w:szCs w:val="21"/>
              </w:rPr>
              <w:t>无组织</w:t>
            </w:r>
          </w:p>
        </w:tc>
        <w:tc>
          <w:tcPr>
            <w:tcW w:w="774" w:type="pct"/>
            <w:vMerge w:val="restart"/>
            <w:tcBorders>
              <w:top w:val="single" w:color="auto" w:sz="6" w:space="0"/>
              <w:left w:val="single" w:color="auto" w:sz="4" w:space="0"/>
              <w:right w:val="single" w:color="auto" w:sz="6" w:space="0"/>
            </w:tcBorders>
            <w:vAlign w:val="center"/>
          </w:tcPr>
          <w:p>
            <w:pPr>
              <w:tabs>
                <w:tab w:val="left" w:pos="7470"/>
              </w:tabs>
              <w:spacing w:line="0" w:lineRule="atLeast"/>
              <w:jc w:val="center"/>
              <w:rPr>
                <w:szCs w:val="21"/>
              </w:rPr>
            </w:pPr>
            <w:r>
              <w:rPr>
                <w:rFonts w:hint="eastAsia"/>
                <w:szCs w:val="21"/>
              </w:rPr>
              <w:t>《畜禽养殖业污染物排放标准》（GB18596-2001）</w:t>
            </w:r>
          </w:p>
          <w:p>
            <w:pPr>
              <w:tabs>
                <w:tab w:val="left" w:pos="7470"/>
              </w:tabs>
              <w:spacing w:line="0" w:lineRule="atLeast"/>
              <w:jc w:val="center"/>
              <w:rPr>
                <w:szCs w:val="21"/>
              </w:rPr>
            </w:pPr>
          </w:p>
          <w:p>
            <w:pPr>
              <w:tabs>
                <w:tab w:val="left" w:pos="7470"/>
              </w:tabs>
              <w:spacing w:line="0" w:lineRule="atLeast"/>
              <w:jc w:val="center"/>
              <w:rPr>
                <w:szCs w:val="21"/>
              </w:rPr>
            </w:pPr>
            <w:r>
              <w:rPr>
                <w:rFonts w:hint="eastAsia"/>
                <w:szCs w:val="21"/>
              </w:rPr>
              <w:t>《恶臭污染物排放标准》（</w:t>
            </w:r>
            <w:r>
              <w:rPr>
                <w:szCs w:val="21"/>
              </w:rPr>
              <w:t>GB14554-93</w:t>
            </w:r>
            <w:r>
              <w:rPr>
                <w:rFonts w:hint="eastAsia"/>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26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0"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H</w:t>
            </w:r>
            <w:r>
              <w:rPr>
                <w:szCs w:val="21"/>
                <w:vertAlign w:val="subscript"/>
              </w:rPr>
              <w:t>2</w:t>
            </w:r>
            <w:r>
              <w:rPr>
                <w:szCs w:val="21"/>
              </w:rPr>
              <w:t>S</w:t>
            </w:r>
          </w:p>
        </w:tc>
        <w:tc>
          <w:tcPr>
            <w:tcW w:w="948"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0.0032kg/h</w:t>
            </w:r>
          </w:p>
        </w:tc>
        <w:tc>
          <w:tcPr>
            <w:tcW w:w="39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0.021</w:t>
            </w:r>
          </w:p>
        </w:tc>
        <w:tc>
          <w:tcPr>
            <w:tcW w:w="34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9" w:type="pct"/>
            <w:vMerge w:val="continue"/>
            <w:tcBorders>
              <w:top w:val="single" w:color="auto" w:sz="6" w:space="0"/>
              <w:left w:val="single" w:color="auto" w:sz="6" w:space="0"/>
              <w:bottom w:val="single" w:color="auto" w:sz="6" w:space="0"/>
              <w:right w:val="single" w:color="auto" w:sz="4" w:space="0"/>
            </w:tcBorders>
            <w:vAlign w:val="center"/>
          </w:tcPr>
          <w:p>
            <w:pPr>
              <w:widowControl/>
              <w:jc w:val="center"/>
              <w:rPr>
                <w:szCs w:val="21"/>
              </w:rPr>
            </w:pPr>
          </w:p>
        </w:tc>
        <w:tc>
          <w:tcPr>
            <w:tcW w:w="774" w:type="pct"/>
            <w:vMerge w:val="continue"/>
            <w:tcBorders>
              <w:left w:val="single" w:color="auto" w:sz="4"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26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0" w:type="pct"/>
            <w:vMerge w:val="restart"/>
            <w:tcBorders>
              <w:top w:val="single" w:color="auto" w:sz="6" w:space="0"/>
              <w:left w:val="single" w:color="auto" w:sz="6" w:space="0"/>
              <w:right w:val="single" w:color="auto" w:sz="6" w:space="0"/>
            </w:tcBorders>
            <w:vAlign w:val="center"/>
          </w:tcPr>
          <w:p>
            <w:pPr>
              <w:tabs>
                <w:tab w:val="left" w:pos="7470"/>
              </w:tabs>
              <w:jc w:val="center"/>
              <w:rPr>
                <w:szCs w:val="21"/>
              </w:rPr>
            </w:pPr>
            <w:r>
              <w:rPr>
                <w:rFonts w:hint="eastAsia"/>
                <w:szCs w:val="21"/>
              </w:rPr>
              <w:t>耗氧发酵罐</w:t>
            </w: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NH</w:t>
            </w:r>
            <w:r>
              <w:rPr>
                <w:rFonts w:hint="eastAsia"/>
                <w:szCs w:val="21"/>
                <w:vertAlign w:val="subscript"/>
              </w:rPr>
              <w:t>3</w:t>
            </w:r>
          </w:p>
        </w:tc>
        <w:tc>
          <w:tcPr>
            <w:tcW w:w="948" w:type="pct"/>
            <w:vMerge w:val="restart"/>
            <w:tcBorders>
              <w:top w:val="single" w:color="auto" w:sz="6" w:space="0"/>
              <w:left w:val="single" w:color="auto" w:sz="6" w:space="0"/>
              <w:right w:val="single" w:color="auto" w:sz="6" w:space="0"/>
            </w:tcBorders>
            <w:vAlign w:val="center"/>
          </w:tcPr>
          <w:p>
            <w:pPr>
              <w:tabs>
                <w:tab w:val="left" w:pos="7470"/>
              </w:tabs>
              <w:jc w:val="center"/>
              <w:rPr>
                <w:bCs/>
                <w:szCs w:val="21"/>
              </w:rPr>
            </w:pPr>
            <w:r>
              <w:rPr>
                <w:kern w:val="0"/>
                <w:szCs w:val="21"/>
              </w:rPr>
              <w:t>2</w:t>
            </w:r>
            <w:r>
              <w:rPr>
                <w:rFonts w:hint="eastAsia"/>
                <w:kern w:val="0"/>
                <w:szCs w:val="21"/>
              </w:rPr>
              <w:t>台发酵罐废气采用</w:t>
            </w:r>
            <w:r>
              <w:rPr>
                <w:kern w:val="0"/>
                <w:szCs w:val="21"/>
              </w:rPr>
              <w:t>1</w:t>
            </w:r>
            <w:r>
              <w:rPr>
                <w:rFonts w:hint="eastAsia"/>
                <w:kern w:val="0"/>
                <w:szCs w:val="21"/>
              </w:rPr>
              <w:t>套生物除臭塔生化处理后由</w:t>
            </w:r>
            <w:r>
              <w:rPr>
                <w:kern w:val="0"/>
                <w:szCs w:val="21"/>
              </w:rPr>
              <w:t>1</w:t>
            </w:r>
            <w:r>
              <w:rPr>
                <w:rFonts w:hint="eastAsia"/>
                <w:kern w:val="0"/>
                <w:szCs w:val="21"/>
              </w:rPr>
              <w:t>根</w:t>
            </w:r>
            <w:r>
              <w:rPr>
                <w:kern w:val="0"/>
                <w:szCs w:val="21"/>
              </w:rPr>
              <w:t>15m</w:t>
            </w:r>
            <w:r>
              <w:rPr>
                <w:rFonts w:hint="eastAsia"/>
                <w:kern w:val="0"/>
                <w:szCs w:val="21"/>
              </w:rPr>
              <w:t>高排气筒外排</w:t>
            </w:r>
          </w:p>
        </w:tc>
        <w:tc>
          <w:tcPr>
            <w:tcW w:w="49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0.0</w:t>
            </w:r>
            <w:r>
              <w:rPr>
                <w:szCs w:val="21"/>
              </w:rPr>
              <w:t>6</w:t>
            </w:r>
            <w:r>
              <w:rPr>
                <w:rFonts w:hint="eastAsia"/>
                <w:szCs w:val="21"/>
              </w:rPr>
              <w:t xml:space="preserve"> kg/h</w:t>
            </w:r>
          </w:p>
        </w:tc>
        <w:tc>
          <w:tcPr>
            <w:tcW w:w="39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w:t>
            </w:r>
            <w:r>
              <w:rPr>
                <w:szCs w:val="21"/>
              </w:rPr>
              <w:t>39</w:t>
            </w:r>
          </w:p>
        </w:tc>
        <w:tc>
          <w:tcPr>
            <w:tcW w:w="349" w:type="pct"/>
            <w:vMerge w:val="restart"/>
            <w:tcBorders>
              <w:top w:val="single" w:color="auto" w:sz="6" w:space="0"/>
              <w:left w:val="single" w:color="auto" w:sz="6" w:space="0"/>
              <w:right w:val="single" w:color="auto" w:sz="6" w:space="0"/>
            </w:tcBorders>
            <w:vAlign w:val="center"/>
          </w:tcPr>
          <w:p>
            <w:pPr>
              <w:tabs>
                <w:tab w:val="left" w:pos="7470"/>
              </w:tabs>
              <w:spacing w:line="0" w:lineRule="atLeast"/>
              <w:jc w:val="center"/>
              <w:rPr>
                <w:szCs w:val="21"/>
              </w:rPr>
            </w:pPr>
            <w:r>
              <w:rPr>
                <w:rFonts w:hint="eastAsia"/>
                <w:szCs w:val="21"/>
              </w:rPr>
              <w:t>/</w:t>
            </w:r>
          </w:p>
        </w:tc>
        <w:tc>
          <w:tcPr>
            <w:tcW w:w="349" w:type="pct"/>
            <w:vMerge w:val="restart"/>
            <w:tcBorders>
              <w:top w:val="single" w:color="auto" w:sz="6" w:space="0"/>
              <w:left w:val="single" w:color="auto" w:sz="6" w:space="0"/>
              <w:right w:val="single" w:color="auto" w:sz="6" w:space="0"/>
            </w:tcBorders>
            <w:vAlign w:val="center"/>
          </w:tcPr>
          <w:p>
            <w:pPr>
              <w:tabs>
                <w:tab w:val="left" w:pos="7470"/>
              </w:tabs>
              <w:spacing w:line="0" w:lineRule="atLeast"/>
              <w:jc w:val="center"/>
              <w:rPr>
                <w:szCs w:val="21"/>
              </w:rPr>
            </w:pPr>
            <w:r>
              <w:rPr>
                <w:rFonts w:hint="eastAsia"/>
                <w:szCs w:val="21"/>
              </w:rPr>
              <w:t>6480</w:t>
            </w:r>
          </w:p>
        </w:tc>
        <w:tc>
          <w:tcPr>
            <w:tcW w:w="349" w:type="pct"/>
            <w:vMerge w:val="restart"/>
            <w:tcBorders>
              <w:top w:val="single" w:color="auto" w:sz="6" w:space="0"/>
              <w:left w:val="single" w:color="auto" w:sz="6" w:space="0"/>
              <w:right w:val="single" w:color="auto" w:sz="4" w:space="0"/>
            </w:tcBorders>
            <w:vAlign w:val="center"/>
          </w:tcPr>
          <w:p>
            <w:pPr>
              <w:tabs>
                <w:tab w:val="left" w:pos="7470"/>
              </w:tabs>
              <w:spacing w:line="0" w:lineRule="atLeast"/>
              <w:jc w:val="center"/>
              <w:rPr>
                <w:szCs w:val="21"/>
              </w:rPr>
            </w:pPr>
            <w:r>
              <w:rPr>
                <w:rFonts w:hint="eastAsia"/>
                <w:szCs w:val="21"/>
              </w:rPr>
              <w:t>H</w:t>
            </w:r>
            <w:r>
              <w:rPr>
                <w:szCs w:val="21"/>
              </w:rPr>
              <w:t>=</w:t>
            </w:r>
            <w:r>
              <w:rPr>
                <w:rFonts w:hint="eastAsia"/>
                <w:szCs w:val="21"/>
              </w:rPr>
              <w:t>15</w:t>
            </w:r>
            <w:r>
              <w:rPr>
                <w:szCs w:val="21"/>
              </w:rPr>
              <w:t>m</w:t>
            </w:r>
          </w:p>
          <w:p>
            <w:pPr>
              <w:tabs>
                <w:tab w:val="left" w:pos="7470"/>
              </w:tabs>
              <w:spacing w:line="0" w:lineRule="atLeast"/>
              <w:jc w:val="center"/>
              <w:rPr>
                <w:szCs w:val="21"/>
              </w:rPr>
            </w:pPr>
            <w:r>
              <w:rPr>
                <w:rFonts w:hint="eastAsia"/>
                <w:szCs w:val="21"/>
              </w:rPr>
              <w:t>φ=</w:t>
            </w:r>
            <w:r>
              <w:rPr>
                <w:szCs w:val="21"/>
              </w:rPr>
              <w:t>0.3</w:t>
            </w:r>
            <w:r>
              <w:rPr>
                <w:rFonts w:hint="eastAsia"/>
                <w:szCs w:val="21"/>
              </w:rPr>
              <w:t>m</w:t>
            </w:r>
          </w:p>
        </w:tc>
        <w:tc>
          <w:tcPr>
            <w:tcW w:w="774" w:type="pct"/>
            <w:vMerge w:val="continue"/>
            <w:tcBorders>
              <w:left w:val="single" w:color="auto" w:sz="4"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26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0" w:type="pct"/>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H</w:t>
            </w:r>
            <w:r>
              <w:rPr>
                <w:szCs w:val="21"/>
                <w:vertAlign w:val="subscript"/>
              </w:rPr>
              <w:t>2</w:t>
            </w:r>
            <w:r>
              <w:rPr>
                <w:szCs w:val="21"/>
              </w:rPr>
              <w:t>S</w:t>
            </w:r>
          </w:p>
        </w:tc>
        <w:tc>
          <w:tcPr>
            <w:tcW w:w="948" w:type="pct"/>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0.00</w:t>
            </w:r>
            <w:r>
              <w:rPr>
                <w:szCs w:val="21"/>
              </w:rPr>
              <w:t>6</w:t>
            </w:r>
            <w:r>
              <w:rPr>
                <w:rFonts w:hint="eastAsia"/>
                <w:szCs w:val="21"/>
              </w:rPr>
              <w:t xml:space="preserve"> kg/h</w:t>
            </w:r>
          </w:p>
        </w:tc>
        <w:tc>
          <w:tcPr>
            <w:tcW w:w="39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0.0</w:t>
            </w:r>
            <w:r>
              <w:rPr>
                <w:szCs w:val="21"/>
              </w:rPr>
              <w:t>39</w:t>
            </w:r>
          </w:p>
        </w:tc>
        <w:tc>
          <w:tcPr>
            <w:tcW w:w="349" w:type="pct"/>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349" w:type="pct"/>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349" w:type="pct"/>
            <w:vMerge w:val="continue"/>
            <w:tcBorders>
              <w:left w:val="single" w:color="auto" w:sz="6" w:space="0"/>
              <w:bottom w:val="single" w:color="auto" w:sz="6" w:space="0"/>
              <w:right w:val="single" w:color="auto" w:sz="4" w:space="0"/>
            </w:tcBorders>
            <w:vAlign w:val="center"/>
          </w:tcPr>
          <w:p>
            <w:pPr>
              <w:widowControl/>
              <w:jc w:val="center"/>
              <w:rPr>
                <w:szCs w:val="21"/>
              </w:rPr>
            </w:pPr>
          </w:p>
        </w:tc>
        <w:tc>
          <w:tcPr>
            <w:tcW w:w="774" w:type="pct"/>
            <w:vMerge w:val="continue"/>
            <w:tcBorders>
              <w:left w:val="single" w:color="auto" w:sz="4"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26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0" w:type="pct"/>
            <w:vMerge w:val="restart"/>
            <w:tcBorders>
              <w:top w:val="single" w:color="auto" w:sz="6" w:space="0"/>
              <w:left w:val="single" w:color="auto" w:sz="6" w:space="0"/>
              <w:right w:val="single" w:color="auto" w:sz="6" w:space="0"/>
            </w:tcBorders>
            <w:vAlign w:val="center"/>
          </w:tcPr>
          <w:p>
            <w:pPr>
              <w:tabs>
                <w:tab w:val="left" w:pos="7470"/>
              </w:tabs>
              <w:jc w:val="center"/>
              <w:rPr>
                <w:szCs w:val="21"/>
              </w:rPr>
            </w:pPr>
            <w:r>
              <w:rPr>
                <w:rFonts w:hint="eastAsia"/>
                <w:szCs w:val="21"/>
              </w:rPr>
              <w:t>临时储粪房</w:t>
            </w: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NH</w:t>
            </w:r>
            <w:r>
              <w:rPr>
                <w:rFonts w:hint="eastAsia"/>
                <w:szCs w:val="21"/>
                <w:vertAlign w:val="subscript"/>
              </w:rPr>
              <w:t>3</w:t>
            </w:r>
          </w:p>
        </w:tc>
        <w:tc>
          <w:tcPr>
            <w:tcW w:w="948" w:type="pct"/>
            <w:vMerge w:val="restart"/>
            <w:tcBorders>
              <w:top w:val="single" w:color="auto" w:sz="6" w:space="0"/>
              <w:left w:val="single" w:color="auto" w:sz="6" w:space="0"/>
              <w:right w:val="single" w:color="auto" w:sz="6" w:space="0"/>
            </w:tcBorders>
            <w:vAlign w:val="center"/>
          </w:tcPr>
          <w:p>
            <w:pPr>
              <w:tabs>
                <w:tab w:val="left" w:pos="7470"/>
              </w:tabs>
              <w:jc w:val="center"/>
              <w:rPr>
                <w:bCs/>
                <w:szCs w:val="21"/>
              </w:rPr>
            </w:pPr>
            <w:r>
              <w:rPr>
                <w:rFonts w:hint="eastAsia"/>
                <w:color w:val="000000"/>
                <w:kern w:val="0"/>
                <w:szCs w:val="21"/>
              </w:rPr>
              <w:t>临时储粪房用于暂时储存因天气等原因无法外运的鸡粪；储粪时</w:t>
            </w:r>
            <w:r>
              <w:rPr>
                <w:rFonts w:hint="eastAsia"/>
                <w:snapToGrid w:val="0"/>
                <w:kern w:val="0"/>
              </w:rPr>
              <w:t>喷洒除臭剂，同时加强场区内绿化管理。</w:t>
            </w:r>
          </w:p>
        </w:tc>
        <w:tc>
          <w:tcPr>
            <w:tcW w:w="49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0.1 kg/h</w:t>
            </w:r>
          </w:p>
        </w:tc>
        <w:tc>
          <w:tcPr>
            <w:tcW w:w="39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0.084</w:t>
            </w:r>
          </w:p>
        </w:tc>
        <w:tc>
          <w:tcPr>
            <w:tcW w:w="349" w:type="pct"/>
            <w:vMerge w:val="restart"/>
            <w:tcBorders>
              <w:top w:val="single" w:color="auto" w:sz="6" w:space="0"/>
              <w:left w:val="single" w:color="auto" w:sz="6" w:space="0"/>
              <w:right w:val="single" w:color="auto" w:sz="6" w:space="0"/>
            </w:tcBorders>
            <w:vAlign w:val="center"/>
          </w:tcPr>
          <w:p>
            <w:pPr>
              <w:tabs>
                <w:tab w:val="left" w:pos="7470"/>
              </w:tabs>
              <w:spacing w:line="0" w:lineRule="atLeast"/>
              <w:jc w:val="center"/>
              <w:rPr>
                <w:szCs w:val="21"/>
              </w:rPr>
            </w:pPr>
            <w:r>
              <w:rPr>
                <w:rFonts w:hint="eastAsia"/>
                <w:szCs w:val="21"/>
              </w:rPr>
              <w:t>/</w:t>
            </w:r>
          </w:p>
        </w:tc>
        <w:tc>
          <w:tcPr>
            <w:tcW w:w="349" w:type="pct"/>
            <w:vMerge w:val="restart"/>
            <w:tcBorders>
              <w:top w:val="single" w:color="auto" w:sz="6" w:space="0"/>
              <w:left w:val="single" w:color="auto" w:sz="6" w:space="0"/>
              <w:right w:val="single" w:color="auto" w:sz="6" w:space="0"/>
            </w:tcBorders>
            <w:vAlign w:val="center"/>
          </w:tcPr>
          <w:p>
            <w:pPr>
              <w:tabs>
                <w:tab w:val="left" w:pos="7470"/>
              </w:tabs>
              <w:spacing w:line="0" w:lineRule="atLeast"/>
              <w:jc w:val="center"/>
              <w:rPr>
                <w:szCs w:val="21"/>
              </w:rPr>
            </w:pPr>
            <w:r>
              <w:rPr>
                <w:szCs w:val="21"/>
              </w:rPr>
              <w:t>840</w:t>
            </w:r>
          </w:p>
        </w:tc>
        <w:tc>
          <w:tcPr>
            <w:tcW w:w="349" w:type="pct"/>
            <w:vMerge w:val="restart"/>
            <w:tcBorders>
              <w:top w:val="single" w:color="auto" w:sz="6" w:space="0"/>
              <w:left w:val="single" w:color="auto" w:sz="6" w:space="0"/>
              <w:right w:val="single" w:color="auto" w:sz="4" w:space="0"/>
            </w:tcBorders>
            <w:vAlign w:val="center"/>
          </w:tcPr>
          <w:p>
            <w:pPr>
              <w:tabs>
                <w:tab w:val="left" w:pos="7470"/>
              </w:tabs>
              <w:spacing w:line="0" w:lineRule="atLeast"/>
              <w:jc w:val="center"/>
              <w:rPr>
                <w:szCs w:val="21"/>
              </w:rPr>
            </w:pPr>
            <w:r>
              <w:rPr>
                <w:rFonts w:hint="eastAsia"/>
                <w:szCs w:val="21"/>
              </w:rPr>
              <w:t>无组织</w:t>
            </w:r>
          </w:p>
        </w:tc>
        <w:tc>
          <w:tcPr>
            <w:tcW w:w="774" w:type="pct"/>
            <w:vMerge w:val="continue"/>
            <w:tcBorders>
              <w:left w:val="single" w:color="auto" w:sz="4"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26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0" w:type="pct"/>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H</w:t>
            </w:r>
            <w:r>
              <w:rPr>
                <w:szCs w:val="21"/>
                <w:vertAlign w:val="subscript"/>
              </w:rPr>
              <w:t>2</w:t>
            </w:r>
            <w:r>
              <w:rPr>
                <w:szCs w:val="21"/>
              </w:rPr>
              <w:t>S</w:t>
            </w:r>
          </w:p>
        </w:tc>
        <w:tc>
          <w:tcPr>
            <w:tcW w:w="948" w:type="pct"/>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0.01 kg/h</w:t>
            </w:r>
          </w:p>
        </w:tc>
        <w:tc>
          <w:tcPr>
            <w:tcW w:w="39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w:t>
            </w:r>
            <w:r>
              <w:rPr>
                <w:szCs w:val="21"/>
              </w:rPr>
              <w:t>.0084</w:t>
            </w:r>
          </w:p>
        </w:tc>
        <w:tc>
          <w:tcPr>
            <w:tcW w:w="349" w:type="pct"/>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349" w:type="pct"/>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349" w:type="pct"/>
            <w:vMerge w:val="continue"/>
            <w:tcBorders>
              <w:left w:val="single" w:color="auto" w:sz="6" w:space="0"/>
              <w:bottom w:val="single" w:color="auto" w:sz="6" w:space="0"/>
              <w:right w:val="single" w:color="auto" w:sz="4" w:space="0"/>
            </w:tcBorders>
            <w:vAlign w:val="center"/>
          </w:tcPr>
          <w:p>
            <w:pPr>
              <w:widowControl/>
              <w:jc w:val="center"/>
              <w:rPr>
                <w:szCs w:val="21"/>
              </w:rPr>
            </w:pPr>
          </w:p>
        </w:tc>
        <w:tc>
          <w:tcPr>
            <w:tcW w:w="774" w:type="pct"/>
            <w:vMerge w:val="continue"/>
            <w:tcBorders>
              <w:left w:val="single" w:color="auto" w:sz="4"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80" w:hRule="atLeast"/>
          <w:jc w:val="center"/>
        </w:trPr>
        <w:tc>
          <w:tcPr>
            <w:tcW w:w="17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26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0"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污水处理站</w:t>
            </w: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NH</w:t>
            </w:r>
            <w:r>
              <w:rPr>
                <w:szCs w:val="21"/>
                <w:vertAlign w:val="subscript"/>
              </w:rPr>
              <w:t>3</w:t>
            </w:r>
          </w:p>
        </w:tc>
        <w:tc>
          <w:tcPr>
            <w:tcW w:w="948"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bCs/>
                <w:szCs w:val="21"/>
              </w:rPr>
            </w:pPr>
            <w:r>
              <w:rPr>
                <w:rFonts w:hint="eastAsia"/>
                <w:snapToGrid w:val="0"/>
              </w:rPr>
              <w:t>地埋式污水处理站各处理池加盖处理，站房内定期喷洒除臭剂，同时加强场区内绿化管理。</w:t>
            </w:r>
          </w:p>
        </w:tc>
        <w:tc>
          <w:tcPr>
            <w:tcW w:w="49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0.0055kg/h</w:t>
            </w:r>
          </w:p>
        </w:tc>
        <w:tc>
          <w:tcPr>
            <w:tcW w:w="39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0.0</w:t>
            </w:r>
            <w:r>
              <w:rPr>
                <w:szCs w:val="21"/>
              </w:rPr>
              <w:t>046</w:t>
            </w:r>
          </w:p>
        </w:tc>
        <w:tc>
          <w:tcPr>
            <w:tcW w:w="349"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spacing w:line="0" w:lineRule="atLeast"/>
              <w:jc w:val="center"/>
              <w:rPr>
                <w:szCs w:val="21"/>
              </w:rPr>
            </w:pPr>
            <w:r>
              <w:rPr>
                <w:rFonts w:hint="eastAsia"/>
                <w:szCs w:val="21"/>
              </w:rPr>
              <w:t>/</w:t>
            </w:r>
          </w:p>
        </w:tc>
        <w:tc>
          <w:tcPr>
            <w:tcW w:w="349"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spacing w:line="0" w:lineRule="atLeast"/>
              <w:jc w:val="center"/>
              <w:rPr>
                <w:szCs w:val="21"/>
              </w:rPr>
            </w:pPr>
            <w:r>
              <w:rPr>
                <w:szCs w:val="21"/>
              </w:rPr>
              <w:t>8640</w:t>
            </w:r>
          </w:p>
        </w:tc>
        <w:tc>
          <w:tcPr>
            <w:tcW w:w="349" w:type="pct"/>
            <w:vMerge w:val="restart"/>
            <w:tcBorders>
              <w:top w:val="single" w:color="auto" w:sz="6" w:space="0"/>
              <w:left w:val="single" w:color="auto" w:sz="6" w:space="0"/>
              <w:bottom w:val="single" w:color="auto" w:sz="6" w:space="0"/>
              <w:right w:val="single" w:color="auto" w:sz="4" w:space="0"/>
            </w:tcBorders>
            <w:vAlign w:val="center"/>
          </w:tcPr>
          <w:p>
            <w:pPr>
              <w:tabs>
                <w:tab w:val="left" w:pos="7470"/>
              </w:tabs>
              <w:spacing w:line="0" w:lineRule="atLeast"/>
              <w:jc w:val="center"/>
              <w:rPr>
                <w:szCs w:val="21"/>
              </w:rPr>
            </w:pPr>
            <w:r>
              <w:rPr>
                <w:rFonts w:hint="eastAsia"/>
                <w:szCs w:val="21"/>
              </w:rPr>
              <w:t>无组织</w:t>
            </w:r>
          </w:p>
        </w:tc>
        <w:tc>
          <w:tcPr>
            <w:tcW w:w="774" w:type="pct"/>
            <w:vMerge w:val="continue"/>
            <w:tcBorders>
              <w:left w:val="single" w:color="auto" w:sz="4" w:space="0"/>
              <w:right w:val="single" w:color="auto" w:sz="6" w:space="0"/>
            </w:tcBorders>
            <w:vAlign w:val="center"/>
          </w:tcPr>
          <w:p>
            <w:pPr>
              <w:tabs>
                <w:tab w:val="left" w:pos="7470"/>
              </w:tabs>
              <w:spacing w:line="0" w:lineRule="atLeast"/>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26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0"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H</w:t>
            </w:r>
            <w:r>
              <w:rPr>
                <w:szCs w:val="21"/>
                <w:vertAlign w:val="subscript"/>
              </w:rPr>
              <w:t>2</w:t>
            </w:r>
            <w:r>
              <w:rPr>
                <w:szCs w:val="21"/>
              </w:rPr>
              <w:t>S</w:t>
            </w:r>
          </w:p>
        </w:tc>
        <w:tc>
          <w:tcPr>
            <w:tcW w:w="948"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bCs/>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0.000</w:t>
            </w:r>
            <w:r>
              <w:rPr>
                <w:szCs w:val="21"/>
              </w:rPr>
              <w:t>01</w:t>
            </w:r>
            <w:r>
              <w:rPr>
                <w:rFonts w:hint="eastAsia"/>
                <w:szCs w:val="21"/>
              </w:rPr>
              <w:t>kg/h</w:t>
            </w:r>
          </w:p>
        </w:tc>
        <w:tc>
          <w:tcPr>
            <w:tcW w:w="399"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szCs w:val="21"/>
              </w:rPr>
              <w:t>0.0000875</w:t>
            </w:r>
          </w:p>
        </w:tc>
        <w:tc>
          <w:tcPr>
            <w:tcW w:w="34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9" w:type="pct"/>
            <w:vMerge w:val="continue"/>
            <w:tcBorders>
              <w:top w:val="single" w:color="auto" w:sz="6" w:space="0"/>
              <w:left w:val="single" w:color="auto" w:sz="6" w:space="0"/>
              <w:bottom w:val="single" w:color="auto" w:sz="6" w:space="0"/>
              <w:right w:val="single" w:color="auto" w:sz="4" w:space="0"/>
            </w:tcBorders>
            <w:vAlign w:val="center"/>
          </w:tcPr>
          <w:p>
            <w:pPr>
              <w:widowControl/>
              <w:jc w:val="center"/>
              <w:rPr>
                <w:szCs w:val="21"/>
              </w:rPr>
            </w:pPr>
          </w:p>
        </w:tc>
        <w:tc>
          <w:tcPr>
            <w:tcW w:w="774" w:type="pct"/>
            <w:vMerge w:val="continue"/>
            <w:tcBorders>
              <w:left w:val="single" w:color="auto" w:sz="4" w:space="0"/>
              <w:bottom w:val="single" w:color="auto" w:sz="6"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80" w:hRule="atLeast"/>
          <w:jc w:val="center"/>
        </w:trPr>
        <w:tc>
          <w:tcPr>
            <w:tcW w:w="17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267"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锅炉废气</w:t>
            </w:r>
          </w:p>
        </w:tc>
        <w:tc>
          <w:tcPr>
            <w:tcW w:w="340"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导热油炉排气筒</w:t>
            </w: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烟尘</w:t>
            </w:r>
          </w:p>
        </w:tc>
        <w:tc>
          <w:tcPr>
            <w:tcW w:w="948"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kern w:val="0"/>
                <w:szCs w:val="21"/>
              </w:rPr>
              <w:t>燃用液化天然气（L</w:t>
            </w:r>
            <w:r>
              <w:rPr>
                <w:kern w:val="0"/>
                <w:szCs w:val="21"/>
              </w:rPr>
              <w:t>NG</w:t>
            </w:r>
            <w:r>
              <w:rPr>
                <w:rFonts w:hint="eastAsia"/>
                <w:kern w:val="0"/>
                <w:szCs w:val="21"/>
              </w:rPr>
              <w:t>），使用低氮燃烧技术。</w:t>
            </w: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8.2mg/Nm</w:t>
            </w:r>
            <w:r>
              <w:rPr>
                <w:szCs w:val="21"/>
                <w:vertAlign w:val="superscript"/>
              </w:rPr>
              <w:t>3</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.12</w:t>
            </w:r>
          </w:p>
        </w:tc>
        <w:tc>
          <w:tcPr>
            <w:tcW w:w="349"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spacing w:line="0" w:lineRule="atLeast"/>
              <w:jc w:val="center"/>
              <w:rPr>
                <w:szCs w:val="21"/>
              </w:rPr>
            </w:pPr>
            <w:r>
              <w:rPr>
                <w:kern w:val="0"/>
                <w:szCs w:val="21"/>
              </w:rPr>
              <w:t>3027.7</w:t>
            </w:r>
          </w:p>
        </w:tc>
        <w:tc>
          <w:tcPr>
            <w:tcW w:w="349" w:type="pct"/>
            <w:vMerge w:val="restart"/>
            <w:tcBorders>
              <w:top w:val="single" w:color="auto" w:sz="6" w:space="0"/>
              <w:left w:val="single" w:color="auto" w:sz="6" w:space="0"/>
              <w:bottom w:val="single" w:color="auto" w:sz="6" w:space="0"/>
              <w:right w:val="single" w:color="auto" w:sz="6" w:space="0"/>
            </w:tcBorders>
            <w:vAlign w:val="center"/>
          </w:tcPr>
          <w:p>
            <w:pPr>
              <w:tabs>
                <w:tab w:val="left" w:pos="7470"/>
              </w:tabs>
              <w:spacing w:line="0" w:lineRule="atLeast"/>
              <w:jc w:val="center"/>
              <w:rPr>
                <w:szCs w:val="21"/>
              </w:rPr>
            </w:pPr>
            <w:r>
              <w:rPr>
                <w:rFonts w:hint="eastAsia"/>
                <w:szCs w:val="21"/>
              </w:rPr>
              <w:t>4800</w:t>
            </w:r>
          </w:p>
        </w:tc>
        <w:tc>
          <w:tcPr>
            <w:tcW w:w="349" w:type="pct"/>
            <w:vMerge w:val="restart"/>
            <w:tcBorders>
              <w:top w:val="single" w:color="auto" w:sz="6" w:space="0"/>
              <w:left w:val="single" w:color="auto" w:sz="6" w:space="0"/>
              <w:bottom w:val="single" w:color="auto" w:sz="6" w:space="0"/>
              <w:right w:val="single" w:color="auto" w:sz="4" w:space="0"/>
            </w:tcBorders>
            <w:vAlign w:val="center"/>
          </w:tcPr>
          <w:p>
            <w:pPr>
              <w:tabs>
                <w:tab w:val="left" w:pos="7470"/>
              </w:tabs>
              <w:spacing w:line="0" w:lineRule="atLeast"/>
              <w:jc w:val="center"/>
              <w:rPr>
                <w:szCs w:val="21"/>
              </w:rPr>
            </w:pPr>
            <w:r>
              <w:rPr>
                <w:szCs w:val="21"/>
              </w:rPr>
              <w:t>H=20m</w:t>
            </w:r>
          </w:p>
          <w:p>
            <w:pPr>
              <w:tabs>
                <w:tab w:val="left" w:pos="7470"/>
              </w:tabs>
              <w:spacing w:line="0" w:lineRule="atLeast"/>
              <w:jc w:val="center"/>
              <w:rPr>
                <w:szCs w:val="21"/>
              </w:rPr>
            </w:pPr>
            <w:r>
              <w:rPr>
                <w:rFonts w:hint="eastAsia"/>
                <w:szCs w:val="21"/>
              </w:rPr>
              <w:t>φ</w:t>
            </w:r>
            <w:r>
              <w:rPr>
                <w:szCs w:val="21"/>
              </w:rPr>
              <w:t>=0.3m</w:t>
            </w:r>
          </w:p>
        </w:tc>
        <w:tc>
          <w:tcPr>
            <w:tcW w:w="774" w:type="pct"/>
            <w:vMerge w:val="restart"/>
            <w:tcBorders>
              <w:top w:val="single" w:color="auto" w:sz="6" w:space="0"/>
              <w:left w:val="single" w:color="auto" w:sz="4" w:space="0"/>
              <w:bottom w:val="single" w:color="auto" w:sz="6" w:space="0"/>
              <w:right w:val="single" w:color="auto" w:sz="6" w:space="0"/>
            </w:tcBorders>
            <w:vAlign w:val="center"/>
          </w:tcPr>
          <w:p>
            <w:pPr>
              <w:tabs>
                <w:tab w:val="left" w:pos="7470"/>
              </w:tabs>
              <w:spacing w:line="0" w:lineRule="atLeast"/>
              <w:jc w:val="center"/>
              <w:rPr>
                <w:szCs w:val="21"/>
              </w:rPr>
            </w:pPr>
            <w:r>
              <w:rPr>
                <w:rFonts w:hint="eastAsia"/>
                <w:szCs w:val="21"/>
              </w:rPr>
              <w:t>《锅炉大气污染物排放标准》（GB13271-2014）表3中燃气锅炉大气污染物特别排放限值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267"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0"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氮氧化物</w:t>
            </w:r>
          </w:p>
        </w:tc>
        <w:tc>
          <w:tcPr>
            <w:tcW w:w="948"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82.4mg/Nm</w:t>
            </w:r>
            <w:r>
              <w:rPr>
                <w:szCs w:val="21"/>
                <w:vertAlign w:val="superscript"/>
              </w:rPr>
              <w:t>3</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1</w:t>
            </w:r>
            <w:r>
              <w:rPr>
                <w:szCs w:val="21"/>
              </w:rPr>
              <w:t>.2</w:t>
            </w:r>
          </w:p>
        </w:tc>
        <w:tc>
          <w:tcPr>
            <w:tcW w:w="34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kern w:val="0"/>
                <w:szCs w:val="21"/>
              </w:rPr>
            </w:pPr>
          </w:p>
        </w:tc>
        <w:tc>
          <w:tcPr>
            <w:tcW w:w="349" w:type="pct"/>
            <w:vMerge w:val="continue"/>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p>
        </w:tc>
        <w:tc>
          <w:tcPr>
            <w:tcW w:w="349" w:type="pct"/>
            <w:vMerge w:val="continue"/>
            <w:tcBorders>
              <w:top w:val="single" w:color="auto" w:sz="6" w:space="0"/>
              <w:left w:val="single" w:color="auto" w:sz="6" w:space="0"/>
              <w:bottom w:val="single" w:color="auto" w:sz="6" w:space="0"/>
              <w:right w:val="single" w:color="auto" w:sz="4" w:space="0"/>
            </w:tcBorders>
            <w:vAlign w:val="center"/>
          </w:tcPr>
          <w:p>
            <w:pPr>
              <w:widowControl/>
              <w:jc w:val="center"/>
              <w:rPr>
                <w:szCs w:val="21"/>
              </w:rPr>
            </w:pPr>
          </w:p>
        </w:tc>
        <w:tc>
          <w:tcPr>
            <w:tcW w:w="774" w:type="pct"/>
            <w:vMerge w:val="continue"/>
            <w:tcBorders>
              <w:top w:val="single" w:color="auto" w:sz="6" w:space="0"/>
              <w:left w:val="single" w:color="auto" w:sz="4" w:space="0"/>
              <w:bottom w:val="single" w:color="auto" w:sz="6"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80" w:hRule="atLeast"/>
          <w:jc w:val="center"/>
        </w:trPr>
        <w:tc>
          <w:tcPr>
            <w:tcW w:w="179" w:type="pct"/>
            <w:vMerge w:val="restart"/>
            <w:tcBorders>
              <w:top w:val="single" w:color="auto" w:sz="6" w:space="0"/>
              <w:left w:val="single" w:color="auto" w:sz="6" w:space="0"/>
              <w:right w:val="single" w:color="auto" w:sz="6" w:space="0"/>
            </w:tcBorders>
            <w:vAlign w:val="center"/>
          </w:tcPr>
          <w:p>
            <w:pPr>
              <w:widowControl/>
              <w:jc w:val="center"/>
              <w:rPr>
                <w:szCs w:val="21"/>
              </w:rPr>
            </w:pPr>
            <w:r>
              <w:rPr>
                <w:rFonts w:hint="eastAsia"/>
                <w:szCs w:val="21"/>
              </w:rPr>
              <w:t>废水</w:t>
            </w:r>
          </w:p>
        </w:tc>
        <w:tc>
          <w:tcPr>
            <w:tcW w:w="606" w:type="pct"/>
            <w:gridSpan w:val="2"/>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r>
              <w:rPr>
                <w:rFonts w:hint="eastAsia"/>
                <w:szCs w:val="21"/>
              </w:rPr>
              <w:t>设备及鸡舍冲洗废水</w:t>
            </w: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COD</w:t>
            </w:r>
            <w:r>
              <w:rPr>
                <w:rFonts w:hint="eastAsia"/>
                <w:szCs w:val="21"/>
                <w:vertAlign w:val="subscript"/>
              </w:rPr>
              <w:t>Cr</w:t>
            </w:r>
            <w:r>
              <w:rPr>
                <w:rFonts w:hint="eastAsia"/>
                <w:szCs w:val="21"/>
              </w:rPr>
              <w:t>、NH</w:t>
            </w:r>
            <w:r>
              <w:rPr>
                <w:rFonts w:hint="eastAsia"/>
                <w:szCs w:val="21"/>
                <w:vertAlign w:val="subscript"/>
              </w:rPr>
              <w:t>3</w:t>
            </w:r>
            <w:r>
              <w:rPr>
                <w:rFonts w:hint="eastAsia"/>
                <w:szCs w:val="21"/>
              </w:rPr>
              <w:t>-N、TN、TP等</w:t>
            </w:r>
          </w:p>
        </w:tc>
        <w:tc>
          <w:tcPr>
            <w:tcW w:w="948" w:type="pct"/>
            <w:vMerge w:val="restart"/>
            <w:tcBorders>
              <w:top w:val="single" w:color="auto" w:sz="6" w:space="0"/>
              <w:left w:val="single" w:color="auto" w:sz="6" w:space="0"/>
              <w:right w:val="single" w:color="auto" w:sz="6" w:space="0"/>
            </w:tcBorders>
            <w:vAlign w:val="center"/>
          </w:tcPr>
          <w:p>
            <w:pPr>
              <w:widowControl/>
              <w:jc w:val="center"/>
              <w:rPr>
                <w:szCs w:val="21"/>
              </w:rPr>
            </w:pPr>
            <w:r>
              <w:rPr>
                <w:rFonts w:hint="eastAsia"/>
                <w:szCs w:val="21"/>
              </w:rPr>
              <w:t>收集后由污水处理站处理达《农田灌溉水质标准》（GB5084-2005）中旱作标准后回用于农田灌溉</w:t>
            </w: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821" w:type="pct"/>
            <w:gridSpan w:val="4"/>
            <w:vMerge w:val="restart"/>
            <w:tcBorders>
              <w:top w:val="single" w:color="auto" w:sz="6" w:space="0"/>
              <w:left w:val="single" w:color="auto" w:sz="6" w:space="0"/>
              <w:right w:val="single" w:color="auto" w:sz="6" w:space="0"/>
            </w:tcBorders>
            <w:vAlign w:val="center"/>
          </w:tcPr>
          <w:p>
            <w:pPr>
              <w:widowControl/>
              <w:jc w:val="center"/>
              <w:rPr>
                <w:szCs w:val="21"/>
              </w:rPr>
            </w:pPr>
            <w:r>
              <w:rPr>
                <w:rFonts w:hint="eastAsia"/>
                <w:szCs w:val="21"/>
              </w:rPr>
              <w:t>收集后由污水处理站处理达《农田灌溉水质标准》（GB5084-2005）中旱作标准后回用于农田灌溉；出水冬储夏灌。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left w:val="single" w:color="auto" w:sz="6" w:space="0"/>
              <w:right w:val="single" w:color="auto" w:sz="6" w:space="0"/>
            </w:tcBorders>
            <w:vAlign w:val="center"/>
          </w:tcPr>
          <w:p>
            <w:pPr>
              <w:widowControl/>
              <w:jc w:val="center"/>
              <w:rPr>
                <w:szCs w:val="21"/>
              </w:rPr>
            </w:pPr>
          </w:p>
        </w:tc>
        <w:tc>
          <w:tcPr>
            <w:tcW w:w="606" w:type="pct"/>
            <w:gridSpan w:val="2"/>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r>
              <w:rPr>
                <w:rFonts w:hint="eastAsia"/>
                <w:szCs w:val="21"/>
              </w:rPr>
              <w:t>锅炉定排水和软水系统排水</w:t>
            </w: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COD</w:t>
            </w:r>
            <w:r>
              <w:rPr>
                <w:rFonts w:hint="eastAsia"/>
                <w:szCs w:val="21"/>
                <w:vertAlign w:val="subscript"/>
              </w:rPr>
              <w:t>Cr</w:t>
            </w:r>
            <w:r>
              <w:rPr>
                <w:rFonts w:hint="eastAsia"/>
                <w:szCs w:val="21"/>
              </w:rPr>
              <w:t>、</w:t>
            </w:r>
            <w:r>
              <w:rPr>
                <w:szCs w:val="21"/>
              </w:rPr>
              <w:t>SS</w:t>
            </w:r>
            <w:r>
              <w:rPr>
                <w:rFonts w:hint="eastAsia"/>
                <w:szCs w:val="21"/>
              </w:rPr>
              <w:t>等</w:t>
            </w:r>
          </w:p>
        </w:tc>
        <w:tc>
          <w:tcPr>
            <w:tcW w:w="948" w:type="pct"/>
            <w:vMerge w:val="continue"/>
            <w:tcBorders>
              <w:left w:val="single" w:color="auto" w:sz="6" w:space="0"/>
              <w:right w:val="single" w:color="auto" w:sz="6" w:space="0"/>
            </w:tcBorders>
            <w:vAlign w:val="center"/>
          </w:tcPr>
          <w:p>
            <w:pPr>
              <w:widowControl/>
              <w:jc w:val="center"/>
              <w:rPr>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821" w:type="pct"/>
            <w:gridSpan w:val="4"/>
            <w:vMerge w:val="continue"/>
            <w:tcBorders>
              <w:left w:val="single" w:color="auto" w:sz="6"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left w:val="single" w:color="auto" w:sz="6" w:space="0"/>
              <w:right w:val="single" w:color="auto" w:sz="6" w:space="0"/>
            </w:tcBorders>
            <w:vAlign w:val="center"/>
          </w:tcPr>
          <w:p>
            <w:pPr>
              <w:widowControl/>
              <w:jc w:val="center"/>
              <w:rPr>
                <w:szCs w:val="21"/>
              </w:rPr>
            </w:pPr>
          </w:p>
        </w:tc>
        <w:tc>
          <w:tcPr>
            <w:tcW w:w="606" w:type="pct"/>
            <w:gridSpan w:val="2"/>
            <w:tcBorders>
              <w:top w:val="single" w:color="auto" w:sz="6" w:space="0"/>
              <w:left w:val="single" w:color="auto" w:sz="6" w:space="0"/>
              <w:bottom w:val="single" w:color="auto" w:sz="6" w:space="0"/>
              <w:right w:val="single" w:color="auto" w:sz="6" w:space="0"/>
            </w:tcBorders>
            <w:vAlign w:val="center"/>
          </w:tcPr>
          <w:p>
            <w:pPr>
              <w:widowControl/>
              <w:jc w:val="center"/>
              <w:rPr>
                <w:szCs w:val="21"/>
              </w:rPr>
            </w:pPr>
            <w:r>
              <w:rPr>
                <w:rFonts w:hint="eastAsia"/>
                <w:szCs w:val="21"/>
              </w:rPr>
              <w:t>生活污水</w:t>
            </w:r>
          </w:p>
        </w:tc>
        <w:tc>
          <w:tcPr>
            <w:tcW w:w="548" w:type="pct"/>
            <w:tcBorders>
              <w:top w:val="single" w:color="auto" w:sz="6" w:space="0"/>
              <w:left w:val="single" w:color="auto" w:sz="6" w:space="0"/>
              <w:bottom w:val="single" w:color="auto" w:sz="6" w:space="0"/>
              <w:right w:val="single" w:color="auto" w:sz="6" w:space="0"/>
            </w:tcBorders>
            <w:vAlign w:val="center"/>
          </w:tcPr>
          <w:p>
            <w:pPr>
              <w:tabs>
                <w:tab w:val="left" w:pos="7470"/>
              </w:tabs>
              <w:jc w:val="center"/>
              <w:rPr>
                <w:szCs w:val="21"/>
              </w:rPr>
            </w:pPr>
            <w:r>
              <w:rPr>
                <w:rFonts w:hint="eastAsia"/>
                <w:szCs w:val="21"/>
              </w:rPr>
              <w:t>COD</w:t>
            </w:r>
            <w:r>
              <w:rPr>
                <w:szCs w:val="21"/>
                <w:vertAlign w:val="subscript"/>
              </w:rPr>
              <w:t>Cr</w:t>
            </w:r>
            <w:r>
              <w:rPr>
                <w:rFonts w:hint="eastAsia"/>
                <w:szCs w:val="21"/>
              </w:rPr>
              <w:t>、BOD</w:t>
            </w:r>
            <w:r>
              <w:rPr>
                <w:rFonts w:hint="eastAsia"/>
                <w:szCs w:val="21"/>
                <w:vertAlign w:val="subscript"/>
              </w:rPr>
              <w:t>5</w:t>
            </w:r>
            <w:r>
              <w:rPr>
                <w:rFonts w:hint="eastAsia"/>
                <w:szCs w:val="21"/>
              </w:rPr>
              <w:t>、NH3-N、SS等</w:t>
            </w:r>
          </w:p>
        </w:tc>
        <w:tc>
          <w:tcPr>
            <w:tcW w:w="948" w:type="pct"/>
            <w:vMerge w:val="continue"/>
            <w:tcBorders>
              <w:left w:val="single" w:color="auto" w:sz="6" w:space="0"/>
              <w:bottom w:val="single" w:color="auto" w:sz="6" w:space="0"/>
              <w:right w:val="single" w:color="auto" w:sz="6" w:space="0"/>
            </w:tcBorders>
            <w:vAlign w:val="center"/>
          </w:tcPr>
          <w:p>
            <w:pPr>
              <w:widowControl/>
              <w:jc w:val="center"/>
              <w:rPr>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821" w:type="pct"/>
            <w:gridSpan w:val="4"/>
            <w:vMerge w:val="continue"/>
            <w:tcBorders>
              <w:left w:val="single" w:color="auto" w:sz="6" w:space="0"/>
              <w:bottom w:val="single" w:color="auto" w:sz="6"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80" w:hRule="atLeast"/>
          <w:jc w:val="center"/>
        </w:trPr>
        <w:tc>
          <w:tcPr>
            <w:tcW w:w="179" w:type="pct"/>
            <w:vMerge w:val="restart"/>
            <w:tcBorders>
              <w:top w:val="single" w:color="auto" w:sz="6" w:space="0"/>
              <w:left w:val="single" w:color="auto" w:sz="6" w:space="0"/>
              <w:right w:val="single" w:color="auto" w:sz="6" w:space="0"/>
            </w:tcBorders>
            <w:vAlign w:val="center"/>
          </w:tcPr>
          <w:p>
            <w:pPr>
              <w:widowControl/>
              <w:jc w:val="center"/>
              <w:rPr>
                <w:szCs w:val="21"/>
              </w:rPr>
            </w:pPr>
            <w:r>
              <w:rPr>
                <w:rFonts w:hint="eastAsia"/>
                <w:szCs w:val="21"/>
              </w:rPr>
              <w:t>固废</w:t>
            </w:r>
          </w:p>
        </w:tc>
        <w:tc>
          <w:tcPr>
            <w:tcW w:w="606" w:type="pct"/>
            <w:gridSpan w:val="2"/>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干清鸡粪</w:t>
            </w:r>
          </w:p>
        </w:tc>
        <w:tc>
          <w:tcPr>
            <w:tcW w:w="548" w:type="pct"/>
            <w:tcBorders>
              <w:top w:val="single" w:color="auto" w:sz="6" w:space="0"/>
              <w:left w:val="single" w:color="auto" w:sz="6" w:space="0"/>
              <w:bottom w:val="single" w:color="auto" w:sz="6" w:space="0"/>
              <w:right w:val="single" w:color="auto" w:sz="6"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粪便</w:t>
            </w:r>
          </w:p>
        </w:tc>
        <w:tc>
          <w:tcPr>
            <w:tcW w:w="948" w:type="pct"/>
            <w:vMerge w:val="restart"/>
            <w:tcBorders>
              <w:top w:val="single" w:color="auto" w:sz="6" w:space="0"/>
              <w:left w:val="single" w:color="auto" w:sz="6" w:space="0"/>
              <w:right w:val="single" w:color="auto" w:sz="6" w:space="0"/>
            </w:tcBorders>
            <w:vAlign w:val="center"/>
          </w:tcPr>
          <w:p>
            <w:pPr>
              <w:widowControl/>
              <w:jc w:val="center"/>
              <w:rPr>
                <w:szCs w:val="21"/>
              </w:rPr>
            </w:pPr>
            <w:r>
              <w:rPr>
                <w:rFonts w:hint="eastAsia"/>
                <w:bCs/>
                <w:kern w:val="0"/>
                <w:szCs w:val="21"/>
              </w:rPr>
              <w:t>经发酵罐熟化后外运有机肥厂进一步处理以综合利用</w:t>
            </w: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821" w:type="pct"/>
            <w:gridSpan w:val="4"/>
            <w:vMerge w:val="restart"/>
            <w:tcBorders>
              <w:top w:val="single" w:color="auto" w:sz="6" w:space="0"/>
              <w:left w:val="single" w:color="auto" w:sz="6" w:space="0"/>
              <w:right w:val="single" w:color="auto" w:sz="6" w:space="0"/>
            </w:tcBorders>
            <w:vAlign w:val="center"/>
          </w:tcPr>
          <w:p>
            <w:pPr>
              <w:widowControl/>
              <w:jc w:val="center"/>
              <w:rPr>
                <w:szCs w:val="21"/>
              </w:rPr>
            </w:pPr>
            <w:r>
              <w:rPr>
                <w:rFonts w:hint="eastAsia"/>
                <w:bCs/>
                <w:kern w:val="0"/>
                <w:szCs w:val="21"/>
              </w:rPr>
              <w:t>经发酵罐熟化后外运有机肥厂进一步处理以综合利用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left w:val="single" w:color="auto" w:sz="6" w:space="0"/>
              <w:right w:val="single" w:color="auto" w:sz="6" w:space="0"/>
            </w:tcBorders>
            <w:vAlign w:val="center"/>
          </w:tcPr>
          <w:p>
            <w:pPr>
              <w:widowControl/>
              <w:jc w:val="center"/>
              <w:rPr>
                <w:szCs w:val="21"/>
              </w:rPr>
            </w:pPr>
          </w:p>
        </w:tc>
        <w:tc>
          <w:tcPr>
            <w:tcW w:w="606" w:type="pct"/>
            <w:gridSpan w:val="2"/>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饲料残渣</w:t>
            </w:r>
          </w:p>
        </w:tc>
        <w:tc>
          <w:tcPr>
            <w:tcW w:w="548" w:type="pct"/>
            <w:tcBorders>
              <w:top w:val="single" w:color="auto" w:sz="6" w:space="0"/>
              <w:left w:val="single" w:color="auto" w:sz="6" w:space="0"/>
              <w:bottom w:val="single" w:color="auto" w:sz="6" w:space="0"/>
              <w:right w:val="single" w:color="auto" w:sz="6"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饲料残渣</w:t>
            </w:r>
          </w:p>
        </w:tc>
        <w:tc>
          <w:tcPr>
            <w:tcW w:w="948" w:type="pct"/>
            <w:vMerge w:val="continue"/>
            <w:tcBorders>
              <w:left w:val="single" w:color="auto" w:sz="6" w:space="0"/>
              <w:right w:val="single" w:color="auto" w:sz="6" w:space="0"/>
            </w:tcBorders>
            <w:vAlign w:val="center"/>
          </w:tcPr>
          <w:p>
            <w:pPr>
              <w:widowControl/>
              <w:jc w:val="center"/>
              <w:rPr>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821" w:type="pct"/>
            <w:gridSpan w:val="4"/>
            <w:vMerge w:val="continue"/>
            <w:tcBorders>
              <w:left w:val="single" w:color="auto" w:sz="6" w:space="0"/>
              <w:right w:val="single" w:color="auto" w:sz="6" w:space="0"/>
            </w:tcBorders>
            <w:vAlign w:val="center"/>
          </w:tcPr>
          <w:p>
            <w:pPr>
              <w:widowControl/>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left w:val="single" w:color="auto" w:sz="6" w:space="0"/>
              <w:right w:val="single" w:color="auto" w:sz="6" w:space="0"/>
            </w:tcBorders>
            <w:vAlign w:val="center"/>
          </w:tcPr>
          <w:p>
            <w:pPr>
              <w:widowControl/>
              <w:jc w:val="center"/>
              <w:rPr>
                <w:szCs w:val="21"/>
              </w:rPr>
            </w:pPr>
          </w:p>
        </w:tc>
        <w:tc>
          <w:tcPr>
            <w:tcW w:w="606" w:type="pct"/>
            <w:gridSpan w:val="2"/>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napToGrid w:val="0"/>
                <w:szCs w:val="21"/>
              </w:rPr>
              <w:t>污水处理站污泥</w:t>
            </w:r>
          </w:p>
        </w:tc>
        <w:tc>
          <w:tcPr>
            <w:tcW w:w="548" w:type="pct"/>
            <w:tcBorders>
              <w:top w:val="single" w:color="auto" w:sz="6" w:space="0"/>
              <w:left w:val="single" w:color="auto" w:sz="6" w:space="0"/>
              <w:bottom w:val="single" w:color="auto" w:sz="6" w:space="0"/>
              <w:right w:val="single" w:color="auto" w:sz="6"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污泥</w:t>
            </w:r>
          </w:p>
        </w:tc>
        <w:tc>
          <w:tcPr>
            <w:tcW w:w="948" w:type="pct"/>
            <w:vMerge w:val="continue"/>
            <w:tcBorders>
              <w:left w:val="single" w:color="auto" w:sz="6" w:space="0"/>
              <w:bottom w:val="single" w:color="auto" w:sz="6" w:space="0"/>
              <w:right w:val="single" w:color="auto" w:sz="6" w:space="0"/>
            </w:tcBorders>
            <w:vAlign w:val="center"/>
          </w:tcPr>
          <w:p>
            <w:pPr>
              <w:pStyle w:val="128"/>
              <w:rPr>
                <w:rFonts w:ascii="Times New Roman" w:hAnsi="Times New Roman"/>
                <w:kern w:val="0"/>
                <w:szCs w:val="21"/>
              </w:rPr>
            </w:pP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821" w:type="pct"/>
            <w:gridSpan w:val="4"/>
            <w:vMerge w:val="continue"/>
            <w:tcBorders>
              <w:left w:val="single" w:color="auto" w:sz="6" w:space="0"/>
              <w:bottom w:val="single" w:color="auto" w:sz="6" w:space="0"/>
              <w:right w:val="single" w:color="auto" w:sz="6" w:space="0"/>
            </w:tcBorders>
            <w:vAlign w:val="center"/>
          </w:tcPr>
          <w:p>
            <w:pPr>
              <w:pStyle w:val="128"/>
              <w:rPr>
                <w:rFonts w:ascii="Times New Roman" w:hAnsi="Times New Roman"/>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left w:val="single" w:color="auto" w:sz="6" w:space="0"/>
              <w:right w:val="single" w:color="auto" w:sz="6" w:space="0"/>
            </w:tcBorders>
            <w:vAlign w:val="center"/>
          </w:tcPr>
          <w:p>
            <w:pPr>
              <w:widowControl/>
              <w:jc w:val="center"/>
              <w:rPr>
                <w:szCs w:val="21"/>
              </w:rPr>
            </w:pPr>
          </w:p>
        </w:tc>
        <w:tc>
          <w:tcPr>
            <w:tcW w:w="606" w:type="pct"/>
            <w:gridSpan w:val="2"/>
            <w:tcBorders>
              <w:top w:val="single" w:color="auto" w:sz="6" w:space="0"/>
              <w:left w:val="single" w:color="auto" w:sz="6" w:space="0"/>
              <w:bottom w:val="single" w:color="auto" w:sz="6" w:space="0"/>
              <w:right w:val="single" w:color="auto" w:sz="6" w:space="0"/>
            </w:tcBorders>
            <w:vAlign w:val="center"/>
          </w:tcPr>
          <w:p>
            <w:pPr>
              <w:jc w:val="center"/>
              <w:rPr>
                <w:snapToGrid w:val="0"/>
                <w:szCs w:val="21"/>
              </w:rPr>
            </w:pPr>
            <w:r>
              <w:rPr>
                <w:rFonts w:hint="eastAsia"/>
                <w:snapToGrid w:val="0"/>
                <w:szCs w:val="21"/>
              </w:rPr>
              <w:t>病死鸡尸体</w:t>
            </w:r>
          </w:p>
        </w:tc>
        <w:tc>
          <w:tcPr>
            <w:tcW w:w="548" w:type="pct"/>
            <w:tcBorders>
              <w:top w:val="single" w:color="auto" w:sz="6" w:space="0"/>
              <w:left w:val="single" w:color="auto" w:sz="6" w:space="0"/>
              <w:bottom w:val="single" w:color="auto" w:sz="6" w:space="0"/>
              <w:right w:val="single" w:color="auto" w:sz="6" w:space="0"/>
            </w:tcBorders>
            <w:vAlign w:val="center"/>
          </w:tcPr>
          <w:p>
            <w:pPr>
              <w:pStyle w:val="57"/>
              <w:snapToGrid/>
              <w:spacing w:before="0" w:after="0" w:line="240" w:lineRule="auto"/>
              <w:ind w:firstLine="0" w:firstLineChars="0"/>
              <w:jc w:val="center"/>
              <w:rPr>
                <w:rFonts w:hAnsi="宋体"/>
                <w:bCs/>
                <w:sz w:val="21"/>
                <w:szCs w:val="21"/>
              </w:rPr>
            </w:pPr>
          </w:p>
        </w:tc>
        <w:tc>
          <w:tcPr>
            <w:tcW w:w="948" w:type="pct"/>
            <w:tcBorders>
              <w:left w:val="single" w:color="auto" w:sz="6" w:space="0"/>
              <w:bottom w:val="single" w:color="auto" w:sz="6" w:space="0"/>
              <w:right w:val="single" w:color="auto" w:sz="6" w:space="0"/>
            </w:tcBorders>
            <w:vAlign w:val="center"/>
          </w:tcPr>
          <w:p>
            <w:pPr>
              <w:pStyle w:val="128"/>
              <w:rPr>
                <w:rFonts w:ascii="Times New Roman" w:hAnsi="Times New Roman"/>
                <w:kern w:val="0"/>
                <w:szCs w:val="21"/>
              </w:rPr>
            </w:pPr>
            <w:r>
              <w:rPr>
                <w:rFonts w:hint="eastAsia" w:ascii="Times New Roman" w:hAnsi="Times New Roman"/>
                <w:bCs/>
                <w:kern w:val="0"/>
                <w:szCs w:val="21"/>
                <w:lang w:val="en-US"/>
              </w:rPr>
              <w:t>设置2座安全填埋井，用于处置饲养过程中因疾病等原因死亡而产生的病死鸡。</w:t>
            </w: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p>
        </w:tc>
        <w:tc>
          <w:tcPr>
            <w:tcW w:w="1821" w:type="pct"/>
            <w:gridSpan w:val="4"/>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kern w:val="0"/>
                <w:szCs w:val="21"/>
              </w:rPr>
            </w:pPr>
            <w:r>
              <w:rPr>
                <w:rFonts w:hint="eastAsia" w:ascii="Times New Roman" w:hAnsi="Times New Roman"/>
                <w:kern w:val="0"/>
                <w:szCs w:val="21"/>
              </w:rPr>
              <w:t>安全填埋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left w:val="single" w:color="auto" w:sz="6" w:space="0"/>
              <w:right w:val="single" w:color="auto" w:sz="6" w:space="0"/>
            </w:tcBorders>
            <w:vAlign w:val="center"/>
          </w:tcPr>
          <w:p>
            <w:pPr>
              <w:widowControl/>
              <w:jc w:val="center"/>
              <w:rPr>
                <w:szCs w:val="21"/>
              </w:rPr>
            </w:pPr>
          </w:p>
        </w:tc>
        <w:tc>
          <w:tcPr>
            <w:tcW w:w="606" w:type="pct"/>
            <w:gridSpan w:val="2"/>
            <w:tcBorders>
              <w:top w:val="single" w:color="auto" w:sz="6" w:space="0"/>
              <w:left w:val="single" w:color="auto" w:sz="6" w:space="0"/>
              <w:bottom w:val="single" w:color="auto" w:sz="6" w:space="0"/>
              <w:right w:val="single" w:color="auto" w:sz="6" w:space="0"/>
            </w:tcBorders>
            <w:vAlign w:val="center"/>
          </w:tcPr>
          <w:p>
            <w:pPr>
              <w:jc w:val="center"/>
              <w:rPr>
                <w:snapToGrid w:val="0"/>
                <w:szCs w:val="21"/>
              </w:rPr>
            </w:pPr>
            <w:r>
              <w:rPr>
                <w:rFonts w:hint="eastAsia"/>
                <w:snapToGrid w:val="0"/>
                <w:szCs w:val="21"/>
              </w:rPr>
              <w:t>废弃包装袋</w:t>
            </w:r>
          </w:p>
        </w:tc>
        <w:tc>
          <w:tcPr>
            <w:tcW w:w="548" w:type="pct"/>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cs="Times New Roman"/>
                <w:snapToGrid w:val="0"/>
              </w:rPr>
            </w:pPr>
            <w:r>
              <w:rPr>
                <w:rFonts w:hint="eastAsia" w:ascii="Times New Roman" w:hAnsi="Times New Roman" w:cs="Times New Roman"/>
                <w:snapToGrid w:val="0"/>
              </w:rPr>
              <w:t>包装袋</w:t>
            </w:r>
          </w:p>
        </w:tc>
        <w:tc>
          <w:tcPr>
            <w:tcW w:w="948" w:type="pct"/>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kern w:val="0"/>
                <w:szCs w:val="21"/>
                <w:lang w:val="en-US"/>
              </w:rPr>
            </w:pPr>
            <w:r>
              <w:rPr>
                <w:rFonts w:hint="eastAsia" w:ascii="Times New Roman" w:hAnsi="Times New Roman"/>
                <w:kern w:val="0"/>
                <w:szCs w:val="21"/>
                <w:lang w:val="en-US"/>
              </w:rPr>
              <w:t>外售或返回厂家回收利用</w:t>
            </w: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821" w:type="pct"/>
            <w:gridSpan w:val="4"/>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kern w:val="0"/>
                <w:szCs w:val="21"/>
                <w:lang w:val="en-US"/>
              </w:rPr>
            </w:pPr>
            <w:r>
              <w:rPr>
                <w:rFonts w:hint="eastAsia" w:ascii="Times New Roman" w:hAnsi="Times New Roman"/>
                <w:kern w:val="0"/>
                <w:szCs w:val="21"/>
                <w:lang w:val="en-US"/>
              </w:rPr>
              <w:t>外售或返回厂家回收利用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left w:val="single" w:color="auto" w:sz="6" w:space="0"/>
              <w:right w:val="single" w:color="auto" w:sz="6" w:space="0"/>
            </w:tcBorders>
            <w:vAlign w:val="center"/>
          </w:tcPr>
          <w:p>
            <w:pPr>
              <w:widowControl/>
              <w:jc w:val="center"/>
              <w:rPr>
                <w:szCs w:val="21"/>
              </w:rPr>
            </w:pPr>
          </w:p>
        </w:tc>
        <w:tc>
          <w:tcPr>
            <w:tcW w:w="606" w:type="pct"/>
            <w:gridSpan w:val="2"/>
            <w:tcBorders>
              <w:top w:val="single" w:color="auto" w:sz="6" w:space="0"/>
              <w:left w:val="single" w:color="auto" w:sz="6" w:space="0"/>
              <w:bottom w:val="single" w:color="auto" w:sz="6" w:space="0"/>
              <w:right w:val="single" w:color="auto" w:sz="6" w:space="0"/>
            </w:tcBorders>
            <w:vAlign w:val="center"/>
          </w:tcPr>
          <w:p>
            <w:pPr>
              <w:jc w:val="center"/>
              <w:rPr>
                <w:szCs w:val="21"/>
                <w:lang w:val="zh-CN"/>
              </w:rPr>
            </w:pPr>
            <w:r>
              <w:rPr>
                <w:rFonts w:hint="eastAsia"/>
                <w:snapToGrid w:val="0"/>
                <w:szCs w:val="21"/>
              </w:rPr>
              <w:t>医疗废物、消毒废物</w:t>
            </w:r>
          </w:p>
        </w:tc>
        <w:tc>
          <w:tcPr>
            <w:tcW w:w="548" w:type="pct"/>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cs="Times New Roman"/>
                <w:snapToGrid w:val="0"/>
              </w:rPr>
            </w:pPr>
            <w:r>
              <w:rPr>
                <w:rFonts w:hint="eastAsia" w:ascii="Times New Roman" w:hAnsi="Times New Roman" w:cs="Times New Roman"/>
                <w:snapToGrid w:val="0"/>
              </w:rPr>
              <w:t>危险</w:t>
            </w:r>
            <w:r>
              <w:rPr>
                <w:rFonts w:ascii="Times New Roman" w:hAnsi="Times New Roman" w:cs="Times New Roman"/>
                <w:snapToGrid w:val="0"/>
              </w:rPr>
              <w:t>废物</w:t>
            </w:r>
          </w:p>
        </w:tc>
        <w:tc>
          <w:tcPr>
            <w:tcW w:w="948" w:type="pct"/>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kern w:val="0"/>
                <w:szCs w:val="21"/>
              </w:rPr>
            </w:pPr>
            <w:r>
              <w:rPr>
                <w:rFonts w:hint="eastAsia" w:ascii="Times New Roman" w:hAnsi="Times New Roman"/>
                <w:kern w:val="0"/>
                <w:szCs w:val="21"/>
              </w:rPr>
              <w:t>委托有资质单位处理</w:t>
            </w: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821" w:type="pct"/>
            <w:gridSpan w:val="4"/>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kern w:val="0"/>
                <w:szCs w:val="21"/>
              </w:rPr>
            </w:pPr>
            <w:r>
              <w:rPr>
                <w:rFonts w:hint="eastAsia" w:ascii="Times New Roman" w:hAnsi="Times New Roman"/>
                <w:kern w:val="0"/>
                <w:szCs w:val="21"/>
              </w:rPr>
              <w:t>委托有资质单位处理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vMerge w:val="continue"/>
            <w:tcBorders>
              <w:left w:val="single" w:color="auto" w:sz="6" w:space="0"/>
              <w:right w:val="single" w:color="auto" w:sz="6" w:space="0"/>
            </w:tcBorders>
            <w:vAlign w:val="center"/>
          </w:tcPr>
          <w:p>
            <w:pPr>
              <w:widowControl/>
              <w:jc w:val="center"/>
              <w:rPr>
                <w:szCs w:val="21"/>
              </w:rPr>
            </w:pPr>
          </w:p>
        </w:tc>
        <w:tc>
          <w:tcPr>
            <w:tcW w:w="606" w:type="pct"/>
            <w:gridSpan w:val="2"/>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snapToGrid w:val="0"/>
                <w:kern w:val="0"/>
                <w:szCs w:val="21"/>
              </w:rPr>
            </w:pPr>
            <w:r>
              <w:rPr>
                <w:rFonts w:hint="eastAsia" w:ascii="Times New Roman" w:hAnsi="Times New Roman"/>
                <w:snapToGrid w:val="0"/>
                <w:kern w:val="0"/>
                <w:szCs w:val="21"/>
              </w:rPr>
              <w:t>生活垃圾</w:t>
            </w:r>
          </w:p>
        </w:tc>
        <w:tc>
          <w:tcPr>
            <w:tcW w:w="548" w:type="pct"/>
            <w:tcBorders>
              <w:top w:val="single" w:color="auto" w:sz="6" w:space="0"/>
              <w:left w:val="single" w:color="auto" w:sz="6" w:space="0"/>
              <w:bottom w:val="single" w:color="auto" w:sz="6" w:space="0"/>
              <w:right w:val="single" w:color="auto" w:sz="6" w:space="0"/>
            </w:tcBorders>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生活垃圾</w:t>
            </w:r>
          </w:p>
        </w:tc>
        <w:tc>
          <w:tcPr>
            <w:tcW w:w="948" w:type="pct"/>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bCs/>
                <w:kern w:val="0"/>
                <w:szCs w:val="21"/>
                <w:lang w:val="en-US"/>
              </w:rPr>
            </w:pPr>
            <w:r>
              <w:rPr>
                <w:rFonts w:hint="eastAsia" w:ascii="Times New Roman" w:hAnsi="Times New Roman"/>
                <w:bCs/>
                <w:kern w:val="0"/>
                <w:szCs w:val="21"/>
                <w:lang w:val="en-US"/>
              </w:rPr>
              <w:t>收集后运至市政部门指定的地点统一处理</w:t>
            </w:r>
          </w:p>
        </w:tc>
        <w:tc>
          <w:tcPr>
            <w:tcW w:w="498"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w:t>
            </w:r>
          </w:p>
        </w:tc>
        <w:tc>
          <w:tcPr>
            <w:tcW w:w="1821" w:type="pct"/>
            <w:gridSpan w:val="4"/>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bCs/>
                <w:kern w:val="0"/>
                <w:szCs w:val="21"/>
                <w:lang w:val="en-US"/>
              </w:rPr>
            </w:pPr>
            <w:r>
              <w:rPr>
                <w:rFonts w:hint="eastAsia" w:ascii="Times New Roman" w:hAnsi="Times New Roman"/>
                <w:bCs/>
                <w:kern w:val="0"/>
                <w:szCs w:val="21"/>
                <w:lang w:val="en-US"/>
              </w:rPr>
              <w:t>收集后运至市政部门指定的地点统一处理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9" w:type="pct"/>
            <w:tcBorders>
              <w:left w:val="single" w:color="auto" w:sz="6" w:space="0"/>
              <w:bottom w:val="single" w:color="auto" w:sz="6" w:space="0"/>
              <w:right w:val="single" w:color="auto" w:sz="6" w:space="0"/>
            </w:tcBorders>
            <w:vAlign w:val="center"/>
          </w:tcPr>
          <w:p>
            <w:pPr>
              <w:widowControl/>
              <w:jc w:val="center"/>
              <w:rPr>
                <w:szCs w:val="21"/>
              </w:rPr>
            </w:pPr>
            <w:r>
              <w:rPr>
                <w:rFonts w:hint="eastAsia"/>
                <w:bCs/>
                <w:kern w:val="0"/>
                <w:szCs w:val="21"/>
              </w:rPr>
              <w:t>噪声</w:t>
            </w:r>
          </w:p>
        </w:tc>
        <w:tc>
          <w:tcPr>
            <w:tcW w:w="606" w:type="pct"/>
            <w:gridSpan w:val="2"/>
            <w:tcBorders>
              <w:top w:val="single" w:color="auto" w:sz="6" w:space="0"/>
              <w:left w:val="single" w:color="auto" w:sz="6" w:space="0"/>
              <w:bottom w:val="single" w:color="auto" w:sz="6" w:space="0"/>
              <w:right w:val="single" w:color="auto" w:sz="6" w:space="0"/>
            </w:tcBorders>
            <w:vAlign w:val="center"/>
          </w:tcPr>
          <w:p>
            <w:pPr>
              <w:widowControl/>
              <w:jc w:val="center"/>
              <w:rPr>
                <w:color w:val="000000"/>
                <w:szCs w:val="21"/>
              </w:rPr>
            </w:pPr>
            <w:r>
              <w:rPr>
                <w:rFonts w:hint="eastAsia"/>
                <w:bCs/>
                <w:kern w:val="0"/>
                <w:szCs w:val="21"/>
              </w:rPr>
              <w:t>生产</w:t>
            </w:r>
          </w:p>
        </w:tc>
        <w:tc>
          <w:tcPr>
            <w:tcW w:w="548" w:type="pct"/>
            <w:tcBorders>
              <w:top w:val="single" w:color="auto" w:sz="6" w:space="0"/>
              <w:left w:val="single" w:color="auto" w:sz="6" w:space="0"/>
              <w:bottom w:val="single" w:color="auto" w:sz="6" w:space="0"/>
              <w:right w:val="single" w:color="auto" w:sz="6" w:space="0"/>
            </w:tcBorders>
            <w:vAlign w:val="center"/>
          </w:tcPr>
          <w:p>
            <w:pPr>
              <w:widowControl/>
              <w:jc w:val="center"/>
              <w:rPr>
                <w:color w:val="000000"/>
                <w:szCs w:val="21"/>
              </w:rPr>
            </w:pPr>
            <w:r>
              <w:rPr>
                <w:rFonts w:hint="eastAsia"/>
                <w:bCs/>
                <w:kern w:val="0"/>
                <w:szCs w:val="21"/>
              </w:rPr>
              <w:t>噪声</w:t>
            </w:r>
          </w:p>
        </w:tc>
        <w:tc>
          <w:tcPr>
            <w:tcW w:w="948" w:type="pct"/>
            <w:tcBorders>
              <w:top w:val="single" w:color="auto" w:sz="6" w:space="0"/>
              <w:left w:val="single" w:color="auto" w:sz="6" w:space="0"/>
              <w:bottom w:val="single" w:color="auto" w:sz="6" w:space="0"/>
              <w:right w:val="single" w:color="auto" w:sz="6" w:space="0"/>
            </w:tcBorders>
            <w:vAlign w:val="center"/>
          </w:tcPr>
          <w:p>
            <w:pPr>
              <w:pStyle w:val="128"/>
              <w:rPr>
                <w:rFonts w:ascii="Times New Roman" w:hAnsi="Times New Roman"/>
                <w:bCs/>
                <w:kern w:val="0"/>
                <w:szCs w:val="21"/>
                <w:lang w:val="en-US"/>
              </w:rPr>
            </w:pPr>
            <w:r>
              <w:rPr>
                <w:rFonts w:hint="eastAsia"/>
                <w:szCs w:val="21"/>
              </w:rPr>
              <w:t>基础减震、室内布置、消声器、隔声门窗等</w:t>
            </w:r>
          </w:p>
        </w:tc>
        <w:tc>
          <w:tcPr>
            <w:tcW w:w="897" w:type="pct"/>
            <w:gridSpan w:val="2"/>
            <w:tcBorders>
              <w:top w:val="single" w:color="auto" w:sz="6" w:space="0"/>
              <w:left w:val="single" w:color="auto" w:sz="6" w:space="0"/>
              <w:bottom w:val="single" w:color="auto" w:sz="6" w:space="0"/>
              <w:right w:val="single" w:color="auto" w:sz="6" w:space="0"/>
            </w:tcBorders>
            <w:vAlign w:val="center"/>
          </w:tcPr>
          <w:p>
            <w:pPr>
              <w:pStyle w:val="30"/>
              <w:spacing w:after="0"/>
              <w:ind w:left="0" w:leftChars="0" w:firstLine="0" w:firstLineChars="0"/>
              <w:jc w:val="center"/>
              <w:rPr>
                <w:color w:val="000000"/>
                <w:szCs w:val="21"/>
              </w:rPr>
            </w:pPr>
            <w:r>
              <w:rPr>
                <w:bCs/>
                <w:kern w:val="0"/>
                <w:szCs w:val="21"/>
              </w:rPr>
              <w:t>75-80dB(A)</w:t>
            </w:r>
          </w:p>
        </w:tc>
        <w:tc>
          <w:tcPr>
            <w:tcW w:w="1821" w:type="pct"/>
            <w:gridSpan w:val="4"/>
            <w:tcBorders>
              <w:top w:val="single" w:color="auto" w:sz="6" w:space="0"/>
              <w:left w:val="single" w:color="auto" w:sz="6" w:space="0"/>
              <w:bottom w:val="single" w:color="auto" w:sz="6" w:space="0"/>
              <w:right w:val="single" w:color="auto" w:sz="6" w:space="0"/>
            </w:tcBorders>
            <w:vAlign w:val="center"/>
          </w:tcPr>
          <w:p>
            <w:pPr>
              <w:tabs>
                <w:tab w:val="left" w:pos="7470"/>
              </w:tabs>
              <w:spacing w:line="0" w:lineRule="atLeast"/>
              <w:jc w:val="center"/>
              <w:rPr>
                <w:szCs w:val="21"/>
              </w:rPr>
            </w:pPr>
            <w:r>
              <w:rPr>
                <w:rFonts w:hint="eastAsia"/>
                <w:bCs/>
                <w:kern w:val="0"/>
                <w:szCs w:val="21"/>
              </w:rPr>
              <w:t>2类标准限值</w:t>
            </w:r>
          </w:p>
        </w:tc>
      </w:tr>
    </w:tbl>
    <w:p>
      <w:pPr>
        <w:jc w:val="center"/>
        <w:rPr>
          <w:rFonts w:ascii="黑体" w:hAnsi="黑体" w:eastAsia="黑体"/>
          <w:color w:val="000000"/>
          <w:sz w:val="24"/>
          <w:szCs w:val="24"/>
        </w:rPr>
      </w:pPr>
    </w:p>
    <w:p>
      <w:pPr>
        <w:jc w:val="center"/>
        <w:rPr>
          <w:rFonts w:ascii="黑体" w:hAnsi="黑体" w:eastAsia="黑体"/>
          <w:color w:val="000000"/>
          <w:sz w:val="24"/>
          <w:szCs w:val="24"/>
        </w:rPr>
      </w:pPr>
    </w:p>
    <w:p>
      <w:pPr>
        <w:spacing w:line="40" w:lineRule="exact"/>
        <w:ind w:firstLine="480" w:firstLineChars="200"/>
        <w:rPr>
          <w:rFonts w:ascii="宋体" w:hAnsi="宋体"/>
          <w:bCs/>
          <w:sz w:val="24"/>
          <w:szCs w:val="24"/>
        </w:rPr>
      </w:pPr>
    </w:p>
    <w:p>
      <w:pPr>
        <w:spacing w:line="480" w:lineRule="exact"/>
        <w:ind w:firstLine="482"/>
        <w:rPr>
          <w:rFonts w:ascii="宋体" w:hAnsi="宋体"/>
          <w:bCs/>
          <w:sz w:val="24"/>
          <w:szCs w:val="24"/>
        </w:rPr>
        <w:sectPr>
          <w:pgSz w:w="16838" w:h="11906" w:orient="landscape"/>
          <w:pgMar w:top="1418" w:right="1531" w:bottom="1418" w:left="1531" w:header="851" w:footer="992" w:gutter="0"/>
          <w:cols w:space="425" w:num="1"/>
          <w:docGrid w:type="linesAndChars" w:linePitch="312" w:charSpace="0"/>
        </w:sectPr>
      </w:pPr>
    </w:p>
    <w:p>
      <w:pPr>
        <w:spacing w:line="720" w:lineRule="auto"/>
        <w:jc w:val="center"/>
        <w:outlineLvl w:val="0"/>
        <w:rPr>
          <w:rFonts w:hAnsi="黑体" w:eastAsia="黑体"/>
          <w:b/>
          <w:bCs/>
          <w:sz w:val="44"/>
          <w:szCs w:val="44"/>
        </w:rPr>
      </w:pPr>
      <w:bookmarkStart w:id="150" w:name="_Toc19105488"/>
      <w:r>
        <w:rPr>
          <w:rFonts w:hint="eastAsia" w:hAnsi="黑体" w:eastAsia="黑体"/>
          <w:b/>
          <w:bCs/>
          <w:sz w:val="44"/>
          <w:szCs w:val="44"/>
        </w:rPr>
        <w:t>10 结论</w:t>
      </w:r>
      <w:bookmarkEnd w:id="150"/>
    </w:p>
    <w:p>
      <w:pPr>
        <w:pStyle w:val="2"/>
        <w:spacing w:before="156" w:beforeLines="50" w:after="0" w:line="480" w:lineRule="exact"/>
        <w:rPr>
          <w:rFonts w:ascii="Times New Roman" w:hAnsi="Times New Roman"/>
          <w:bCs w:val="0"/>
          <w:spacing w:val="4"/>
          <w:sz w:val="28"/>
          <w:szCs w:val="28"/>
        </w:rPr>
      </w:pPr>
      <w:bookmarkStart w:id="151" w:name="_Toc19105489"/>
      <w:r>
        <w:rPr>
          <w:rFonts w:hint="eastAsia" w:ascii="Times New Roman" w:hAnsi="Times New Roman"/>
          <w:bCs w:val="0"/>
          <w:spacing w:val="4"/>
          <w:sz w:val="28"/>
          <w:szCs w:val="28"/>
        </w:rPr>
        <w:t>10.1</w:t>
      </w:r>
      <w:r>
        <w:rPr>
          <w:rFonts w:hint="eastAsia"/>
          <w:sz w:val="28"/>
          <w:szCs w:val="28"/>
        </w:rPr>
        <w:t>项目概况</w:t>
      </w:r>
      <w:bookmarkEnd w:id="151"/>
    </w:p>
    <w:p>
      <w:pPr>
        <w:spacing w:line="480" w:lineRule="exact"/>
        <w:ind w:firstLine="480" w:firstLineChars="200"/>
        <w:rPr>
          <w:bCs/>
          <w:sz w:val="24"/>
          <w:szCs w:val="24"/>
        </w:rPr>
      </w:pPr>
      <w:r>
        <w:rPr>
          <w:rFonts w:hint="eastAsia"/>
          <w:bCs/>
          <w:kern w:val="0"/>
          <w:sz w:val="24"/>
          <w:szCs w:val="24"/>
        </w:rPr>
        <w:t>“汾阳市褚凤肉鸡养殖项目”位于汾阳市峪道河镇田褚村，占地面积约42000m</w:t>
      </w:r>
      <w:r>
        <w:rPr>
          <w:rFonts w:hint="eastAsia"/>
          <w:bCs/>
          <w:kern w:val="0"/>
          <w:sz w:val="24"/>
          <w:szCs w:val="24"/>
          <w:vertAlign w:val="superscript"/>
        </w:rPr>
        <w:t>2</w:t>
      </w:r>
      <w:r>
        <w:rPr>
          <w:rFonts w:hint="eastAsia"/>
          <w:bCs/>
          <w:kern w:val="0"/>
          <w:sz w:val="24"/>
          <w:szCs w:val="24"/>
        </w:rPr>
        <w:t>，本项目主要建设内容为新建鸡舍</w:t>
      </w:r>
      <w:r>
        <w:rPr>
          <w:bCs/>
          <w:kern w:val="0"/>
          <w:sz w:val="24"/>
          <w:szCs w:val="24"/>
        </w:rPr>
        <w:t>7</w:t>
      </w:r>
      <w:r>
        <w:rPr>
          <w:rFonts w:hint="eastAsia"/>
          <w:bCs/>
          <w:kern w:val="0"/>
          <w:sz w:val="24"/>
          <w:szCs w:val="24"/>
        </w:rPr>
        <w:t>栋，并配套锅炉房、污水处理站等构建筑物；本项目为采购鸡苗养殖，不含孵化过程。本项目常年存栏肉鸡</w:t>
      </w:r>
      <w:r>
        <w:rPr>
          <w:bCs/>
          <w:kern w:val="0"/>
          <w:sz w:val="24"/>
          <w:szCs w:val="24"/>
        </w:rPr>
        <w:t>23.8</w:t>
      </w:r>
      <w:r>
        <w:rPr>
          <w:rFonts w:hint="eastAsia"/>
          <w:bCs/>
          <w:kern w:val="0"/>
          <w:sz w:val="24"/>
          <w:szCs w:val="24"/>
        </w:rPr>
        <w:t>万只，项目达产后年出栏</w:t>
      </w:r>
      <w:r>
        <w:rPr>
          <w:bCs/>
          <w:kern w:val="0"/>
          <w:sz w:val="24"/>
          <w:szCs w:val="24"/>
        </w:rPr>
        <w:t>6</w:t>
      </w:r>
      <w:r>
        <w:rPr>
          <w:rFonts w:hint="eastAsia"/>
          <w:bCs/>
          <w:kern w:val="0"/>
          <w:sz w:val="24"/>
          <w:szCs w:val="24"/>
        </w:rPr>
        <w:t>个批次，年出栏肉鸡约</w:t>
      </w:r>
      <w:r>
        <w:rPr>
          <w:bCs/>
          <w:kern w:val="0"/>
          <w:sz w:val="24"/>
          <w:szCs w:val="24"/>
        </w:rPr>
        <w:t>140</w:t>
      </w:r>
      <w:r>
        <w:rPr>
          <w:rFonts w:hint="eastAsia"/>
          <w:bCs/>
          <w:kern w:val="0"/>
          <w:sz w:val="24"/>
          <w:szCs w:val="24"/>
        </w:rPr>
        <w:t>万羽。</w:t>
      </w:r>
    </w:p>
    <w:p>
      <w:pPr>
        <w:spacing w:line="480" w:lineRule="exact"/>
        <w:ind w:firstLine="480" w:firstLineChars="200"/>
        <w:rPr>
          <w:rFonts w:hAnsi="宋体"/>
          <w:bCs/>
          <w:sz w:val="24"/>
          <w:szCs w:val="24"/>
        </w:rPr>
      </w:pPr>
      <w:r>
        <w:rPr>
          <w:rFonts w:hint="eastAsia"/>
          <w:color w:val="000000"/>
          <w:sz w:val="24"/>
          <w:szCs w:val="22"/>
        </w:rPr>
        <w:t>2019年6月</w:t>
      </w:r>
      <w:r>
        <w:rPr>
          <w:color w:val="000000"/>
          <w:sz w:val="24"/>
          <w:szCs w:val="22"/>
        </w:rPr>
        <w:t>3</w:t>
      </w:r>
      <w:r>
        <w:rPr>
          <w:rFonts w:hint="eastAsia"/>
          <w:color w:val="000000"/>
          <w:sz w:val="24"/>
          <w:szCs w:val="22"/>
        </w:rPr>
        <w:t>日，汾阳市发展和改革局以2019-111号文对本项目进行了备案，项目编码为：2019-141182-03-03-010469。</w:t>
      </w:r>
    </w:p>
    <w:p>
      <w:pPr>
        <w:pStyle w:val="2"/>
        <w:spacing w:before="156" w:beforeLines="50" w:after="0" w:line="480" w:lineRule="exact"/>
        <w:rPr>
          <w:rFonts w:ascii="Times New Roman" w:hAnsi="Times New Roman"/>
          <w:bCs w:val="0"/>
          <w:spacing w:val="4"/>
          <w:sz w:val="28"/>
          <w:szCs w:val="28"/>
        </w:rPr>
      </w:pPr>
      <w:bookmarkStart w:id="152" w:name="_Toc19105490"/>
      <w:r>
        <w:rPr>
          <w:rFonts w:hint="eastAsia" w:ascii="Times New Roman" w:hAnsi="Times New Roman"/>
          <w:bCs w:val="0"/>
          <w:spacing w:val="4"/>
          <w:sz w:val="28"/>
          <w:szCs w:val="28"/>
        </w:rPr>
        <w:t>10.2</w:t>
      </w:r>
      <w:r>
        <w:rPr>
          <w:rFonts w:hint="eastAsia"/>
          <w:sz w:val="28"/>
          <w:szCs w:val="28"/>
        </w:rPr>
        <w:t>主要建设内容</w:t>
      </w:r>
      <w:bookmarkEnd w:id="152"/>
    </w:p>
    <w:p>
      <w:pPr>
        <w:spacing w:line="480" w:lineRule="exact"/>
        <w:ind w:firstLine="480" w:firstLineChars="200"/>
        <w:rPr>
          <w:rFonts w:hAnsi="宋体"/>
          <w:bCs/>
          <w:sz w:val="24"/>
          <w:szCs w:val="24"/>
        </w:rPr>
      </w:pPr>
      <w:r>
        <w:rPr>
          <w:rFonts w:hint="eastAsia" w:hAnsi="宋体"/>
          <w:bCs/>
          <w:sz w:val="24"/>
          <w:szCs w:val="24"/>
        </w:rPr>
        <w:t>主要建设内容见表</w:t>
      </w:r>
      <w:r>
        <w:rPr>
          <w:rFonts w:hAnsi="宋体"/>
          <w:bCs/>
          <w:sz w:val="24"/>
          <w:szCs w:val="24"/>
        </w:rPr>
        <w:t>10.2-1</w:t>
      </w:r>
      <w:r>
        <w:rPr>
          <w:rFonts w:hint="eastAsia" w:hAnsi="宋体"/>
          <w:bCs/>
          <w:sz w:val="24"/>
          <w:szCs w:val="24"/>
        </w:rPr>
        <w:t>。</w:t>
      </w:r>
    </w:p>
    <w:p>
      <w:pPr>
        <w:pStyle w:val="57"/>
        <w:spacing w:before="0" w:after="0" w:line="480" w:lineRule="exact"/>
        <w:ind w:firstLine="0" w:firstLineChars="0"/>
        <w:jc w:val="center"/>
        <w:rPr>
          <w:rFonts w:ascii="黑体" w:hAnsi="黑体" w:eastAsia="黑体"/>
          <w:bCs/>
        </w:rPr>
      </w:pPr>
      <w:r>
        <w:rPr>
          <w:rFonts w:hint="eastAsia" w:ascii="黑体" w:hAnsi="黑体" w:eastAsia="黑体"/>
          <w:bCs/>
        </w:rPr>
        <w:t>表</w:t>
      </w:r>
      <w:r>
        <w:rPr>
          <w:rFonts w:ascii="黑体" w:hAnsi="黑体" w:eastAsia="黑体"/>
          <w:bCs/>
        </w:rPr>
        <w:t>10.2-1</w:t>
      </w:r>
      <w:r>
        <w:rPr>
          <w:rFonts w:hint="eastAsia" w:ascii="黑体" w:hAnsi="黑体" w:eastAsia="黑体"/>
          <w:bCs/>
        </w:rPr>
        <w:t xml:space="preserve">  项目主要建设内容一览表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486"/>
        <w:gridCol w:w="1238"/>
        <w:gridCol w:w="5456"/>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8" w:type="pct"/>
            <w:gridSpan w:val="3"/>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工程名称</w:t>
            </w:r>
          </w:p>
        </w:tc>
        <w:tc>
          <w:tcPr>
            <w:tcW w:w="301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主要建设内容</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主体工程</w:t>
            </w: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鸡舍</w:t>
            </w:r>
          </w:p>
        </w:tc>
        <w:tc>
          <w:tcPr>
            <w:tcW w:w="3011" w:type="pct"/>
            <w:shd w:val="clear" w:color="auto" w:fill="auto"/>
            <w:vAlign w:val="center"/>
          </w:tcPr>
          <w:p>
            <w:pPr>
              <w:pStyle w:val="117"/>
              <w:rPr>
                <w:sz w:val="21"/>
                <w:szCs w:val="21"/>
              </w:rPr>
            </w:pPr>
            <w:r>
              <w:rPr>
                <w:rFonts w:hint="eastAsia"/>
                <w:sz w:val="21"/>
                <w:szCs w:val="21"/>
              </w:rPr>
              <w:t>新建</w:t>
            </w:r>
            <w:r>
              <w:rPr>
                <w:sz w:val="21"/>
                <w:szCs w:val="21"/>
              </w:rPr>
              <w:t>7</w:t>
            </w:r>
            <w:r>
              <w:rPr>
                <w:rFonts w:hint="eastAsia"/>
                <w:sz w:val="21"/>
                <w:szCs w:val="21"/>
              </w:rPr>
              <w:t>栋，单栋建筑面积</w:t>
            </w:r>
            <w:r>
              <w:rPr>
                <w:sz w:val="21"/>
                <w:szCs w:val="21"/>
              </w:rPr>
              <w:t>1530</w:t>
            </w:r>
            <w:r>
              <w:rPr>
                <w:rFonts w:hint="eastAsia"/>
                <w:sz w:val="21"/>
                <w:szCs w:val="21"/>
              </w:rPr>
              <w:t>m</w:t>
            </w:r>
            <w:r>
              <w:rPr>
                <w:sz w:val="21"/>
                <w:szCs w:val="21"/>
                <w:vertAlign w:val="superscript"/>
              </w:rPr>
              <w:t>2</w:t>
            </w:r>
            <w:r>
              <w:rPr>
                <w:rFonts w:hint="eastAsia"/>
                <w:sz w:val="21"/>
                <w:szCs w:val="21"/>
              </w:rPr>
              <w:t>（8</w:t>
            </w:r>
            <w:r>
              <w:rPr>
                <w:sz w:val="21"/>
                <w:szCs w:val="21"/>
              </w:rPr>
              <w:t>5</w:t>
            </w:r>
            <w:r>
              <w:rPr>
                <w:rFonts w:hint="eastAsia"/>
                <w:sz w:val="21"/>
                <w:szCs w:val="21"/>
              </w:rPr>
              <w:t>m×1</w:t>
            </w:r>
            <w:r>
              <w:rPr>
                <w:sz w:val="21"/>
                <w:szCs w:val="21"/>
              </w:rPr>
              <w:t>8m</w:t>
            </w:r>
            <w:r>
              <w:rPr>
                <w:rFonts w:hint="eastAsia"/>
                <w:sz w:val="21"/>
                <w:szCs w:val="21"/>
              </w:rPr>
              <w:t>），总建筑面积</w:t>
            </w:r>
            <w:r>
              <w:rPr>
                <w:sz w:val="21"/>
                <w:szCs w:val="21"/>
              </w:rPr>
              <w:t>10710</w:t>
            </w:r>
            <w:r>
              <w:rPr>
                <w:rFonts w:hint="eastAsia"/>
                <w:sz w:val="21"/>
                <w:szCs w:val="21"/>
              </w:rPr>
              <w:t>m</w:t>
            </w:r>
            <w:r>
              <w:rPr>
                <w:sz w:val="21"/>
                <w:szCs w:val="21"/>
                <w:vertAlign w:val="superscript"/>
              </w:rPr>
              <w:t>2</w:t>
            </w:r>
            <w:r>
              <w:rPr>
                <w:rFonts w:hint="eastAsia"/>
                <w:sz w:val="21"/>
                <w:szCs w:val="21"/>
              </w:rPr>
              <w:t>，全部为单层，砖混结构，用于肉鸡饲养。采用立体笼养（四层），密闭式自动喂料的饲养模式，采用全进全出管理制度。每栋鸡舍饲养约</w:t>
            </w:r>
            <w:r>
              <w:rPr>
                <w:sz w:val="21"/>
                <w:szCs w:val="21"/>
              </w:rPr>
              <w:t>3.4</w:t>
            </w:r>
            <w:r>
              <w:rPr>
                <w:rFonts w:hint="eastAsia"/>
                <w:sz w:val="21"/>
                <w:szCs w:val="21"/>
              </w:rPr>
              <w:t>万只肉鸡，年出栏</w:t>
            </w:r>
            <w:r>
              <w:rPr>
                <w:sz w:val="21"/>
                <w:szCs w:val="21"/>
              </w:rPr>
              <w:t>6</w:t>
            </w:r>
            <w:r>
              <w:rPr>
                <w:rFonts w:hint="eastAsia"/>
                <w:sz w:val="21"/>
                <w:szCs w:val="21"/>
              </w:rPr>
              <w:t>个批次，可出栏肉鸡</w:t>
            </w:r>
            <w:r>
              <w:rPr>
                <w:sz w:val="21"/>
                <w:szCs w:val="21"/>
              </w:rPr>
              <w:t>140</w:t>
            </w:r>
            <w:r>
              <w:rPr>
                <w:rFonts w:hint="eastAsia"/>
                <w:sz w:val="21"/>
                <w:szCs w:val="21"/>
              </w:rPr>
              <w:t>万只。</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restart"/>
            <w:shd w:val="clear" w:color="auto" w:fill="auto"/>
            <w:vAlign w:val="center"/>
          </w:tcPr>
          <w:p>
            <w:pPr>
              <w:pStyle w:val="57"/>
              <w:spacing w:before="0" w:after="0" w:line="240" w:lineRule="auto"/>
              <w:ind w:firstLine="0" w:firstLineChars="0"/>
              <w:jc w:val="center"/>
              <w:rPr>
                <w:rFonts w:hAnsi="宋体"/>
                <w:bCs/>
                <w:sz w:val="21"/>
                <w:szCs w:val="21"/>
              </w:rPr>
            </w:pPr>
            <w:r>
              <w:rPr>
                <w:rFonts w:hint="eastAsia" w:hAnsi="宋体"/>
                <w:bCs/>
                <w:sz w:val="21"/>
                <w:szCs w:val="21"/>
              </w:rPr>
              <w:t>辅助工程</w:t>
            </w:r>
          </w:p>
        </w:tc>
        <w:tc>
          <w:tcPr>
            <w:tcW w:w="951" w:type="pct"/>
            <w:gridSpan w:val="2"/>
            <w:shd w:val="clear" w:color="auto" w:fill="auto"/>
            <w:vAlign w:val="center"/>
          </w:tcPr>
          <w:p>
            <w:pPr>
              <w:pStyle w:val="117"/>
              <w:jc w:val="center"/>
              <w:rPr>
                <w:rFonts w:hAnsi="宋体"/>
                <w:bCs/>
                <w:sz w:val="21"/>
                <w:szCs w:val="21"/>
              </w:rPr>
            </w:pPr>
            <w:r>
              <w:rPr>
                <w:rFonts w:hint="eastAsia"/>
                <w:sz w:val="21"/>
                <w:szCs w:val="21"/>
              </w:rPr>
              <w:t>办公用房</w:t>
            </w:r>
          </w:p>
        </w:tc>
        <w:tc>
          <w:tcPr>
            <w:tcW w:w="3011" w:type="pct"/>
            <w:shd w:val="clear" w:color="auto" w:fill="auto"/>
            <w:vAlign w:val="center"/>
          </w:tcPr>
          <w:p>
            <w:pPr>
              <w:pStyle w:val="117"/>
              <w:rPr>
                <w:rFonts w:hAnsi="宋体"/>
                <w:bCs/>
                <w:sz w:val="21"/>
                <w:szCs w:val="21"/>
              </w:rPr>
            </w:pPr>
            <w:r>
              <w:rPr>
                <w:rFonts w:hint="eastAsia"/>
                <w:sz w:val="21"/>
                <w:szCs w:val="21"/>
              </w:rPr>
              <w:t>建筑面积为</w:t>
            </w:r>
            <w:r>
              <w:rPr>
                <w:sz w:val="21"/>
                <w:szCs w:val="21"/>
              </w:rPr>
              <w:t>600</w:t>
            </w:r>
            <w:r>
              <w:rPr>
                <w:rFonts w:hint="eastAsia"/>
                <w:sz w:val="21"/>
                <w:szCs w:val="21"/>
              </w:rPr>
              <w:t>m</w:t>
            </w:r>
            <w:r>
              <w:rPr>
                <w:sz w:val="21"/>
                <w:szCs w:val="21"/>
                <w:vertAlign w:val="superscript"/>
              </w:rPr>
              <w:t>2</w:t>
            </w:r>
            <w:r>
              <w:rPr>
                <w:rFonts w:hint="eastAsia"/>
                <w:sz w:val="21"/>
                <w:szCs w:val="21"/>
              </w:rPr>
              <w:t>（3</w:t>
            </w:r>
            <w:r>
              <w:rPr>
                <w:sz w:val="21"/>
                <w:szCs w:val="21"/>
              </w:rPr>
              <w:t>0m</w:t>
            </w:r>
            <w:r>
              <w:rPr>
                <w:rFonts w:hint="eastAsia"/>
                <w:sz w:val="21"/>
                <w:szCs w:val="21"/>
              </w:rPr>
              <w:t>×1</w:t>
            </w:r>
            <w:r>
              <w:rPr>
                <w:sz w:val="21"/>
                <w:szCs w:val="21"/>
              </w:rPr>
              <w:t>0m</w:t>
            </w:r>
            <w:r>
              <w:rPr>
                <w:rFonts w:hint="eastAsia"/>
                <w:sz w:val="21"/>
                <w:szCs w:val="21"/>
              </w:rPr>
              <w:t>×</w:t>
            </w:r>
            <w:r>
              <w:rPr>
                <w:sz w:val="21"/>
                <w:szCs w:val="21"/>
              </w:rPr>
              <w:t>2</w:t>
            </w:r>
            <w:r>
              <w:rPr>
                <w:rFonts w:hint="eastAsia"/>
                <w:sz w:val="21"/>
                <w:szCs w:val="21"/>
              </w:rPr>
              <w:t>），为2层砖混结构，混凝土地面，包括办公室、宿舍等。</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利用场地内现有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117"/>
              <w:jc w:val="center"/>
              <w:rPr>
                <w:sz w:val="21"/>
                <w:szCs w:val="21"/>
              </w:rPr>
            </w:pPr>
            <w:r>
              <w:rPr>
                <w:rFonts w:hint="eastAsia"/>
                <w:sz w:val="21"/>
                <w:szCs w:val="21"/>
              </w:rPr>
              <w:t>锅炉房</w:t>
            </w:r>
          </w:p>
        </w:tc>
        <w:tc>
          <w:tcPr>
            <w:tcW w:w="3011" w:type="pct"/>
            <w:shd w:val="clear" w:color="auto" w:fill="auto"/>
            <w:vAlign w:val="center"/>
          </w:tcPr>
          <w:p>
            <w:pPr>
              <w:pStyle w:val="117"/>
              <w:rPr>
                <w:sz w:val="21"/>
                <w:szCs w:val="21"/>
              </w:rPr>
            </w:pPr>
            <w:r>
              <w:rPr>
                <w:rFonts w:hint="eastAsia"/>
                <w:sz w:val="21"/>
                <w:szCs w:val="21"/>
              </w:rPr>
              <w:t>新建1座，</w:t>
            </w:r>
            <w:r>
              <w:rPr>
                <w:rFonts w:hint="eastAsia"/>
                <w:color w:val="auto"/>
                <w:sz w:val="21"/>
                <w:szCs w:val="21"/>
              </w:rPr>
              <w:t>建筑面积</w:t>
            </w:r>
            <w:r>
              <w:rPr>
                <w:color w:val="auto"/>
                <w:sz w:val="21"/>
                <w:szCs w:val="21"/>
              </w:rPr>
              <w:t>100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sz w:val="21"/>
                <w:szCs w:val="21"/>
              </w:rPr>
              <w:t>安装</w:t>
            </w:r>
            <w:r>
              <w:rPr>
                <w:sz w:val="21"/>
                <w:szCs w:val="21"/>
              </w:rPr>
              <w:t>1</w:t>
            </w:r>
            <w:r>
              <w:rPr>
                <w:rFonts w:hint="eastAsia"/>
                <w:sz w:val="21"/>
                <w:szCs w:val="21"/>
              </w:rPr>
              <w:t>台2</w:t>
            </w:r>
            <w:r>
              <w:rPr>
                <w:sz w:val="21"/>
                <w:szCs w:val="21"/>
              </w:rPr>
              <w:t>.1MW</w:t>
            </w:r>
            <w:r>
              <w:rPr>
                <w:rFonts w:hint="eastAsia"/>
                <w:sz w:val="21"/>
                <w:szCs w:val="21"/>
              </w:rPr>
              <w:t>燃液化天然气热水锅炉及配套制水系统，用于鸡舍供暖。</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117"/>
              <w:jc w:val="center"/>
              <w:rPr>
                <w:sz w:val="21"/>
                <w:szCs w:val="21"/>
              </w:rPr>
            </w:pPr>
            <w:r>
              <w:rPr>
                <w:rFonts w:hint="eastAsia"/>
                <w:sz w:val="21"/>
                <w:szCs w:val="21"/>
              </w:rPr>
              <w:t>鸡粪处理储存</w:t>
            </w:r>
          </w:p>
          <w:p>
            <w:pPr>
              <w:pStyle w:val="117"/>
              <w:jc w:val="center"/>
              <w:rPr>
                <w:sz w:val="21"/>
                <w:szCs w:val="21"/>
              </w:rPr>
            </w:pPr>
            <w:r>
              <w:rPr>
                <w:rFonts w:hint="eastAsia"/>
                <w:sz w:val="21"/>
                <w:szCs w:val="21"/>
              </w:rPr>
              <w:t>设施</w:t>
            </w:r>
          </w:p>
        </w:tc>
        <w:tc>
          <w:tcPr>
            <w:tcW w:w="3011" w:type="pct"/>
            <w:shd w:val="clear" w:color="auto" w:fill="auto"/>
            <w:vAlign w:val="center"/>
          </w:tcPr>
          <w:p>
            <w:pPr>
              <w:pStyle w:val="117"/>
              <w:rPr>
                <w:sz w:val="21"/>
                <w:szCs w:val="21"/>
              </w:rPr>
            </w:pPr>
            <w:r>
              <w:rPr>
                <w:rFonts w:hint="eastAsia"/>
                <w:sz w:val="21"/>
                <w:szCs w:val="21"/>
              </w:rPr>
              <w:t>鸡粪采取干清粪工艺，日产日清，经发酵罐熟化后外运有机肥厂进一步处理以综合利用。</w:t>
            </w:r>
          </w:p>
          <w:p>
            <w:pPr>
              <w:pStyle w:val="117"/>
              <w:rPr>
                <w:color w:val="FF0000"/>
                <w:sz w:val="21"/>
                <w:szCs w:val="21"/>
              </w:rPr>
            </w:pPr>
            <w:r>
              <w:rPr>
                <w:rFonts w:hint="eastAsia"/>
                <w:sz w:val="21"/>
                <w:szCs w:val="21"/>
              </w:rPr>
              <w:t>新建2台鸡粪发酵罐（处理能力9-14m</w:t>
            </w:r>
            <w:r>
              <w:rPr>
                <w:rFonts w:hint="eastAsia"/>
                <w:sz w:val="21"/>
                <w:szCs w:val="21"/>
                <w:vertAlign w:val="superscript"/>
              </w:rPr>
              <w:t>3</w:t>
            </w:r>
            <w:r>
              <w:rPr>
                <w:rFonts w:hint="eastAsia"/>
                <w:sz w:val="21"/>
                <w:szCs w:val="21"/>
              </w:rPr>
              <w:t>/d·台）及1座临时储粪房（200m</w:t>
            </w:r>
            <w:r>
              <w:rPr>
                <w:rFonts w:hint="eastAsia"/>
                <w:sz w:val="21"/>
                <w:szCs w:val="21"/>
                <w:vertAlign w:val="superscript"/>
              </w:rPr>
              <w:t>2</w:t>
            </w:r>
            <w:r>
              <w:rPr>
                <w:rFonts w:hint="eastAsia"/>
                <w:sz w:val="21"/>
                <w:szCs w:val="21"/>
              </w:rPr>
              <w:t>）；临时储粪房地面进行防渗处理，用于暂时储存因天气等原因无法外运的鸡粪，该临时储粪房可储存7d的鸡粪。</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储运工程</w:t>
            </w: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饲料库</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新建1座，建筑面积</w:t>
            </w:r>
            <w:r>
              <w:rPr>
                <w:rFonts w:hAnsi="宋体"/>
                <w:bCs/>
                <w:sz w:val="21"/>
                <w:szCs w:val="21"/>
              </w:rPr>
              <w:t>2</w:t>
            </w:r>
            <w:r>
              <w:rPr>
                <w:rFonts w:hint="eastAsia" w:hAnsi="宋体"/>
                <w:bCs/>
                <w:sz w:val="21"/>
                <w:szCs w:val="21"/>
              </w:rPr>
              <w:t>00m</w:t>
            </w:r>
            <w:r>
              <w:rPr>
                <w:rFonts w:hint="eastAsia" w:hAnsi="宋体"/>
                <w:bCs/>
                <w:sz w:val="21"/>
                <w:szCs w:val="21"/>
                <w:vertAlign w:val="superscript"/>
              </w:rPr>
              <w:t>2</w:t>
            </w:r>
            <w:r>
              <w:rPr>
                <w:rFonts w:hint="eastAsia" w:hAnsi="宋体"/>
                <w:bCs/>
                <w:sz w:val="21"/>
                <w:szCs w:val="21"/>
              </w:rPr>
              <w:t>。</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料塔</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新建</w:t>
            </w:r>
            <w:r>
              <w:rPr>
                <w:rFonts w:hAnsi="宋体"/>
                <w:bCs/>
                <w:sz w:val="21"/>
                <w:szCs w:val="21"/>
              </w:rPr>
              <w:t>7</w:t>
            </w:r>
            <w:r>
              <w:rPr>
                <w:rFonts w:hint="eastAsia" w:hAnsi="宋体"/>
                <w:bCs/>
                <w:sz w:val="21"/>
                <w:szCs w:val="21"/>
              </w:rPr>
              <w:t>座料塔，用于鸡饲料的储存。</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污水收集池</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设计容积为60m</w:t>
            </w:r>
            <w:r>
              <w:rPr>
                <w:rFonts w:hint="eastAsia" w:hAnsi="宋体"/>
                <w:bCs/>
                <w:sz w:val="21"/>
                <w:szCs w:val="21"/>
                <w:vertAlign w:val="superscript"/>
              </w:rPr>
              <w:t>3</w:t>
            </w:r>
            <w:r>
              <w:rPr>
                <w:rFonts w:hint="eastAsia" w:hAnsi="宋体"/>
                <w:bCs/>
                <w:sz w:val="21"/>
                <w:szCs w:val="21"/>
              </w:rPr>
              <w:t>，设备及鸡舍冲洗废水、生活废水、锅炉定排水及软水系统排水排入污水收集池，再排入场内污水处理站；污水处理站事故状态时，废水也暂存于污水收集池。位于污水处理站北侧，厂区南侧地势低洼处。</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清水储池</w:t>
            </w:r>
          </w:p>
        </w:tc>
        <w:tc>
          <w:tcPr>
            <w:tcW w:w="3011" w:type="pct"/>
            <w:shd w:val="clear" w:color="auto" w:fill="auto"/>
            <w:vAlign w:val="center"/>
          </w:tcPr>
          <w:p>
            <w:pPr>
              <w:pStyle w:val="117"/>
              <w:rPr>
                <w:rFonts w:hAnsi="宋体"/>
                <w:bCs/>
                <w:color w:val="auto"/>
                <w:sz w:val="21"/>
                <w:szCs w:val="21"/>
              </w:rPr>
            </w:pPr>
            <w:r>
              <w:rPr>
                <w:rFonts w:hint="eastAsia"/>
                <w:color w:val="auto"/>
                <w:sz w:val="21"/>
                <w:szCs w:val="21"/>
              </w:rPr>
              <w:t>设计容积为</w:t>
            </w:r>
            <w:r>
              <w:rPr>
                <w:color w:val="auto"/>
                <w:sz w:val="21"/>
                <w:szCs w:val="21"/>
              </w:rPr>
              <w:t>250m</w:t>
            </w:r>
            <w:r>
              <w:rPr>
                <w:rFonts w:hint="eastAsia"/>
                <w:color w:val="auto"/>
                <w:sz w:val="21"/>
                <w:szCs w:val="14"/>
                <w:vertAlign w:val="superscript"/>
              </w:rPr>
              <w:t>3</w:t>
            </w:r>
            <w:r>
              <w:rPr>
                <w:rFonts w:hint="eastAsia"/>
                <w:color w:val="auto"/>
                <w:sz w:val="21"/>
                <w:szCs w:val="21"/>
              </w:rPr>
              <w:t>，用于冬季储存经污水处理站处理后的出水。</w:t>
            </w:r>
            <w:r>
              <w:rPr>
                <w:rFonts w:hint="eastAsia" w:hAnsi="宋体"/>
                <w:bCs/>
                <w:sz w:val="21"/>
                <w:szCs w:val="21"/>
              </w:rPr>
              <w:t>位于污水处理站南侧，厂区南侧地势低洼处。</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公用工程</w:t>
            </w: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给水</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厂区内自备井供给。</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依托现有水井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排水</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实行雨污分流制，项目区地面雨水汇流后，沿各区道路顺地势采用自然漫流的方式排出项目区至路旁边沟。</w:t>
            </w:r>
          </w:p>
          <w:p>
            <w:pPr>
              <w:pStyle w:val="57"/>
              <w:snapToGrid/>
              <w:spacing w:before="0" w:after="0" w:line="240" w:lineRule="auto"/>
              <w:ind w:firstLine="0" w:firstLineChars="0"/>
              <w:jc w:val="left"/>
              <w:rPr>
                <w:rFonts w:hAnsi="宋体"/>
                <w:bCs/>
                <w:sz w:val="21"/>
                <w:szCs w:val="21"/>
              </w:rPr>
            </w:pPr>
            <w:r>
              <w:rPr>
                <w:rFonts w:hint="eastAsia" w:hAnsi="宋体"/>
                <w:bCs/>
                <w:sz w:val="21"/>
                <w:szCs w:val="21"/>
              </w:rPr>
              <w:t>养殖场鸡舍冲洗废水、生活废水、锅炉定排水及软水系统排水排入场区地埋式污水处理站，处理达《农田灌溉水质标准》（</w:t>
            </w:r>
            <w:r>
              <w:rPr>
                <w:rFonts w:hAnsi="宋体"/>
                <w:bCs/>
                <w:sz w:val="21"/>
                <w:szCs w:val="21"/>
              </w:rPr>
              <w:t>GB5084-2005</w:t>
            </w:r>
            <w:r>
              <w:rPr>
                <w:rFonts w:hint="eastAsia" w:hAnsi="宋体"/>
                <w:bCs/>
                <w:sz w:val="21"/>
                <w:szCs w:val="21"/>
              </w:rPr>
              <w:t>）中旱作标准后回用于农田灌溉，冬储夏灌。</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供暖</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厂区</w:t>
            </w:r>
            <w:r>
              <w:rPr>
                <w:rFonts w:hAnsi="宋体"/>
                <w:bCs/>
                <w:sz w:val="21"/>
                <w:szCs w:val="21"/>
              </w:rPr>
              <w:t>供暖</w:t>
            </w:r>
            <w:r>
              <w:rPr>
                <w:rFonts w:hint="eastAsia" w:hAnsi="宋体"/>
                <w:bCs/>
                <w:sz w:val="21"/>
                <w:szCs w:val="21"/>
              </w:rPr>
              <w:t>由</w:t>
            </w:r>
            <w:r>
              <w:rPr>
                <w:rFonts w:hAnsi="宋体"/>
                <w:bCs/>
                <w:sz w:val="21"/>
                <w:szCs w:val="21"/>
              </w:rPr>
              <w:t>1</w:t>
            </w:r>
            <w:r>
              <w:rPr>
                <w:rFonts w:hint="eastAsia" w:hAnsi="宋体"/>
                <w:bCs/>
                <w:sz w:val="21"/>
                <w:szCs w:val="21"/>
              </w:rPr>
              <w:t>台2</w:t>
            </w:r>
            <w:r>
              <w:rPr>
                <w:rFonts w:hAnsi="宋体"/>
                <w:bCs/>
                <w:sz w:val="21"/>
                <w:szCs w:val="21"/>
              </w:rPr>
              <w:t>.1MW</w:t>
            </w:r>
            <w:r>
              <w:rPr>
                <w:rFonts w:hint="eastAsia" w:hAnsi="宋体"/>
                <w:bCs/>
                <w:sz w:val="21"/>
                <w:szCs w:val="21"/>
              </w:rPr>
              <w:t>燃液化天然气热水锅炉供给。</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供电</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Ansi="宋体"/>
                <w:bCs/>
                <w:sz w:val="21"/>
                <w:szCs w:val="21"/>
              </w:rPr>
              <w:t>汾阳市</w:t>
            </w:r>
            <w:r>
              <w:rPr>
                <w:rFonts w:hint="eastAsia" w:hAnsi="宋体"/>
                <w:bCs/>
                <w:sz w:val="21"/>
                <w:szCs w:val="21"/>
              </w:rPr>
              <w:t>峪道河镇</w:t>
            </w:r>
            <w:r>
              <w:rPr>
                <w:rFonts w:hAnsi="宋体"/>
                <w:bCs/>
                <w:sz w:val="21"/>
                <w:szCs w:val="21"/>
              </w:rPr>
              <w:t>变电站接入，厂区内设配电室</w:t>
            </w:r>
            <w:r>
              <w:rPr>
                <w:rFonts w:hint="eastAsia" w:hAnsi="宋体"/>
                <w:bCs/>
                <w:sz w:val="21"/>
                <w:szCs w:val="21"/>
              </w:rPr>
              <w:t>。</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消毒</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鸡舍内外消毒采用新结尔灭、过氧乙酸、百毒杀等消毒药剂，与水按一定比例配比后喷雾消毒、熏蒸消毒。</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环保工程</w:t>
            </w:r>
          </w:p>
        </w:tc>
        <w:tc>
          <w:tcPr>
            <w:tcW w:w="268"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废气</w:t>
            </w: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鸡舍恶臭</w:t>
            </w:r>
          </w:p>
        </w:tc>
        <w:tc>
          <w:tcPr>
            <w:tcW w:w="3011" w:type="pct"/>
            <w:shd w:val="clear" w:color="auto" w:fill="auto"/>
            <w:vAlign w:val="center"/>
          </w:tcPr>
          <w:p>
            <w:pPr>
              <w:pStyle w:val="117"/>
              <w:rPr>
                <w:rFonts w:hAnsi="宋体"/>
                <w:bCs/>
                <w:sz w:val="21"/>
                <w:szCs w:val="21"/>
              </w:rPr>
            </w:pPr>
            <w:r>
              <w:rPr>
                <w:rFonts w:hint="eastAsia"/>
                <w:sz w:val="21"/>
                <w:szCs w:val="21"/>
              </w:rPr>
              <w:t>采用干清粪技术，及时清粪；加强鸡舍通风；定期喷洒除臭剂；合理调配饲料，饲料中添加</w:t>
            </w:r>
            <w:r>
              <w:rPr>
                <w:sz w:val="21"/>
                <w:szCs w:val="21"/>
              </w:rPr>
              <w:t>EM</w:t>
            </w:r>
            <w:r>
              <w:rPr>
                <w:rFonts w:hint="eastAsia"/>
                <w:sz w:val="21"/>
                <w:szCs w:val="21"/>
              </w:rPr>
              <w:t>菌，</w:t>
            </w:r>
            <w:r>
              <w:rPr>
                <w:rFonts w:hint="eastAsia"/>
                <w:snapToGrid w:val="0"/>
                <w:sz w:val="21"/>
              </w:rPr>
              <w:t>同时加强场区内绿化管理</w:t>
            </w:r>
            <w:r>
              <w:rPr>
                <w:rFonts w:hint="eastAsia"/>
                <w:sz w:val="21"/>
                <w:szCs w:val="21"/>
              </w:rPr>
              <w:t>。</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发酵罐废气</w:t>
            </w:r>
          </w:p>
        </w:tc>
        <w:tc>
          <w:tcPr>
            <w:tcW w:w="3011" w:type="pct"/>
            <w:shd w:val="clear" w:color="auto" w:fill="auto"/>
            <w:vAlign w:val="center"/>
          </w:tcPr>
          <w:p>
            <w:pPr>
              <w:pStyle w:val="117"/>
              <w:rPr>
                <w:sz w:val="21"/>
                <w:szCs w:val="21"/>
              </w:rPr>
            </w:pPr>
            <w:r>
              <w:rPr>
                <w:rFonts w:hint="eastAsia"/>
                <w:sz w:val="21"/>
                <w:szCs w:val="21"/>
              </w:rPr>
              <w:t>2台发酵罐废气采用1套生物除臭塔生化处理后由1根15m高排气筒外排。</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临时储粪房恶臭</w:t>
            </w:r>
          </w:p>
        </w:tc>
        <w:tc>
          <w:tcPr>
            <w:tcW w:w="3011" w:type="pct"/>
            <w:shd w:val="clear" w:color="auto" w:fill="auto"/>
            <w:vAlign w:val="center"/>
          </w:tcPr>
          <w:p>
            <w:pPr>
              <w:pStyle w:val="57"/>
              <w:snapToGrid/>
              <w:spacing w:before="0" w:after="0" w:line="240" w:lineRule="auto"/>
              <w:ind w:firstLine="0" w:firstLineChars="0"/>
              <w:jc w:val="left"/>
              <w:rPr>
                <w:snapToGrid w:val="0"/>
              </w:rPr>
            </w:pPr>
            <w:r>
              <w:rPr>
                <w:rFonts w:hint="eastAsia"/>
                <w:color w:val="000000"/>
                <w:kern w:val="0"/>
                <w:sz w:val="21"/>
                <w:szCs w:val="21"/>
              </w:rPr>
              <w:t>鸡粪</w:t>
            </w:r>
            <w:r>
              <w:rPr>
                <w:rFonts w:hint="eastAsia"/>
                <w:sz w:val="21"/>
                <w:szCs w:val="21"/>
              </w:rPr>
              <w:t>采取干清粪工艺，</w:t>
            </w:r>
            <w:r>
              <w:rPr>
                <w:rFonts w:hint="eastAsia"/>
                <w:color w:val="000000"/>
                <w:kern w:val="0"/>
                <w:sz w:val="21"/>
                <w:szCs w:val="21"/>
              </w:rPr>
              <w:t>日产日清，</w:t>
            </w:r>
            <w:r>
              <w:rPr>
                <w:rFonts w:hint="eastAsia"/>
                <w:sz w:val="21"/>
                <w:szCs w:val="21"/>
              </w:rPr>
              <w:t>经发酵罐熟化后外运有机肥厂综合利用</w:t>
            </w:r>
            <w:r>
              <w:rPr>
                <w:rFonts w:hint="eastAsia"/>
                <w:color w:val="000000"/>
                <w:kern w:val="0"/>
                <w:sz w:val="21"/>
                <w:szCs w:val="21"/>
              </w:rPr>
              <w:t>。临时储粪房用于暂时储存因天气等原因无法外运的鸡粪；储粪时</w:t>
            </w:r>
            <w:r>
              <w:rPr>
                <w:rFonts w:hint="eastAsia"/>
                <w:snapToGrid w:val="0"/>
                <w:sz w:val="21"/>
              </w:rPr>
              <w:t>喷洒除臭剂，同时加强场区内绿化管理。</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污水处理站废气</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snapToGrid w:val="0"/>
                <w:sz w:val="21"/>
              </w:rPr>
              <w:t>地埋式污水处理站各处理池加盖处理，站房内定期喷洒除臭剂，同时加强场区内绿化管理。</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锅炉废气</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燃用液化天然气，使用低氮燃烧技术；锅炉废气由1根</w:t>
            </w:r>
            <w:r>
              <w:rPr>
                <w:rFonts w:hAnsi="宋体"/>
                <w:bCs/>
                <w:sz w:val="21"/>
                <w:szCs w:val="21"/>
              </w:rPr>
              <w:t>20</w:t>
            </w:r>
            <w:r>
              <w:rPr>
                <w:rFonts w:hint="eastAsia" w:hAnsi="宋体"/>
                <w:bCs/>
                <w:sz w:val="21"/>
                <w:szCs w:val="21"/>
              </w:rPr>
              <w:t>m高排气筒排放。</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废水</w:t>
            </w: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厂区废水</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设备及鸡舍冲洗废水、生活废水、锅炉定排水及软水系统排水</w:t>
            </w:r>
            <w:r>
              <w:rPr>
                <w:rFonts w:hAnsi="宋体"/>
                <w:bCs/>
                <w:sz w:val="21"/>
                <w:szCs w:val="21"/>
              </w:rPr>
              <w:t>排入</w:t>
            </w:r>
            <w:r>
              <w:rPr>
                <w:rFonts w:hint="eastAsia" w:hAnsi="宋体"/>
                <w:bCs/>
                <w:sz w:val="21"/>
                <w:szCs w:val="21"/>
              </w:rPr>
              <w:t>废水收集池后进入自建污水处理站处理，采用地埋式污水处理设备，处理工艺为“生物接触氧化+沉淀+消毒”，消毒方式为紫外线消毒，处理能力为2m</w:t>
            </w:r>
            <w:r>
              <w:rPr>
                <w:rFonts w:hAnsi="宋体"/>
                <w:bCs/>
                <w:sz w:val="21"/>
                <w:szCs w:val="21"/>
                <w:vertAlign w:val="superscript"/>
              </w:rPr>
              <w:t>3</w:t>
            </w:r>
            <w:r>
              <w:rPr>
                <w:rFonts w:hAnsi="宋体"/>
                <w:bCs/>
                <w:sz w:val="21"/>
                <w:szCs w:val="21"/>
              </w:rPr>
              <w:t>/d</w:t>
            </w:r>
            <w:r>
              <w:rPr>
                <w:rFonts w:hint="eastAsia" w:hAnsi="宋体"/>
                <w:bCs/>
                <w:sz w:val="21"/>
                <w:szCs w:val="21"/>
              </w:rPr>
              <w:t>；污水经处理达达《农田灌溉水质标准》（</w:t>
            </w:r>
            <w:r>
              <w:rPr>
                <w:rFonts w:hAnsi="宋体"/>
                <w:bCs/>
                <w:sz w:val="21"/>
                <w:szCs w:val="21"/>
              </w:rPr>
              <w:t>GB5084-2005</w:t>
            </w:r>
            <w:r>
              <w:rPr>
                <w:rFonts w:hint="eastAsia" w:hAnsi="宋体"/>
                <w:bCs/>
                <w:sz w:val="21"/>
                <w:szCs w:val="21"/>
              </w:rPr>
              <w:t>）中旱作标准后回用于农田灌溉；冬储夏灌。</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噪声</w:t>
            </w: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设备噪声</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优先选用低噪声设备；对风机、水泵的机械设备采取减振、隔声等措施，噪声较大的设备放于室内；加强绿化。</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restar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固体废物</w:t>
            </w: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鸡舍粪便</w:t>
            </w:r>
          </w:p>
        </w:tc>
        <w:tc>
          <w:tcPr>
            <w:tcW w:w="3011" w:type="pct"/>
            <w:shd w:val="clear" w:color="auto" w:fill="auto"/>
            <w:vAlign w:val="center"/>
          </w:tcPr>
          <w:p>
            <w:pPr>
              <w:pStyle w:val="57"/>
              <w:snapToGrid/>
              <w:spacing w:before="0" w:after="0" w:line="240" w:lineRule="auto"/>
              <w:ind w:firstLine="0" w:firstLineChars="0"/>
              <w:jc w:val="left"/>
              <w:rPr>
                <w:snapToGrid w:val="0"/>
                <w:sz w:val="21"/>
                <w:szCs w:val="21"/>
              </w:rPr>
            </w:pPr>
            <w:r>
              <w:rPr>
                <w:rFonts w:hint="eastAsia"/>
                <w:color w:val="000000"/>
                <w:kern w:val="0"/>
                <w:sz w:val="21"/>
                <w:szCs w:val="21"/>
              </w:rPr>
              <w:t>鸡粪</w:t>
            </w:r>
            <w:r>
              <w:rPr>
                <w:rFonts w:hint="eastAsia"/>
                <w:sz w:val="21"/>
                <w:szCs w:val="21"/>
              </w:rPr>
              <w:t>采取干清粪工艺，</w:t>
            </w:r>
            <w:r>
              <w:rPr>
                <w:rFonts w:hint="eastAsia"/>
                <w:color w:val="000000"/>
                <w:kern w:val="0"/>
                <w:sz w:val="21"/>
                <w:szCs w:val="21"/>
              </w:rPr>
              <w:t>日产日清，</w:t>
            </w:r>
            <w:r>
              <w:rPr>
                <w:rFonts w:hint="eastAsia"/>
                <w:sz w:val="21"/>
                <w:szCs w:val="21"/>
              </w:rPr>
              <w:t>经发酵罐熟化后外运有机肥厂进一步处理以综合利用</w:t>
            </w:r>
            <w:r>
              <w:rPr>
                <w:rFonts w:hint="eastAsia"/>
                <w:color w:val="000000"/>
                <w:kern w:val="0"/>
                <w:sz w:val="21"/>
                <w:szCs w:val="21"/>
              </w:rPr>
              <w:t>。</w:t>
            </w:r>
            <w:r>
              <w:rPr>
                <w:rFonts w:hint="eastAsia" w:hAnsi="宋体"/>
                <w:bCs/>
                <w:sz w:val="21"/>
                <w:szCs w:val="21"/>
              </w:rPr>
              <w:t>本项目与</w:t>
            </w:r>
            <w:r>
              <w:rPr>
                <w:rFonts w:hint="eastAsia"/>
                <w:snapToGrid w:val="0"/>
                <w:sz w:val="21"/>
                <w:szCs w:val="21"/>
              </w:rPr>
              <w:t>山西粮缘金土地科技股份有限公司签订了鸡粪购买协议。协议见附件。</w:t>
            </w:r>
          </w:p>
          <w:p>
            <w:pPr>
              <w:pStyle w:val="57"/>
              <w:snapToGrid/>
              <w:spacing w:before="0" w:after="0" w:line="240" w:lineRule="auto"/>
              <w:ind w:firstLine="0" w:firstLineChars="0"/>
              <w:jc w:val="left"/>
              <w:rPr>
                <w:rFonts w:hAnsi="宋体"/>
                <w:bCs/>
                <w:color w:val="FF0000"/>
                <w:sz w:val="21"/>
                <w:szCs w:val="21"/>
              </w:rPr>
            </w:pPr>
            <w:r>
              <w:rPr>
                <w:rFonts w:hint="eastAsia"/>
                <w:sz w:val="21"/>
                <w:szCs w:val="21"/>
              </w:rPr>
              <w:t>新建2台鸡粪发酵罐（处理能力9-14m</w:t>
            </w:r>
            <w:r>
              <w:rPr>
                <w:rFonts w:hint="eastAsia"/>
                <w:sz w:val="21"/>
                <w:szCs w:val="21"/>
                <w:vertAlign w:val="superscript"/>
              </w:rPr>
              <w:t>3</w:t>
            </w:r>
            <w:r>
              <w:rPr>
                <w:rFonts w:hint="eastAsia"/>
                <w:sz w:val="21"/>
                <w:szCs w:val="21"/>
              </w:rPr>
              <w:t>/d·台）。</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饲料残渣</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bCs/>
                <w:kern w:val="0"/>
                <w:sz w:val="21"/>
                <w:szCs w:val="21"/>
              </w:rPr>
              <w:t>经发酵罐熟化后外运有机肥厂进一步处理以综合利用。</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污水处理站污泥</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bCs/>
                <w:kern w:val="0"/>
                <w:sz w:val="21"/>
                <w:szCs w:val="21"/>
              </w:rPr>
              <w:t>经发酵罐熟化后外运有机肥厂进一步处理以综合利用。</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病死鸡</w:t>
            </w:r>
          </w:p>
          <w:p>
            <w:pPr>
              <w:pStyle w:val="57"/>
              <w:snapToGrid/>
              <w:spacing w:before="0" w:after="0" w:line="240" w:lineRule="auto"/>
              <w:ind w:firstLine="0" w:firstLineChars="0"/>
              <w:jc w:val="center"/>
              <w:rPr>
                <w:rFonts w:hAnsi="宋体"/>
                <w:bCs/>
                <w:sz w:val="21"/>
                <w:szCs w:val="21"/>
              </w:rPr>
            </w:pPr>
            <w:r>
              <w:rPr>
                <w:rFonts w:hint="eastAsia" w:hAnsi="宋体"/>
                <w:bCs/>
                <w:sz w:val="21"/>
                <w:szCs w:val="21"/>
              </w:rPr>
              <w:t>尸体</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设置2座安全填埋井，位于厂区最北侧；深6m，直径4m。用于处置饲养过程中因疾病等原因死亡而产生的病死鸡。填埋井设计应满足《畜禽养殖业污染防治技术规范》（HJ/T81-2001）要求。</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医疗废物、消毒废物</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在检疫室内建危废暂存间，为单独隔间，地面防渗处理，同时制定危险废物管理制度，医疗废物、消毒废物交由有资质单位处置。</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废弃包装袋</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收集后外售或返回厂家回收利用。</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268" w:type="pct"/>
            <w:vMerge w:val="continue"/>
            <w:shd w:val="clear" w:color="auto" w:fill="auto"/>
            <w:vAlign w:val="center"/>
          </w:tcPr>
          <w:p>
            <w:pPr>
              <w:pStyle w:val="57"/>
              <w:spacing w:before="0" w:after="0" w:line="240" w:lineRule="auto"/>
              <w:ind w:firstLine="420"/>
              <w:jc w:val="center"/>
              <w:rPr>
                <w:rFonts w:hAnsi="宋体"/>
                <w:bCs/>
                <w:sz w:val="21"/>
                <w:szCs w:val="21"/>
              </w:rPr>
            </w:pPr>
          </w:p>
        </w:tc>
        <w:tc>
          <w:tcPr>
            <w:tcW w:w="683"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生活垃圾</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收集后运至市政部门指定的地点统一处理。</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绿化</w:t>
            </w:r>
          </w:p>
        </w:tc>
        <w:tc>
          <w:tcPr>
            <w:tcW w:w="3011" w:type="pct"/>
            <w:shd w:val="clear" w:color="auto" w:fill="auto"/>
            <w:vAlign w:val="center"/>
          </w:tcPr>
          <w:p>
            <w:pPr>
              <w:pStyle w:val="57"/>
              <w:snapToGrid/>
              <w:spacing w:before="0" w:after="0" w:line="240" w:lineRule="auto"/>
              <w:ind w:firstLine="0" w:firstLineChars="0"/>
              <w:jc w:val="left"/>
              <w:rPr>
                <w:rFonts w:hAnsi="宋体"/>
                <w:bCs/>
                <w:sz w:val="21"/>
                <w:szCs w:val="21"/>
              </w:rPr>
            </w:pPr>
            <w:r>
              <w:rPr>
                <w:rFonts w:hint="eastAsia" w:hAnsi="宋体"/>
                <w:bCs/>
                <w:sz w:val="21"/>
                <w:szCs w:val="21"/>
              </w:rPr>
              <w:t>在场区四周、场内道路两侧及空地建绿化带，绿化面积42</w:t>
            </w:r>
            <w:r>
              <w:rPr>
                <w:rFonts w:hAnsi="宋体"/>
                <w:bCs/>
                <w:sz w:val="21"/>
                <w:szCs w:val="21"/>
              </w:rPr>
              <w:t>00</w:t>
            </w:r>
            <w:r>
              <w:rPr>
                <w:rFonts w:hint="eastAsia" w:hAnsi="宋体"/>
                <w:bCs/>
                <w:sz w:val="21"/>
                <w:szCs w:val="21"/>
              </w:rPr>
              <w:t>m</w:t>
            </w:r>
            <w:r>
              <w:rPr>
                <w:rFonts w:hAnsi="宋体"/>
                <w:bCs/>
                <w:sz w:val="21"/>
                <w:szCs w:val="21"/>
                <w:vertAlign w:val="superscript"/>
              </w:rPr>
              <w:t>2</w:t>
            </w:r>
            <w:r>
              <w:rPr>
                <w:rFonts w:hint="eastAsia" w:hAnsi="宋体"/>
                <w:bCs/>
                <w:sz w:val="21"/>
                <w:szCs w:val="21"/>
              </w:rPr>
              <w:t>。</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shd w:val="clear" w:color="auto" w:fill="auto"/>
            <w:vAlign w:val="center"/>
          </w:tcPr>
          <w:p>
            <w:pPr>
              <w:pStyle w:val="57"/>
              <w:snapToGrid/>
              <w:spacing w:before="0" w:after="0" w:line="240" w:lineRule="auto"/>
              <w:ind w:firstLine="0" w:firstLineChars="0"/>
              <w:jc w:val="center"/>
              <w:rPr>
                <w:rFonts w:hAnsi="宋体"/>
                <w:bCs/>
                <w:sz w:val="21"/>
                <w:szCs w:val="21"/>
              </w:rPr>
            </w:pPr>
          </w:p>
        </w:tc>
        <w:tc>
          <w:tcPr>
            <w:tcW w:w="951" w:type="pct"/>
            <w:gridSpan w:val="2"/>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地下水防渗工程</w:t>
            </w:r>
          </w:p>
        </w:tc>
        <w:tc>
          <w:tcPr>
            <w:tcW w:w="3011" w:type="pct"/>
            <w:shd w:val="clear" w:color="auto" w:fill="auto"/>
            <w:vAlign w:val="center"/>
          </w:tcPr>
          <w:p>
            <w:pPr>
              <w:pStyle w:val="128"/>
              <w:spacing w:line="360" w:lineRule="exact"/>
              <w:jc w:val="left"/>
              <w:rPr>
                <w:rFonts w:ascii="Times New Roman" w:hAnsi="Times New Roman" w:cs="Times New Roman"/>
                <w:snapToGrid w:val="0"/>
                <w:szCs w:val="21"/>
              </w:rPr>
            </w:pPr>
            <w:r>
              <w:rPr>
                <w:rFonts w:hint="eastAsia" w:ascii="宋体" w:hAnsi="宋体" w:eastAsia="宋体" w:cs="宋体"/>
                <w:snapToGrid w:val="0"/>
                <w:szCs w:val="21"/>
              </w:rPr>
              <w:t>①</w:t>
            </w:r>
            <w:r>
              <w:rPr>
                <w:rFonts w:ascii="Times New Roman" w:hAnsi="Times New Roman" w:cs="Times New Roman"/>
                <w:snapToGrid w:val="0"/>
                <w:szCs w:val="21"/>
              </w:rPr>
              <w:t>医疗废物暂存间、污水处理站、</w:t>
            </w:r>
            <w:r>
              <w:rPr>
                <w:rFonts w:hint="eastAsia" w:ascii="Times New Roman" w:hAnsi="Times New Roman" w:cs="Times New Roman"/>
                <w:snapToGrid w:val="0"/>
                <w:szCs w:val="21"/>
              </w:rPr>
              <w:t>废水收集</w:t>
            </w:r>
            <w:r>
              <w:rPr>
                <w:rFonts w:ascii="Times New Roman" w:hAnsi="Times New Roman" w:cs="Times New Roman"/>
                <w:snapToGrid w:val="0"/>
                <w:szCs w:val="21"/>
              </w:rPr>
              <w:t>池按重点防渗区采取防渗措施。污水处理站、</w:t>
            </w:r>
            <w:r>
              <w:rPr>
                <w:rFonts w:hint="eastAsia" w:ascii="Times New Roman" w:hAnsi="Times New Roman" w:cs="Times New Roman"/>
                <w:snapToGrid w:val="0"/>
                <w:szCs w:val="21"/>
              </w:rPr>
              <w:t>废水收集</w:t>
            </w:r>
            <w:r>
              <w:rPr>
                <w:rFonts w:ascii="Times New Roman" w:hAnsi="Times New Roman" w:cs="Times New Roman"/>
                <w:snapToGrid w:val="0"/>
                <w:szCs w:val="21"/>
              </w:rPr>
              <w:t>池防渗措施为池底</w:t>
            </w:r>
            <w:r>
              <w:rPr>
                <w:rFonts w:hint="eastAsia" w:ascii="Times New Roman" w:hAnsi="Times New Roman" w:cs="Times New Roman"/>
                <w:snapToGrid w:val="0"/>
                <w:szCs w:val="21"/>
              </w:rPr>
              <w:t>基础防渗，需满足</w:t>
            </w:r>
            <w:r>
              <w:rPr>
                <w:rFonts w:ascii="Times New Roman" w:hAnsi="Times New Roman" w:cs="Times New Roman"/>
                <w:snapToGrid w:val="0"/>
                <w:szCs w:val="21"/>
              </w:rPr>
              <w:t>等效粘土层厚度要≥6.0m，渗透系K≤1.0×10</w:t>
            </w:r>
            <w:r>
              <w:rPr>
                <w:rFonts w:ascii="Times New Roman" w:hAnsi="Times New Roman" w:cs="Times New Roman"/>
                <w:snapToGrid w:val="0"/>
                <w:szCs w:val="21"/>
                <w:vertAlign w:val="superscript"/>
              </w:rPr>
              <w:t>-7</w:t>
            </w:r>
            <w:r>
              <w:rPr>
                <w:rFonts w:ascii="Times New Roman" w:hAnsi="Times New Roman" w:cs="Times New Roman"/>
                <w:snapToGrid w:val="0"/>
                <w:szCs w:val="21"/>
              </w:rPr>
              <w:t>cm/s</w:t>
            </w:r>
            <w:r>
              <w:rPr>
                <w:rFonts w:hint="eastAsia" w:ascii="Times New Roman" w:hAnsi="Times New Roman" w:cs="Times New Roman"/>
                <w:snapToGrid w:val="0"/>
                <w:szCs w:val="21"/>
              </w:rPr>
              <w:t>的防渗要求；</w:t>
            </w:r>
          </w:p>
          <w:p>
            <w:pPr>
              <w:pStyle w:val="128"/>
              <w:spacing w:line="360" w:lineRule="exact"/>
              <w:jc w:val="left"/>
              <w:rPr>
                <w:rFonts w:ascii="Times New Roman" w:hAnsi="Times New Roman" w:cs="Times New Roman"/>
                <w:snapToGrid w:val="0"/>
                <w:szCs w:val="21"/>
              </w:rPr>
            </w:pPr>
            <w:r>
              <w:rPr>
                <w:rFonts w:ascii="Times New Roman" w:hAnsi="Times New Roman" w:cs="Times New Roman"/>
                <w:snapToGrid w:val="0"/>
                <w:szCs w:val="21"/>
              </w:rPr>
              <w:fldChar w:fldCharType="begin"/>
            </w:r>
            <w:r>
              <w:rPr>
                <w:rFonts w:ascii="Times New Roman" w:hAnsi="Times New Roman" w:cs="Times New Roman"/>
                <w:snapToGrid w:val="0"/>
                <w:szCs w:val="21"/>
              </w:rPr>
              <w:instrText xml:space="preserve"> = 2 \* GB3 </w:instrText>
            </w:r>
            <w:r>
              <w:rPr>
                <w:rFonts w:ascii="Times New Roman" w:hAnsi="Times New Roman" w:cs="Times New Roman"/>
                <w:snapToGrid w:val="0"/>
                <w:szCs w:val="21"/>
              </w:rPr>
              <w:fldChar w:fldCharType="separate"/>
            </w:r>
            <w:r>
              <w:rPr>
                <w:rFonts w:hint="eastAsia" w:ascii="宋体" w:hAnsi="宋体" w:eastAsia="宋体" w:cs="宋体"/>
                <w:snapToGrid w:val="0"/>
                <w:szCs w:val="21"/>
              </w:rPr>
              <w:t>②</w:t>
            </w:r>
            <w:r>
              <w:rPr>
                <w:rFonts w:ascii="Times New Roman" w:hAnsi="Times New Roman" w:cs="Times New Roman"/>
                <w:snapToGrid w:val="0"/>
                <w:szCs w:val="21"/>
              </w:rPr>
              <w:fldChar w:fldCharType="end"/>
            </w:r>
            <w:r>
              <w:rPr>
                <w:rFonts w:ascii="Times New Roman" w:hAnsi="Times New Roman" w:cs="Times New Roman"/>
                <w:snapToGrid w:val="0"/>
                <w:szCs w:val="21"/>
              </w:rPr>
              <w:t>鸡舍、</w:t>
            </w:r>
            <w:r>
              <w:rPr>
                <w:rFonts w:hint="eastAsia" w:ascii="Times New Roman" w:hAnsi="Times New Roman" w:cs="Times New Roman"/>
                <w:snapToGrid w:val="0"/>
                <w:szCs w:val="21"/>
              </w:rPr>
              <w:t>安全填埋</w:t>
            </w:r>
            <w:r>
              <w:rPr>
                <w:rFonts w:ascii="Times New Roman" w:hAnsi="Times New Roman" w:cs="Times New Roman"/>
                <w:snapToGrid w:val="0"/>
                <w:szCs w:val="21"/>
              </w:rPr>
              <w:t>井按一般防渗区采取防渗措施</w:t>
            </w:r>
            <w:r>
              <w:rPr>
                <w:rFonts w:hint="eastAsia" w:ascii="Times New Roman" w:hAnsi="Times New Roman" w:cs="Times New Roman"/>
                <w:snapToGrid w:val="0"/>
                <w:szCs w:val="21"/>
              </w:rPr>
              <w:t>。</w:t>
            </w:r>
            <w:r>
              <w:rPr>
                <w:rFonts w:ascii="Times New Roman" w:hAnsi="Times New Roman" w:cs="Times New Roman"/>
                <w:snapToGrid w:val="0"/>
                <w:szCs w:val="21"/>
              </w:rPr>
              <w:t>鸡舍、</w:t>
            </w:r>
            <w:r>
              <w:rPr>
                <w:rFonts w:hint="eastAsia" w:ascii="Times New Roman" w:hAnsi="Times New Roman" w:cs="Times New Roman"/>
                <w:snapToGrid w:val="0"/>
                <w:szCs w:val="21"/>
              </w:rPr>
              <w:t>安全填埋</w:t>
            </w:r>
            <w:r>
              <w:rPr>
                <w:rFonts w:ascii="Times New Roman" w:hAnsi="Times New Roman" w:cs="Times New Roman"/>
                <w:snapToGrid w:val="0"/>
                <w:szCs w:val="21"/>
              </w:rPr>
              <w:t>井为地面（池底）基础防渗，需满足等效黏土防渗层Mb≥1.5m，K≤1×10</w:t>
            </w:r>
            <w:r>
              <w:rPr>
                <w:rFonts w:ascii="Times New Roman" w:hAnsi="Times New Roman" w:cs="Times New Roman"/>
                <w:snapToGrid w:val="0"/>
                <w:szCs w:val="21"/>
                <w:vertAlign w:val="superscript"/>
              </w:rPr>
              <w:t>-7</w:t>
            </w:r>
            <w:r>
              <w:rPr>
                <w:rFonts w:ascii="Times New Roman" w:hAnsi="Times New Roman" w:cs="Times New Roman"/>
                <w:snapToGrid w:val="0"/>
                <w:szCs w:val="21"/>
              </w:rPr>
              <w:t>cm/s的要求；</w:t>
            </w:r>
          </w:p>
          <w:p>
            <w:pPr>
              <w:pStyle w:val="57"/>
              <w:snapToGrid/>
              <w:spacing w:before="0" w:after="0" w:line="240" w:lineRule="auto"/>
              <w:ind w:firstLine="0" w:firstLineChars="0"/>
              <w:jc w:val="left"/>
              <w:rPr>
                <w:rFonts w:hAnsi="宋体"/>
                <w:bCs/>
                <w:sz w:val="21"/>
                <w:szCs w:val="21"/>
              </w:rPr>
            </w:pPr>
            <w:r>
              <w:rPr>
                <w:snapToGrid w:val="0"/>
                <w:sz w:val="21"/>
                <w:szCs w:val="21"/>
              </w:rPr>
              <w:fldChar w:fldCharType="begin"/>
            </w:r>
            <w:r>
              <w:rPr>
                <w:snapToGrid w:val="0"/>
                <w:sz w:val="21"/>
                <w:szCs w:val="21"/>
              </w:rPr>
              <w:instrText xml:space="preserve"> = 3 \* GB3 </w:instrText>
            </w:r>
            <w:r>
              <w:rPr>
                <w:snapToGrid w:val="0"/>
                <w:sz w:val="21"/>
                <w:szCs w:val="21"/>
              </w:rPr>
              <w:fldChar w:fldCharType="separate"/>
            </w:r>
            <w:r>
              <w:rPr>
                <w:rFonts w:hint="eastAsia" w:ascii="宋体" w:hAnsi="宋体" w:cs="宋体"/>
                <w:snapToGrid w:val="0"/>
                <w:sz w:val="21"/>
                <w:szCs w:val="21"/>
              </w:rPr>
              <w:t>③</w:t>
            </w:r>
            <w:r>
              <w:rPr>
                <w:snapToGrid w:val="0"/>
                <w:sz w:val="21"/>
                <w:szCs w:val="21"/>
              </w:rPr>
              <w:fldChar w:fldCharType="end"/>
            </w:r>
            <w:r>
              <w:rPr>
                <w:snapToGrid w:val="0"/>
                <w:sz w:val="21"/>
                <w:szCs w:val="21"/>
              </w:rPr>
              <w:t>其他建筑物及道路采取简单防渗，对其地面采用混凝土进行一般地面硬化。</w:t>
            </w:r>
          </w:p>
        </w:tc>
        <w:tc>
          <w:tcPr>
            <w:tcW w:w="661" w:type="pct"/>
            <w:shd w:val="clear" w:color="auto" w:fill="auto"/>
            <w:vAlign w:val="center"/>
          </w:tcPr>
          <w:p>
            <w:pPr>
              <w:pStyle w:val="57"/>
              <w:snapToGrid/>
              <w:spacing w:before="0" w:after="0" w:line="240" w:lineRule="auto"/>
              <w:ind w:firstLine="0" w:firstLineChars="0"/>
              <w:jc w:val="center"/>
              <w:rPr>
                <w:rFonts w:hAnsi="宋体"/>
                <w:bCs/>
                <w:sz w:val="21"/>
                <w:szCs w:val="21"/>
              </w:rPr>
            </w:pPr>
            <w:r>
              <w:rPr>
                <w:rFonts w:hint="eastAsia" w:hAnsi="宋体"/>
                <w:bCs/>
                <w:sz w:val="21"/>
                <w:szCs w:val="21"/>
              </w:rPr>
              <w:t>新建</w:t>
            </w:r>
          </w:p>
        </w:tc>
      </w:tr>
    </w:tbl>
    <w:p>
      <w:pPr>
        <w:pStyle w:val="2"/>
        <w:spacing w:before="156" w:beforeLines="50" w:after="0" w:line="480" w:lineRule="exact"/>
        <w:rPr>
          <w:rFonts w:ascii="Times New Roman" w:hAnsi="Times New Roman"/>
          <w:bCs w:val="0"/>
          <w:spacing w:val="4"/>
          <w:sz w:val="28"/>
          <w:szCs w:val="28"/>
        </w:rPr>
      </w:pPr>
      <w:bookmarkStart w:id="153" w:name="_Toc19105491"/>
      <w:r>
        <w:rPr>
          <w:rFonts w:hint="eastAsia" w:ascii="Times New Roman" w:hAnsi="Times New Roman"/>
          <w:bCs w:val="0"/>
          <w:spacing w:val="4"/>
          <w:sz w:val="28"/>
          <w:szCs w:val="28"/>
        </w:rPr>
        <w:t>10.3</w:t>
      </w:r>
      <w:r>
        <w:rPr>
          <w:rFonts w:hint="eastAsia" w:ascii="Cambria" w:hAnsi="Cambria" w:eastAsia="宋体" w:cs="Times New Roman"/>
          <w:sz w:val="28"/>
          <w:szCs w:val="28"/>
        </w:rPr>
        <w:t>评价区环境质量现状及评价</w:t>
      </w:r>
      <w:bookmarkEnd w:id="153"/>
    </w:p>
    <w:p>
      <w:pPr>
        <w:pStyle w:val="3"/>
        <w:spacing w:before="0" w:after="0" w:line="480" w:lineRule="exact"/>
        <w:rPr>
          <w:sz w:val="24"/>
          <w:szCs w:val="24"/>
        </w:rPr>
      </w:pPr>
      <w:r>
        <w:rPr>
          <w:rFonts w:hint="eastAsia"/>
          <w:sz w:val="24"/>
          <w:szCs w:val="24"/>
        </w:rPr>
        <w:t>10.3.1环境空气质量现状</w:t>
      </w:r>
    </w:p>
    <w:p>
      <w:pPr>
        <w:spacing w:line="480" w:lineRule="exact"/>
        <w:ind w:firstLine="480" w:firstLineChars="200"/>
        <w:rPr>
          <w:bCs/>
          <w:kern w:val="0"/>
          <w:sz w:val="24"/>
        </w:rPr>
      </w:pPr>
      <w:r>
        <w:rPr>
          <w:rFonts w:hint="eastAsia"/>
          <w:bCs/>
          <w:kern w:val="0"/>
          <w:sz w:val="24"/>
          <w:szCs w:val="24"/>
        </w:rPr>
        <w:t>汾阳市</w:t>
      </w:r>
      <w:r>
        <w:rPr>
          <w:bCs/>
          <w:kern w:val="0"/>
          <w:sz w:val="24"/>
          <w:szCs w:val="24"/>
        </w:rPr>
        <w:t>2018</w:t>
      </w:r>
      <w:r>
        <w:rPr>
          <w:rFonts w:hint="eastAsia"/>
          <w:bCs/>
          <w:kern w:val="0"/>
          <w:sz w:val="24"/>
          <w:szCs w:val="24"/>
        </w:rPr>
        <w:t>年</w:t>
      </w:r>
      <w:r>
        <w:rPr>
          <w:bCs/>
          <w:kern w:val="0"/>
          <w:sz w:val="24"/>
          <w:szCs w:val="24"/>
        </w:rPr>
        <w:t>SO</w:t>
      </w:r>
      <w:r>
        <w:rPr>
          <w:bCs/>
          <w:kern w:val="0"/>
          <w:sz w:val="24"/>
          <w:szCs w:val="24"/>
          <w:vertAlign w:val="subscript"/>
        </w:rPr>
        <w:t>2</w:t>
      </w:r>
      <w:r>
        <w:rPr>
          <w:rFonts w:hint="eastAsia"/>
          <w:bCs/>
          <w:kern w:val="0"/>
          <w:sz w:val="24"/>
          <w:szCs w:val="24"/>
        </w:rPr>
        <w:t>、</w:t>
      </w:r>
      <w:r>
        <w:rPr>
          <w:bCs/>
          <w:kern w:val="0"/>
          <w:sz w:val="24"/>
          <w:szCs w:val="24"/>
        </w:rPr>
        <w:t>O</w:t>
      </w:r>
      <w:r>
        <w:rPr>
          <w:bCs/>
          <w:kern w:val="0"/>
          <w:sz w:val="24"/>
          <w:szCs w:val="24"/>
          <w:vertAlign w:val="subscript"/>
        </w:rPr>
        <w:t>3</w:t>
      </w:r>
      <w:r>
        <w:rPr>
          <w:rFonts w:hint="eastAsia"/>
          <w:bCs/>
          <w:kern w:val="0"/>
          <w:sz w:val="24"/>
          <w:szCs w:val="24"/>
        </w:rPr>
        <w:t>、</w:t>
      </w:r>
      <w:r>
        <w:rPr>
          <w:bCs/>
          <w:kern w:val="0"/>
          <w:sz w:val="24"/>
          <w:szCs w:val="24"/>
        </w:rPr>
        <w:t>PM</w:t>
      </w:r>
      <w:r>
        <w:rPr>
          <w:bCs/>
          <w:kern w:val="0"/>
          <w:sz w:val="24"/>
          <w:szCs w:val="24"/>
          <w:vertAlign w:val="subscript"/>
        </w:rPr>
        <w:t>10</w:t>
      </w:r>
      <w:r>
        <w:rPr>
          <w:rFonts w:hint="eastAsia"/>
          <w:bCs/>
          <w:kern w:val="0"/>
          <w:sz w:val="24"/>
          <w:szCs w:val="24"/>
        </w:rPr>
        <w:t>和</w:t>
      </w:r>
      <w:r>
        <w:rPr>
          <w:bCs/>
          <w:kern w:val="0"/>
          <w:sz w:val="24"/>
          <w:szCs w:val="24"/>
        </w:rPr>
        <w:t>PM</w:t>
      </w:r>
      <w:r>
        <w:rPr>
          <w:bCs/>
          <w:kern w:val="0"/>
          <w:sz w:val="24"/>
          <w:szCs w:val="24"/>
          <w:vertAlign w:val="subscript"/>
        </w:rPr>
        <w:t>2.5</w:t>
      </w:r>
      <w:r>
        <w:rPr>
          <w:rFonts w:hint="eastAsia"/>
          <w:bCs/>
          <w:kern w:val="0"/>
          <w:sz w:val="24"/>
          <w:szCs w:val="24"/>
        </w:rPr>
        <w:t>年平均质量浓度均超标</w:t>
      </w:r>
      <w:r>
        <w:rPr>
          <w:rFonts w:hint="eastAsia"/>
          <w:kern w:val="0"/>
          <w:sz w:val="24"/>
        </w:rPr>
        <w:t>，超标是受采暖季大量分散燃煤小锅炉排放污染物及汾阳市周边工业企业生产排放污染物影响所致，同时北方地区降水少，气候干燥不利于大气污染物沉降也是影响各污染物超标的原因之一。评价区</w:t>
      </w:r>
      <w:r>
        <w:rPr>
          <w:rFonts w:hint="eastAsia"/>
          <w:bCs/>
          <w:kern w:val="0"/>
          <w:sz w:val="24"/>
        </w:rPr>
        <w:t>李家沟村</w:t>
      </w:r>
      <w:r>
        <w:rPr>
          <w:rFonts w:hint="eastAsia"/>
          <w:kern w:val="0"/>
          <w:sz w:val="24"/>
        </w:rPr>
        <w:t>监测点中：</w:t>
      </w:r>
      <w:r>
        <w:rPr>
          <w:kern w:val="0"/>
          <w:sz w:val="24"/>
        </w:rPr>
        <w:t>HN</w:t>
      </w:r>
      <w:r>
        <w:rPr>
          <w:kern w:val="0"/>
          <w:sz w:val="24"/>
          <w:vertAlign w:val="subscript"/>
        </w:rPr>
        <w:t>3</w:t>
      </w:r>
      <w:r>
        <w:rPr>
          <w:rFonts w:hint="eastAsia"/>
          <w:kern w:val="0"/>
          <w:sz w:val="24"/>
        </w:rPr>
        <w:t>、</w:t>
      </w:r>
      <w:r>
        <w:rPr>
          <w:kern w:val="0"/>
          <w:sz w:val="24"/>
        </w:rPr>
        <w:t>H</w:t>
      </w:r>
      <w:r>
        <w:rPr>
          <w:kern w:val="0"/>
          <w:sz w:val="24"/>
          <w:vertAlign w:val="subscript"/>
        </w:rPr>
        <w:t>2</w:t>
      </w:r>
      <w:r>
        <w:rPr>
          <w:kern w:val="0"/>
          <w:sz w:val="24"/>
        </w:rPr>
        <w:t>S</w:t>
      </w:r>
      <w:r>
        <w:rPr>
          <w:rFonts w:hint="eastAsia"/>
          <w:spacing w:val="4"/>
          <w:kern w:val="0"/>
          <w:sz w:val="24"/>
        </w:rPr>
        <w:t>小时浓度值满足《环境影响评价技术导则</w:t>
      </w:r>
      <w:r>
        <w:rPr>
          <w:spacing w:val="4"/>
          <w:kern w:val="0"/>
          <w:sz w:val="24"/>
        </w:rPr>
        <w:t xml:space="preserve"> </w:t>
      </w:r>
      <w:r>
        <w:rPr>
          <w:rFonts w:hint="eastAsia"/>
          <w:spacing w:val="4"/>
          <w:kern w:val="0"/>
          <w:sz w:val="24"/>
        </w:rPr>
        <w:t>大气环境》（</w:t>
      </w:r>
      <w:r>
        <w:rPr>
          <w:spacing w:val="4"/>
          <w:kern w:val="0"/>
          <w:sz w:val="24"/>
        </w:rPr>
        <w:t>HJ2.2-2018</w:t>
      </w:r>
      <w:r>
        <w:rPr>
          <w:rFonts w:hint="eastAsia"/>
          <w:spacing w:val="4"/>
          <w:kern w:val="0"/>
          <w:sz w:val="24"/>
        </w:rPr>
        <w:t>）附录</w:t>
      </w:r>
      <w:r>
        <w:rPr>
          <w:spacing w:val="4"/>
          <w:kern w:val="0"/>
          <w:sz w:val="24"/>
        </w:rPr>
        <w:t>D</w:t>
      </w:r>
      <w:r>
        <w:rPr>
          <w:rFonts w:hint="eastAsia"/>
          <w:spacing w:val="4"/>
          <w:kern w:val="0"/>
          <w:sz w:val="24"/>
        </w:rPr>
        <w:t>中其他污染物空气质量浓度限值</w:t>
      </w:r>
      <w:r>
        <w:rPr>
          <w:rFonts w:hint="eastAsia"/>
          <w:kern w:val="0"/>
          <w:sz w:val="24"/>
        </w:rPr>
        <w:t>。</w:t>
      </w:r>
    </w:p>
    <w:p>
      <w:pPr>
        <w:pStyle w:val="3"/>
        <w:spacing w:before="0" w:after="0" w:line="480" w:lineRule="exact"/>
        <w:rPr>
          <w:sz w:val="24"/>
          <w:szCs w:val="24"/>
        </w:rPr>
      </w:pPr>
      <w:r>
        <w:rPr>
          <w:rFonts w:hint="eastAsia"/>
          <w:sz w:val="24"/>
          <w:szCs w:val="24"/>
        </w:rPr>
        <w:t>10.3.2地表水环境质量现状</w:t>
      </w:r>
    </w:p>
    <w:p>
      <w:pPr>
        <w:spacing w:line="480" w:lineRule="exact"/>
        <w:ind w:firstLine="480" w:firstLineChars="200"/>
        <w:rPr>
          <w:rFonts w:hAnsi="宋体"/>
          <w:bCs/>
          <w:sz w:val="24"/>
          <w:szCs w:val="24"/>
        </w:rPr>
      </w:pPr>
      <w:bookmarkStart w:id="154" w:name="_Hlk9002825"/>
      <w:r>
        <w:rPr>
          <w:rFonts w:hint="eastAsia"/>
          <w:kern w:val="0"/>
          <w:sz w:val="24"/>
        </w:rPr>
        <w:t>根据《环境影响评价技术导则</w:t>
      </w:r>
      <w:r>
        <w:rPr>
          <w:kern w:val="0"/>
          <w:sz w:val="24"/>
        </w:rPr>
        <w:t xml:space="preserve"> </w:t>
      </w:r>
      <w:r>
        <w:rPr>
          <w:rFonts w:hint="eastAsia"/>
          <w:kern w:val="0"/>
          <w:sz w:val="24"/>
        </w:rPr>
        <w:t>地表水环境》（</w:t>
      </w:r>
      <w:r>
        <w:rPr>
          <w:kern w:val="0"/>
          <w:sz w:val="24"/>
        </w:rPr>
        <w:t>HJ2.3-2018</w:t>
      </w:r>
      <w:r>
        <w:rPr>
          <w:rFonts w:hint="eastAsia"/>
          <w:kern w:val="0"/>
          <w:sz w:val="24"/>
        </w:rPr>
        <w:t>），建设项目生产工艺中有废水产生，但作为回水利用，不排放到外环境的，按三级</w:t>
      </w:r>
      <w:r>
        <w:rPr>
          <w:kern w:val="0"/>
          <w:sz w:val="24"/>
        </w:rPr>
        <w:t>B</w:t>
      </w:r>
      <w:r>
        <w:rPr>
          <w:rFonts w:hint="eastAsia"/>
          <w:kern w:val="0"/>
          <w:sz w:val="24"/>
        </w:rPr>
        <w:t>评价。本项目无废水外排，地表水环境影响评价等级为三级</w:t>
      </w:r>
      <w:r>
        <w:rPr>
          <w:kern w:val="0"/>
          <w:sz w:val="24"/>
        </w:rPr>
        <w:t>B</w:t>
      </w:r>
      <w:r>
        <w:rPr>
          <w:rFonts w:hint="eastAsia"/>
          <w:kern w:val="0"/>
          <w:sz w:val="24"/>
        </w:rPr>
        <w:t>；本项目仅对</w:t>
      </w:r>
      <w:r>
        <w:rPr>
          <w:rFonts w:hint="eastAsia"/>
          <w:kern w:val="0"/>
          <w:sz w:val="24"/>
          <w:szCs w:val="24"/>
        </w:rPr>
        <w:t>生产废水回用不外排的可行性进行分析。因此，未收集、监测相关地表水环境质量。</w:t>
      </w:r>
      <w:bookmarkEnd w:id="154"/>
    </w:p>
    <w:p>
      <w:pPr>
        <w:pStyle w:val="3"/>
        <w:spacing w:before="0" w:after="0" w:line="480" w:lineRule="exact"/>
        <w:rPr>
          <w:sz w:val="24"/>
          <w:szCs w:val="24"/>
        </w:rPr>
      </w:pPr>
      <w:r>
        <w:rPr>
          <w:rFonts w:hint="eastAsia"/>
          <w:sz w:val="24"/>
          <w:szCs w:val="24"/>
        </w:rPr>
        <w:t>10.3.3地下水质量现状</w:t>
      </w:r>
    </w:p>
    <w:p>
      <w:pPr>
        <w:spacing w:line="480" w:lineRule="exact"/>
        <w:ind w:firstLine="480" w:firstLineChars="200"/>
        <w:rPr>
          <w:rFonts w:hAnsi="宋体"/>
          <w:bCs/>
          <w:sz w:val="24"/>
          <w:szCs w:val="24"/>
        </w:rPr>
      </w:pPr>
      <w:r>
        <w:rPr>
          <w:rFonts w:hint="eastAsia"/>
          <w:bCs/>
          <w:kern w:val="0"/>
          <w:sz w:val="24"/>
          <w:szCs w:val="24"/>
        </w:rPr>
        <w:t>本次地下水质量现状监测中，</w:t>
      </w:r>
      <w:r>
        <w:rPr>
          <w:rFonts w:hAnsi="宋体"/>
          <w:kern w:val="0"/>
          <w:sz w:val="24"/>
        </w:rPr>
        <w:t>1#~3#</w:t>
      </w:r>
      <w:r>
        <w:rPr>
          <w:rFonts w:hint="eastAsia" w:hAnsi="宋体"/>
          <w:kern w:val="0"/>
          <w:sz w:val="24"/>
        </w:rPr>
        <w:t>监测井中</w:t>
      </w:r>
      <w:r>
        <w:rPr>
          <w:rFonts w:hint="eastAsia" w:hAnsi="宋体"/>
          <w:bCs/>
          <w:kern w:val="0"/>
          <w:sz w:val="24"/>
        </w:rPr>
        <w:t>各个监测因子监测值均符合《地下水质量标准》（</w:t>
      </w:r>
      <w:r>
        <w:rPr>
          <w:rFonts w:hAnsi="宋体"/>
          <w:bCs/>
          <w:kern w:val="0"/>
          <w:sz w:val="24"/>
        </w:rPr>
        <w:t>GB/T 14848-2017</w:t>
      </w:r>
      <w:r>
        <w:rPr>
          <w:rFonts w:hint="eastAsia" w:hAnsi="宋体"/>
          <w:bCs/>
          <w:kern w:val="0"/>
          <w:sz w:val="24"/>
        </w:rPr>
        <w:t>）中的</w:t>
      </w:r>
      <w:r>
        <w:rPr>
          <w:rFonts w:hAnsi="宋体"/>
          <w:bCs/>
          <w:kern w:val="0"/>
          <w:sz w:val="24"/>
        </w:rPr>
        <w:fldChar w:fldCharType="begin"/>
      </w:r>
      <w:r>
        <w:rPr>
          <w:rFonts w:hAnsi="宋体"/>
          <w:bCs/>
          <w:kern w:val="0"/>
          <w:sz w:val="24"/>
        </w:rPr>
        <w:instrText xml:space="preserve"> = 3 \* ROMAN </w:instrText>
      </w:r>
      <w:r>
        <w:rPr>
          <w:rFonts w:hAnsi="宋体"/>
          <w:bCs/>
          <w:kern w:val="0"/>
          <w:sz w:val="24"/>
        </w:rPr>
        <w:fldChar w:fldCharType="separate"/>
      </w:r>
      <w:r>
        <w:rPr>
          <w:rFonts w:hAnsi="宋体"/>
          <w:bCs/>
          <w:kern w:val="0"/>
          <w:sz w:val="24"/>
        </w:rPr>
        <w:t>III</w:t>
      </w:r>
      <w:r>
        <w:rPr>
          <w:rFonts w:hAnsi="宋体"/>
          <w:kern w:val="0"/>
          <w:sz w:val="24"/>
        </w:rPr>
        <w:fldChar w:fldCharType="end"/>
      </w:r>
      <w:r>
        <w:rPr>
          <w:rFonts w:hint="eastAsia" w:hAnsi="宋体"/>
          <w:bCs/>
          <w:kern w:val="0"/>
          <w:sz w:val="24"/>
        </w:rPr>
        <w:t>类标准。</w:t>
      </w:r>
    </w:p>
    <w:p>
      <w:pPr>
        <w:pStyle w:val="3"/>
        <w:spacing w:before="0" w:after="0" w:line="480" w:lineRule="exact"/>
        <w:rPr>
          <w:sz w:val="24"/>
          <w:szCs w:val="24"/>
        </w:rPr>
      </w:pPr>
      <w:r>
        <w:rPr>
          <w:rFonts w:hint="eastAsia"/>
          <w:sz w:val="24"/>
          <w:szCs w:val="24"/>
        </w:rPr>
        <w:t>10.3.4声环境质量现状</w:t>
      </w:r>
    </w:p>
    <w:p>
      <w:pPr>
        <w:spacing w:line="480" w:lineRule="exact"/>
        <w:ind w:firstLine="480" w:firstLineChars="200"/>
        <w:rPr>
          <w:kern w:val="0"/>
          <w:sz w:val="24"/>
        </w:rPr>
      </w:pPr>
      <w:r>
        <w:rPr>
          <w:rFonts w:hint="eastAsia"/>
          <w:kern w:val="0"/>
          <w:sz w:val="24"/>
        </w:rPr>
        <w:t>本次声环境质量现状监测中厂界声环境质量现状昼间监测值为</w:t>
      </w:r>
      <w:r>
        <w:rPr>
          <w:kern w:val="0"/>
          <w:sz w:val="24"/>
        </w:rPr>
        <w:t>52dB</w:t>
      </w:r>
      <w:r>
        <w:rPr>
          <w:rFonts w:hint="eastAsia"/>
          <w:kern w:val="0"/>
          <w:sz w:val="24"/>
        </w:rPr>
        <w:t>（</w:t>
      </w:r>
      <w:r>
        <w:rPr>
          <w:kern w:val="0"/>
          <w:sz w:val="24"/>
        </w:rPr>
        <w:t>A</w:t>
      </w:r>
      <w:r>
        <w:rPr>
          <w:rFonts w:hint="eastAsia"/>
          <w:kern w:val="0"/>
          <w:sz w:val="24"/>
        </w:rPr>
        <w:t>），夜间监测值范围</w:t>
      </w:r>
      <w:r>
        <w:rPr>
          <w:kern w:val="0"/>
          <w:sz w:val="24"/>
        </w:rPr>
        <w:t>45-46dB</w:t>
      </w:r>
      <w:r>
        <w:rPr>
          <w:rFonts w:hint="eastAsia"/>
          <w:kern w:val="0"/>
          <w:sz w:val="24"/>
        </w:rPr>
        <w:t>（</w:t>
      </w:r>
      <w:r>
        <w:rPr>
          <w:kern w:val="0"/>
          <w:sz w:val="24"/>
        </w:rPr>
        <w:t>A</w:t>
      </w:r>
      <w:r>
        <w:rPr>
          <w:rFonts w:hint="eastAsia"/>
          <w:kern w:val="0"/>
          <w:sz w:val="24"/>
        </w:rPr>
        <w:t>）；满足《声环境质量标准》（</w:t>
      </w:r>
      <w:r>
        <w:rPr>
          <w:kern w:val="0"/>
          <w:sz w:val="24"/>
        </w:rPr>
        <w:t>GB3096-2008</w:t>
      </w:r>
      <w:r>
        <w:rPr>
          <w:rFonts w:hint="eastAsia"/>
          <w:kern w:val="0"/>
          <w:sz w:val="24"/>
        </w:rPr>
        <w:t>）中</w:t>
      </w:r>
      <w:r>
        <w:rPr>
          <w:kern w:val="0"/>
          <w:sz w:val="24"/>
        </w:rPr>
        <w:t>2</w:t>
      </w:r>
      <w:r>
        <w:rPr>
          <w:rFonts w:hint="eastAsia"/>
          <w:kern w:val="0"/>
          <w:sz w:val="24"/>
        </w:rPr>
        <w:t>类标准中昼间</w:t>
      </w:r>
      <w:r>
        <w:rPr>
          <w:kern w:val="0"/>
          <w:sz w:val="24"/>
        </w:rPr>
        <w:t>60dB(A)</w:t>
      </w:r>
      <w:r>
        <w:rPr>
          <w:rFonts w:hint="eastAsia"/>
          <w:kern w:val="0"/>
          <w:sz w:val="24"/>
        </w:rPr>
        <w:t>、夜间</w:t>
      </w:r>
      <w:r>
        <w:rPr>
          <w:kern w:val="0"/>
          <w:sz w:val="24"/>
        </w:rPr>
        <w:t>50dB(A)</w:t>
      </w:r>
      <w:r>
        <w:rPr>
          <w:rFonts w:hint="eastAsia"/>
          <w:kern w:val="0"/>
          <w:sz w:val="24"/>
        </w:rPr>
        <w:t>标准限值。</w:t>
      </w:r>
    </w:p>
    <w:p>
      <w:pPr>
        <w:pStyle w:val="3"/>
        <w:spacing w:before="0" w:after="0" w:line="480" w:lineRule="exact"/>
        <w:rPr>
          <w:sz w:val="24"/>
          <w:szCs w:val="24"/>
        </w:rPr>
      </w:pPr>
      <w:r>
        <w:rPr>
          <w:rFonts w:hint="eastAsia"/>
          <w:sz w:val="24"/>
          <w:szCs w:val="24"/>
        </w:rPr>
        <w:t>10.3.5土壤环境质量现状</w:t>
      </w:r>
    </w:p>
    <w:p>
      <w:pPr>
        <w:spacing w:line="480" w:lineRule="exact"/>
        <w:ind w:firstLine="480" w:firstLineChars="200"/>
        <w:rPr>
          <w:kern w:val="0"/>
          <w:sz w:val="24"/>
        </w:rPr>
      </w:pPr>
      <w:r>
        <w:rPr>
          <w:rFonts w:hint="eastAsia"/>
          <w:kern w:val="0"/>
          <w:sz w:val="24"/>
        </w:rPr>
        <w:t>本次土壤环境质量现状监测中</w:t>
      </w:r>
      <w:r>
        <w:rPr>
          <w:rFonts w:hint="eastAsia"/>
          <w:kern w:val="0"/>
          <w:sz w:val="24"/>
          <w:szCs w:val="32"/>
        </w:rPr>
        <w:t>，本项目所在区域土壤环境质量可以达到</w:t>
      </w:r>
      <w:r>
        <w:rPr>
          <w:rFonts w:hint="eastAsia"/>
          <w:kern w:val="0"/>
          <w:sz w:val="24"/>
        </w:rPr>
        <w:t>《土壤环境质量</w:t>
      </w:r>
      <w:r>
        <w:rPr>
          <w:kern w:val="0"/>
          <w:sz w:val="24"/>
        </w:rPr>
        <w:t xml:space="preserve"> </w:t>
      </w:r>
      <w:r>
        <w:rPr>
          <w:rFonts w:hint="eastAsia"/>
          <w:kern w:val="0"/>
          <w:sz w:val="24"/>
        </w:rPr>
        <w:t>建设用地土壤污染风险管控标准》（试行）中第二类用地建设用地土壤污染风险筛选值和管制值，土壤</w:t>
      </w:r>
      <w:r>
        <w:rPr>
          <w:rFonts w:hint="eastAsia"/>
          <w:kern w:val="0"/>
          <w:sz w:val="24"/>
          <w:szCs w:val="32"/>
        </w:rPr>
        <w:t>环境质量较好。</w:t>
      </w:r>
    </w:p>
    <w:p>
      <w:pPr>
        <w:pStyle w:val="2"/>
        <w:spacing w:before="156" w:beforeLines="50" w:after="0" w:line="480" w:lineRule="exact"/>
        <w:rPr>
          <w:rFonts w:ascii="Times New Roman" w:hAnsi="Times New Roman"/>
          <w:bCs w:val="0"/>
          <w:spacing w:val="4"/>
          <w:sz w:val="28"/>
          <w:szCs w:val="28"/>
        </w:rPr>
      </w:pPr>
      <w:bookmarkStart w:id="155" w:name="_Toc19105492"/>
      <w:r>
        <w:rPr>
          <w:rFonts w:hint="eastAsia" w:ascii="Times New Roman" w:hAnsi="Times New Roman"/>
          <w:bCs w:val="0"/>
          <w:spacing w:val="4"/>
          <w:sz w:val="28"/>
          <w:szCs w:val="28"/>
        </w:rPr>
        <w:t>10.4</w:t>
      </w:r>
      <w:r>
        <w:rPr>
          <w:rFonts w:hint="eastAsia" w:ascii="Cambria" w:hAnsi="Cambria" w:eastAsia="宋体" w:cs="Times New Roman"/>
          <w:sz w:val="28"/>
          <w:szCs w:val="28"/>
        </w:rPr>
        <w:t>环境影响预测与评价</w:t>
      </w:r>
      <w:bookmarkEnd w:id="155"/>
    </w:p>
    <w:p>
      <w:pPr>
        <w:pStyle w:val="3"/>
        <w:spacing w:before="0" w:after="0" w:line="480" w:lineRule="exact"/>
        <w:rPr>
          <w:sz w:val="24"/>
          <w:szCs w:val="24"/>
        </w:rPr>
      </w:pPr>
      <w:r>
        <w:rPr>
          <w:rFonts w:hint="eastAsia"/>
          <w:sz w:val="24"/>
          <w:szCs w:val="24"/>
        </w:rPr>
        <w:t>10.4.1环境空气影响预测与评价</w:t>
      </w:r>
    </w:p>
    <w:p>
      <w:pPr>
        <w:spacing w:line="480" w:lineRule="exact"/>
        <w:ind w:firstLine="480" w:firstLineChars="200"/>
        <w:rPr>
          <w:rFonts w:hAnsi="宋体"/>
          <w:bCs/>
          <w:sz w:val="24"/>
          <w:szCs w:val="24"/>
        </w:rPr>
      </w:pPr>
      <w:r>
        <w:rPr>
          <w:rFonts w:hint="eastAsia"/>
          <w:kern w:val="0"/>
          <w:sz w:val="24"/>
        </w:rPr>
        <w:t>经大气环境影响预测可知，本项目运行后，按照评价要求的环保措施实施后，各大气污染源的排放均满足相应排放标准，对区域环境空气质量影响较小。因此，只要加强管理、严格落实环保措施，从环境空气影响评价角度出发，本项目的建设是可行的</w:t>
      </w:r>
      <w:r>
        <w:rPr>
          <w:sz w:val="24"/>
          <w:szCs w:val="24"/>
        </w:rPr>
        <w:t>。</w:t>
      </w:r>
    </w:p>
    <w:p>
      <w:pPr>
        <w:pStyle w:val="3"/>
        <w:spacing w:before="0" w:after="0" w:line="480" w:lineRule="exact"/>
        <w:rPr>
          <w:sz w:val="24"/>
          <w:szCs w:val="24"/>
        </w:rPr>
      </w:pPr>
      <w:r>
        <w:rPr>
          <w:rFonts w:hint="eastAsia"/>
          <w:sz w:val="24"/>
          <w:szCs w:val="24"/>
        </w:rPr>
        <w:t>10.4.2水环境影响预测与评价</w:t>
      </w:r>
    </w:p>
    <w:p>
      <w:pPr>
        <w:pStyle w:val="85"/>
        <w:spacing w:line="480" w:lineRule="exact"/>
        <w:ind w:firstLine="480"/>
        <w:rPr>
          <w:rFonts w:ascii="Times New Roman" w:hAnsi="Times New Roman" w:cs="Times New Roman"/>
          <w:bCs/>
          <w:sz w:val="24"/>
        </w:rPr>
      </w:pPr>
      <w:r>
        <w:rPr>
          <w:rFonts w:hint="eastAsia"/>
          <w:kern w:val="0"/>
          <w:sz w:val="24"/>
        </w:rPr>
        <w:t>在正常生产情况下，废水排放量为零，不会对地表水产生影响。生产废水主要为循环冷却水，事故状态下，也不会对地表水造成较大的影响。但企业要加强管理，规范操作，以实现废水零排放。</w:t>
      </w:r>
    </w:p>
    <w:p>
      <w:pPr>
        <w:spacing w:line="480" w:lineRule="exact"/>
        <w:ind w:firstLine="480" w:firstLineChars="200"/>
        <w:rPr>
          <w:rFonts w:ascii="宋体"/>
          <w:sz w:val="24"/>
          <w:szCs w:val="24"/>
        </w:rPr>
      </w:pPr>
      <w:r>
        <w:rPr>
          <w:rFonts w:hint="eastAsia"/>
          <w:bCs/>
          <w:sz w:val="24"/>
          <w:szCs w:val="28"/>
        </w:rPr>
        <w:t>本工程只要在设计施工过程中保证防渗措施的落实，保证高质量安装以及在运营期间加强管理，防止废水、废液的跑冒滴漏，及时发现问题及时维修，避免固废暂存不当，就可防止工程运营期对地下水的污染影响。从保护地下水环境的角度出发，本建设项目地下水环境影响可以接受。</w:t>
      </w:r>
    </w:p>
    <w:p>
      <w:pPr>
        <w:pStyle w:val="3"/>
        <w:spacing w:before="0" w:after="0" w:line="480" w:lineRule="exact"/>
        <w:rPr>
          <w:sz w:val="24"/>
          <w:szCs w:val="24"/>
        </w:rPr>
      </w:pPr>
      <w:r>
        <w:rPr>
          <w:rFonts w:hint="eastAsia"/>
          <w:sz w:val="24"/>
          <w:szCs w:val="24"/>
        </w:rPr>
        <w:t>10.4.3固体废物影响预测与评价</w:t>
      </w:r>
    </w:p>
    <w:p>
      <w:pPr>
        <w:pStyle w:val="85"/>
        <w:adjustRightInd w:val="0"/>
        <w:spacing w:line="480" w:lineRule="exact"/>
        <w:ind w:firstLine="480"/>
        <w:rPr>
          <w:sz w:val="24"/>
          <w:szCs w:val="24"/>
        </w:rPr>
      </w:pPr>
      <w:r>
        <w:rPr>
          <w:rFonts w:hint="eastAsia"/>
          <w:kern w:val="0"/>
          <w:sz w:val="24"/>
          <w:szCs w:val="24"/>
        </w:rPr>
        <w:t>项目运行期间产生的固体废物均能够得到合理有效利用或处置，对区域的自然环境、生态、人群健康均不会造成大的危害。</w:t>
      </w:r>
    </w:p>
    <w:p>
      <w:pPr>
        <w:pStyle w:val="3"/>
        <w:spacing w:before="0" w:after="0" w:line="480" w:lineRule="exact"/>
        <w:rPr>
          <w:sz w:val="24"/>
          <w:szCs w:val="24"/>
        </w:rPr>
      </w:pPr>
      <w:r>
        <w:rPr>
          <w:rFonts w:hint="eastAsia"/>
          <w:sz w:val="24"/>
          <w:szCs w:val="24"/>
        </w:rPr>
        <w:t>10.4.4声环境影响预测与评价</w:t>
      </w:r>
    </w:p>
    <w:p>
      <w:pPr>
        <w:spacing w:line="480" w:lineRule="exact"/>
        <w:ind w:firstLine="480" w:firstLineChars="200"/>
        <w:rPr>
          <w:rFonts w:ascii="宋体" w:hAnsi="宋体"/>
          <w:bCs/>
          <w:kern w:val="0"/>
          <w:sz w:val="24"/>
          <w:szCs w:val="24"/>
        </w:rPr>
      </w:pPr>
      <w:r>
        <w:rPr>
          <w:rFonts w:hint="eastAsia"/>
          <w:sz w:val="24"/>
          <w:szCs w:val="24"/>
        </w:rPr>
        <w:t>由</w:t>
      </w:r>
      <w:r>
        <w:rPr>
          <w:sz w:val="24"/>
          <w:szCs w:val="24"/>
        </w:rPr>
        <w:t>噪声预测结果</w:t>
      </w:r>
      <w:r>
        <w:rPr>
          <w:rFonts w:hint="eastAsia"/>
          <w:sz w:val="24"/>
          <w:szCs w:val="24"/>
        </w:rPr>
        <w:t>可知</w:t>
      </w:r>
      <w:r>
        <w:rPr>
          <w:sz w:val="24"/>
          <w:szCs w:val="24"/>
        </w:rPr>
        <w:t>：厂界贡献值范围在26.3～43.2dB(A)，</w:t>
      </w:r>
      <w:r>
        <w:rPr>
          <w:rFonts w:hint="eastAsia"/>
          <w:kern w:val="0"/>
          <w:sz w:val="24"/>
          <w:szCs w:val="24"/>
        </w:rPr>
        <w:t>厂界噪声贡献值均未超过《工业企业厂界环境噪声排放标准》</w:t>
      </w:r>
      <w:r>
        <w:rPr>
          <w:kern w:val="0"/>
          <w:sz w:val="24"/>
          <w:szCs w:val="24"/>
        </w:rPr>
        <w:t>(GB12348-2008)</w:t>
      </w:r>
      <w:r>
        <w:rPr>
          <w:rFonts w:hint="eastAsia"/>
          <w:kern w:val="0"/>
          <w:sz w:val="24"/>
          <w:szCs w:val="24"/>
        </w:rPr>
        <w:t>中</w:t>
      </w:r>
      <w:r>
        <w:rPr>
          <w:kern w:val="0"/>
          <w:sz w:val="24"/>
          <w:szCs w:val="24"/>
        </w:rPr>
        <w:t>2</w:t>
      </w:r>
      <w:r>
        <w:rPr>
          <w:rFonts w:hint="eastAsia"/>
          <w:kern w:val="0"/>
          <w:sz w:val="24"/>
          <w:szCs w:val="24"/>
        </w:rPr>
        <w:t>类标准值；</w:t>
      </w:r>
      <w:r>
        <w:rPr>
          <w:rFonts w:hint="eastAsia"/>
          <w:sz w:val="24"/>
          <w:szCs w:val="24"/>
        </w:rPr>
        <w:t>因此，本项目</w:t>
      </w:r>
      <w:r>
        <w:rPr>
          <w:sz w:val="24"/>
          <w:szCs w:val="24"/>
        </w:rPr>
        <w:t>在采取环评规定的噪声治理措施后，</w:t>
      </w:r>
      <w:r>
        <w:rPr>
          <w:rFonts w:hint="eastAsia"/>
          <w:sz w:val="24"/>
          <w:szCs w:val="24"/>
        </w:rPr>
        <w:t>对厂界声环境影响较小</w:t>
      </w:r>
      <w:r>
        <w:rPr>
          <w:rFonts w:hint="eastAsia" w:ascii="宋体" w:hAnsi="宋体"/>
          <w:bCs/>
          <w:sz w:val="24"/>
          <w:szCs w:val="24"/>
        </w:rPr>
        <w:t>。</w:t>
      </w:r>
    </w:p>
    <w:p>
      <w:pPr>
        <w:pStyle w:val="3"/>
        <w:spacing w:before="0" w:after="0" w:line="480" w:lineRule="exact"/>
        <w:rPr>
          <w:sz w:val="24"/>
          <w:szCs w:val="24"/>
        </w:rPr>
      </w:pPr>
      <w:r>
        <w:rPr>
          <w:rFonts w:hint="eastAsia"/>
          <w:sz w:val="24"/>
          <w:szCs w:val="24"/>
        </w:rPr>
        <w:t>10.4.5土壤环境影响预测与评价</w:t>
      </w:r>
    </w:p>
    <w:p>
      <w:pPr>
        <w:spacing w:line="480" w:lineRule="exact"/>
        <w:ind w:firstLine="480" w:firstLineChars="200"/>
        <w:rPr>
          <w:rFonts w:ascii="宋体" w:hAnsi="宋体"/>
          <w:bCs/>
          <w:sz w:val="24"/>
          <w:szCs w:val="24"/>
        </w:rPr>
      </w:pPr>
      <w:r>
        <w:rPr>
          <w:rFonts w:hint="eastAsia"/>
          <w:color w:val="000000"/>
          <w:kern w:val="0"/>
          <w:sz w:val="24"/>
        </w:rPr>
        <w:t>本项目鸡舍、污水处理站、填埋井在落实环评提出的防渗措施的条件下，本项目运营期对土壤环境的影响较小。</w:t>
      </w:r>
    </w:p>
    <w:p>
      <w:pPr>
        <w:pStyle w:val="2"/>
        <w:spacing w:before="156" w:beforeLines="50" w:after="0" w:line="480" w:lineRule="exact"/>
        <w:rPr>
          <w:rFonts w:ascii="Times New Roman" w:hAnsi="Times New Roman"/>
          <w:bCs w:val="0"/>
          <w:spacing w:val="4"/>
          <w:sz w:val="28"/>
          <w:szCs w:val="28"/>
        </w:rPr>
      </w:pPr>
      <w:bookmarkStart w:id="156" w:name="_Toc19105493"/>
      <w:r>
        <w:rPr>
          <w:rFonts w:hint="eastAsia" w:ascii="Times New Roman" w:hAnsi="Times New Roman"/>
          <w:bCs w:val="0"/>
          <w:spacing w:val="4"/>
          <w:sz w:val="28"/>
          <w:szCs w:val="28"/>
        </w:rPr>
        <w:t>10.5</w:t>
      </w:r>
      <w:r>
        <w:rPr>
          <w:rFonts w:hint="eastAsia" w:ascii="Cambria" w:hAnsi="Cambria" w:eastAsia="宋体" w:cs="Times New Roman"/>
          <w:sz w:val="28"/>
          <w:szCs w:val="28"/>
        </w:rPr>
        <w:t>环境</w:t>
      </w:r>
      <w:r>
        <w:rPr>
          <w:rFonts w:hint="eastAsia"/>
          <w:sz w:val="28"/>
          <w:szCs w:val="28"/>
        </w:rPr>
        <w:t>风险评价</w:t>
      </w:r>
      <w:bookmarkEnd w:id="156"/>
    </w:p>
    <w:p>
      <w:pPr>
        <w:spacing w:line="480" w:lineRule="exact"/>
        <w:ind w:firstLine="480" w:firstLineChars="200"/>
        <w:rPr>
          <w:rFonts w:ascii="宋体" w:hAnsi="宋体"/>
          <w:bCs/>
          <w:sz w:val="24"/>
          <w:szCs w:val="24"/>
        </w:rPr>
      </w:pPr>
      <w:r>
        <w:rPr>
          <w:rFonts w:hint="eastAsia"/>
          <w:color w:val="000000"/>
          <w:kern w:val="0"/>
          <w:sz w:val="24"/>
        </w:rPr>
        <w:t>由风险评价分析结果得知，经采取相应应急措施，能大大减少事故发生概率，并且一旦发生事故，能迅速采取有力措施，减小对环境污染。其潜在的事故风险是可以防范的。项目建设对周围环境危害程度较小，风险值是可以接受的。</w:t>
      </w:r>
    </w:p>
    <w:p>
      <w:pPr>
        <w:pStyle w:val="2"/>
        <w:spacing w:before="156" w:beforeLines="50" w:after="0" w:line="480" w:lineRule="exact"/>
        <w:rPr>
          <w:rFonts w:ascii="Times New Roman" w:hAnsi="Times New Roman"/>
          <w:bCs w:val="0"/>
          <w:spacing w:val="4"/>
          <w:sz w:val="28"/>
          <w:szCs w:val="28"/>
        </w:rPr>
      </w:pPr>
      <w:bookmarkStart w:id="157" w:name="_Toc19105494"/>
      <w:r>
        <w:rPr>
          <w:rFonts w:hint="eastAsia" w:ascii="Times New Roman" w:hAnsi="Times New Roman"/>
          <w:bCs w:val="0"/>
          <w:spacing w:val="4"/>
          <w:sz w:val="28"/>
          <w:szCs w:val="28"/>
        </w:rPr>
        <w:t>10.6</w:t>
      </w:r>
      <w:r>
        <w:rPr>
          <w:rFonts w:hint="eastAsia" w:ascii="Cambria" w:hAnsi="Cambria" w:eastAsia="宋体" w:cs="Times New Roman"/>
          <w:sz w:val="28"/>
          <w:szCs w:val="28"/>
        </w:rPr>
        <w:t>环境</w:t>
      </w:r>
      <w:r>
        <w:rPr>
          <w:rFonts w:hint="eastAsia"/>
          <w:sz w:val="28"/>
          <w:szCs w:val="28"/>
        </w:rPr>
        <w:t>经济损益分析</w:t>
      </w:r>
      <w:bookmarkEnd w:id="157"/>
    </w:p>
    <w:p>
      <w:pPr>
        <w:spacing w:line="480" w:lineRule="exact"/>
        <w:ind w:firstLine="480" w:firstLineChars="200"/>
        <w:rPr>
          <w:rFonts w:hAnsi="宋体"/>
          <w:bCs/>
          <w:sz w:val="24"/>
          <w:szCs w:val="24"/>
        </w:rPr>
      </w:pPr>
      <w:bookmarkStart w:id="158" w:name="_Hlk9002868"/>
      <w:r>
        <w:rPr>
          <w:rFonts w:hint="eastAsia"/>
          <w:bCs/>
          <w:kern w:val="0"/>
          <w:sz w:val="24"/>
        </w:rPr>
        <w:t>项目在采取了相应的环保治理措施后，资源、能源可得到了充分的利用，环境资源损失相应减少，污染物排放量大大减少。项目建成后，污染治理设施的运行费用可与取得的环境经济效益基本持平，环保投资可取得预期的效益。环保投资在工程运行成本中所占比例较小，与建设规模和生产成本相比在减轻环境污染的同时还可取得很好的经济效益。实现社会、经济和环境效益的和谐统一，同时也符合经济与环境协调持续发展的原则。</w:t>
      </w:r>
      <w:bookmarkEnd w:id="158"/>
    </w:p>
    <w:p>
      <w:pPr>
        <w:pStyle w:val="2"/>
        <w:spacing w:before="156" w:beforeLines="50" w:after="0" w:line="480" w:lineRule="exact"/>
        <w:rPr>
          <w:rFonts w:ascii="Times New Roman" w:hAnsi="Times New Roman"/>
          <w:bCs w:val="0"/>
          <w:spacing w:val="4"/>
          <w:sz w:val="28"/>
          <w:szCs w:val="28"/>
        </w:rPr>
      </w:pPr>
      <w:bookmarkStart w:id="159" w:name="_Toc19105495"/>
      <w:r>
        <w:rPr>
          <w:rFonts w:hint="eastAsia" w:ascii="Times New Roman" w:hAnsi="Times New Roman"/>
          <w:bCs w:val="0"/>
          <w:spacing w:val="4"/>
          <w:sz w:val="28"/>
          <w:szCs w:val="28"/>
        </w:rPr>
        <w:t>10.7</w:t>
      </w:r>
      <w:r>
        <w:rPr>
          <w:rFonts w:hint="eastAsia" w:ascii="Cambria" w:hAnsi="Cambria" w:eastAsia="宋体" w:cs="Times New Roman"/>
          <w:sz w:val="28"/>
          <w:szCs w:val="28"/>
        </w:rPr>
        <w:t>环境管理与监测计划</w:t>
      </w:r>
      <w:bookmarkEnd w:id="159"/>
    </w:p>
    <w:p>
      <w:pPr>
        <w:spacing w:line="480" w:lineRule="exact"/>
        <w:ind w:firstLine="480" w:firstLineChars="200"/>
        <w:rPr>
          <w:rFonts w:hAnsi="宋体"/>
          <w:bCs/>
          <w:sz w:val="24"/>
          <w:szCs w:val="24"/>
        </w:rPr>
      </w:pPr>
      <w:r>
        <w:rPr>
          <w:rFonts w:hAnsi="宋体"/>
          <w:bCs/>
          <w:sz w:val="24"/>
          <w:szCs w:val="24"/>
        </w:rPr>
        <w:t>本报告</w:t>
      </w:r>
      <w:r>
        <w:rPr>
          <w:rFonts w:hint="eastAsia" w:hAnsi="宋体"/>
          <w:bCs/>
          <w:sz w:val="24"/>
          <w:szCs w:val="24"/>
        </w:rPr>
        <w:t>要求</w:t>
      </w:r>
      <w:r>
        <w:rPr>
          <w:rFonts w:hAnsi="宋体"/>
          <w:bCs/>
          <w:sz w:val="24"/>
          <w:szCs w:val="24"/>
        </w:rPr>
        <w:t>建设单位在</w:t>
      </w:r>
      <w:r>
        <w:rPr>
          <w:rFonts w:hint="eastAsia" w:hAnsi="宋体"/>
          <w:bCs/>
          <w:sz w:val="24"/>
          <w:szCs w:val="24"/>
        </w:rPr>
        <w:t>营运期加强</w:t>
      </w:r>
      <w:r>
        <w:rPr>
          <w:rFonts w:hAnsi="宋体"/>
          <w:bCs/>
          <w:sz w:val="24"/>
          <w:szCs w:val="24"/>
        </w:rPr>
        <w:t>环境管理</w:t>
      </w:r>
      <w:r>
        <w:rPr>
          <w:rFonts w:hint="eastAsia" w:hAnsi="宋体"/>
          <w:bCs/>
          <w:sz w:val="24"/>
          <w:szCs w:val="24"/>
        </w:rPr>
        <w:t>；</w:t>
      </w:r>
      <w:r>
        <w:rPr>
          <w:rFonts w:hAnsi="宋体"/>
          <w:bCs/>
          <w:sz w:val="24"/>
          <w:szCs w:val="24"/>
        </w:rPr>
        <w:t>制定《环保领导责任制》、《环保工作管理制度》等管理制度，并设置专人检查制度的执行情况；将环境管理纳入企业生产管理和经济考核体系；制定环境保护安</w:t>
      </w:r>
      <w:r>
        <w:rPr>
          <w:rFonts w:hint="eastAsia" w:hAnsi="宋体"/>
          <w:bCs/>
          <w:sz w:val="24"/>
          <w:szCs w:val="24"/>
        </w:rPr>
        <w:t>全</w:t>
      </w:r>
      <w:r>
        <w:rPr>
          <w:rFonts w:hAnsi="宋体"/>
          <w:bCs/>
          <w:sz w:val="24"/>
          <w:szCs w:val="24"/>
        </w:rPr>
        <w:t>生产制度和防止污染事故应急措施。</w:t>
      </w:r>
    </w:p>
    <w:p>
      <w:pPr>
        <w:spacing w:line="480" w:lineRule="exact"/>
        <w:ind w:firstLine="480" w:firstLineChars="200"/>
        <w:rPr>
          <w:rFonts w:hAnsi="宋体"/>
          <w:bCs/>
          <w:sz w:val="24"/>
          <w:szCs w:val="24"/>
        </w:rPr>
      </w:pPr>
      <w:r>
        <w:rPr>
          <w:rFonts w:hint="eastAsia" w:hAnsi="宋体"/>
          <w:bCs/>
          <w:sz w:val="24"/>
          <w:szCs w:val="24"/>
        </w:rPr>
        <w:t>同时排污单位应根据自身条件和能力，利用自有人员、场所和设备自行监测；也可委托其它有资质的检（监）测机构代其开展自行监测，并制定监测方案。监测方案内容包括：单位基本情况、监测点位及示意图、监测指标、执行标准及其限值、监测频次、采样和样品保存方法、监测分析方法和仪器、质量保证与质量控制等。</w:t>
      </w:r>
    </w:p>
    <w:p>
      <w:pPr>
        <w:pStyle w:val="2"/>
        <w:spacing w:before="156" w:beforeLines="50" w:after="0" w:line="480" w:lineRule="exact"/>
        <w:rPr>
          <w:rFonts w:ascii="Times New Roman" w:hAnsi="Times New Roman"/>
          <w:bCs w:val="0"/>
          <w:spacing w:val="4"/>
          <w:sz w:val="28"/>
          <w:szCs w:val="28"/>
        </w:rPr>
      </w:pPr>
      <w:bookmarkStart w:id="160" w:name="_Toc19105496"/>
      <w:bookmarkStart w:id="161" w:name="_Hlk8918648"/>
      <w:r>
        <w:rPr>
          <w:rFonts w:hint="eastAsia" w:ascii="Times New Roman" w:hAnsi="Times New Roman"/>
          <w:bCs w:val="0"/>
          <w:spacing w:val="4"/>
          <w:sz w:val="28"/>
          <w:szCs w:val="28"/>
        </w:rPr>
        <w:t>10.</w:t>
      </w:r>
      <w:r>
        <w:rPr>
          <w:rFonts w:ascii="Times New Roman" w:hAnsi="Times New Roman"/>
          <w:bCs w:val="0"/>
          <w:spacing w:val="4"/>
          <w:sz w:val="28"/>
          <w:szCs w:val="28"/>
        </w:rPr>
        <w:t>8</w:t>
      </w:r>
      <w:r>
        <w:rPr>
          <w:rFonts w:hint="eastAsia" w:ascii="Times New Roman" w:hAnsi="Times New Roman"/>
          <w:bCs w:val="0"/>
          <w:spacing w:val="4"/>
          <w:sz w:val="28"/>
          <w:szCs w:val="28"/>
        </w:rPr>
        <w:t>公众参与</w:t>
      </w:r>
      <w:bookmarkEnd w:id="160"/>
    </w:p>
    <w:p>
      <w:pPr>
        <w:spacing w:line="480" w:lineRule="exact"/>
        <w:ind w:firstLine="480" w:firstLineChars="200"/>
        <w:rPr>
          <w:rFonts w:hAnsi="宋体"/>
          <w:bCs/>
          <w:sz w:val="24"/>
          <w:szCs w:val="24"/>
        </w:rPr>
      </w:pPr>
      <w:r>
        <w:rPr>
          <w:sz w:val="24"/>
        </w:rPr>
        <w:t>本次评价使用了</w:t>
      </w:r>
      <w:r>
        <w:rPr>
          <w:rFonts w:hint="eastAsia"/>
          <w:sz w:val="24"/>
        </w:rPr>
        <w:t>网络公示</w:t>
      </w:r>
      <w:r>
        <w:rPr>
          <w:sz w:val="24"/>
        </w:rPr>
        <w:t>、</w:t>
      </w:r>
      <w:r>
        <w:rPr>
          <w:rFonts w:hint="eastAsia"/>
          <w:sz w:val="24"/>
        </w:rPr>
        <w:t>报纸公开及</w:t>
      </w:r>
      <w:r>
        <w:rPr>
          <w:sz w:val="24"/>
        </w:rPr>
        <w:t>张贴通告的方式进行，</w:t>
      </w:r>
      <w:r>
        <w:rPr>
          <w:rFonts w:hint="eastAsia"/>
          <w:sz w:val="24"/>
        </w:rPr>
        <w:t>无群众对本项目提出质疑。</w:t>
      </w:r>
    </w:p>
    <w:bookmarkEnd w:id="161"/>
    <w:p>
      <w:pPr>
        <w:pStyle w:val="2"/>
        <w:spacing w:before="156" w:beforeLines="50" w:after="0" w:line="480" w:lineRule="exact"/>
        <w:rPr>
          <w:rFonts w:ascii="Times New Roman" w:hAnsi="Times New Roman"/>
          <w:bCs w:val="0"/>
          <w:spacing w:val="4"/>
          <w:sz w:val="28"/>
          <w:szCs w:val="28"/>
        </w:rPr>
      </w:pPr>
      <w:bookmarkStart w:id="162" w:name="_Toc19105497"/>
      <w:r>
        <w:rPr>
          <w:rFonts w:ascii="Times New Roman" w:hAnsi="Times New Roman"/>
          <w:bCs w:val="0"/>
          <w:spacing w:val="4"/>
          <w:sz w:val="28"/>
          <w:szCs w:val="28"/>
        </w:rPr>
        <w:t>10.9</w:t>
      </w:r>
      <w:r>
        <w:rPr>
          <w:rFonts w:hint="eastAsia"/>
          <w:sz w:val="28"/>
          <w:szCs w:val="28"/>
        </w:rPr>
        <w:t>项目环境影响评价结论</w:t>
      </w:r>
      <w:bookmarkEnd w:id="162"/>
    </w:p>
    <w:p>
      <w:pPr>
        <w:spacing w:line="480" w:lineRule="exact"/>
        <w:ind w:firstLine="480" w:firstLineChars="200"/>
        <w:rPr>
          <w:bCs/>
          <w:sz w:val="24"/>
          <w:szCs w:val="24"/>
        </w:rPr>
      </w:pPr>
      <w:r>
        <w:rPr>
          <w:rFonts w:hint="eastAsia"/>
          <w:bCs/>
          <w:sz w:val="24"/>
          <w:szCs w:val="24"/>
        </w:rPr>
        <w:t>通过调查、分析和综合评价后认为：</w:t>
      </w:r>
      <w:r>
        <w:rPr>
          <w:rFonts w:hint="eastAsia" w:hAnsi="宋体"/>
          <w:bCs/>
          <w:sz w:val="24"/>
          <w:szCs w:val="24"/>
        </w:rPr>
        <w:t>本项目符合国家产业政策要求，项目采取了源头污染控制的工程措施切实可行，可实现污水零排放、粪污得到资源化综合利用的环境保护技术要求，在认真落实报告书所述各项污染防治措施后，可实现污染物稳定达标排放，通过加强环境管理和环境监测，杜绝风险事故发生，本项目建设可被周围环境所接受。</w:t>
      </w:r>
      <w:r>
        <w:rPr>
          <w:rFonts w:hint="eastAsia"/>
          <w:bCs/>
          <w:sz w:val="24"/>
          <w:szCs w:val="24"/>
        </w:rPr>
        <w:t>综上所述，在落实本报告书中的各项环保措施以及各级环保主管部门管理要求后，从环保角度分析，拟建项目的建设具有环境可行性。</w:t>
      </w:r>
    </w:p>
    <w:p>
      <w:pPr>
        <w:spacing w:line="480" w:lineRule="exact"/>
        <w:ind w:firstLine="480" w:firstLineChars="200"/>
        <w:rPr>
          <w:bCs/>
          <w:sz w:val="24"/>
          <w:szCs w:val="24"/>
        </w:rPr>
      </w:pPr>
    </w:p>
    <w:p>
      <w:pPr>
        <w:spacing w:line="480" w:lineRule="exact"/>
        <w:ind w:firstLine="480" w:firstLineChars="200"/>
        <w:rPr>
          <w:bCs/>
          <w:sz w:val="24"/>
          <w:szCs w:val="24"/>
        </w:rPr>
      </w:pPr>
    </w:p>
    <w:p>
      <w:pPr>
        <w:spacing w:line="480" w:lineRule="exact"/>
        <w:ind w:firstLine="480" w:firstLineChars="200"/>
        <w:rPr>
          <w:bCs/>
          <w:sz w:val="24"/>
          <w:szCs w:val="24"/>
        </w:rPr>
      </w:pPr>
    </w:p>
    <w:sectPr>
      <w:headerReference r:id="rId15" w:type="default"/>
      <w:pgSz w:w="11906" w:h="16838"/>
      <w:pgMar w:top="1418" w:right="1531" w:bottom="1418" w:left="1531"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swiss"/>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serif">
    <w:altName w:val="Calibri"/>
    <w:panose1 w:val="00000000000000000000"/>
    <w:charset w:val="00"/>
    <w:family w:val="auto"/>
    <w:pitch w:val="default"/>
    <w:sig w:usb0="00000000" w:usb1="00000000" w:usb2="00000000" w:usb3="00000000" w:csb0="00000000" w:csb1="00000000"/>
  </w:font>
  <w:font w:name="仿宋_GB2312">
    <w:panose1 w:val="02010609030101010101"/>
    <w:charset w:val="86"/>
    <w:family w:val="swiss"/>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4002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5142"/>
      <w:docPartObj>
        <w:docPartGallery w:val="autotext"/>
      </w:docPartObj>
    </w:sdtPr>
    <w:sdtContent>
      <w:p>
        <w:pPr>
          <w:pStyle w:val="17"/>
          <w:pBdr>
            <w:top w:val="single" w:color="auto" w:sz="4" w:space="1"/>
          </w:pBdr>
          <w:jc w:val="center"/>
        </w:pPr>
        <w:r>
          <w:rPr>
            <w:lang w:val="zh-CN"/>
          </w:rPr>
          <w:fldChar w:fldCharType="begin"/>
        </w:r>
        <w:r>
          <w:rPr>
            <w:lang w:val="zh-CN"/>
          </w:rPr>
          <w:instrText xml:space="preserve"> PAGE   \* MERGEFORMAT </w:instrText>
        </w:r>
        <w:r>
          <w:rPr>
            <w:lang w:val="zh-CN"/>
          </w:rPr>
          <w:fldChar w:fldCharType="separate"/>
        </w:r>
        <w:r>
          <w:rPr>
            <w:lang w:val="zh-CN"/>
          </w:rPr>
          <w:t>IV</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5146"/>
      <w:docPartObj>
        <w:docPartGallery w:val="autotext"/>
      </w:docPartObj>
    </w:sdtPr>
    <w:sdtContent>
      <w:p>
        <w:pPr>
          <w:pStyle w:val="17"/>
          <w:pBdr>
            <w:top w:val="single" w:color="auto" w:sz="4" w:space="1"/>
          </w:pBdr>
          <w:jc w:val="center"/>
        </w:pPr>
        <w:r>
          <w:rPr>
            <w:lang w:val="zh-CN"/>
          </w:rPr>
          <w:fldChar w:fldCharType="begin"/>
        </w:r>
        <w:r>
          <w:rPr>
            <w:lang w:val="zh-CN"/>
          </w:rPr>
          <w:instrText xml:space="preserve"> PAGE   \* MERGEFORMAT </w:instrText>
        </w:r>
        <w:r>
          <w:rPr>
            <w:lang w:val="zh-CN"/>
          </w:rPr>
          <w:fldChar w:fldCharType="separate"/>
        </w:r>
        <w:r>
          <w:rPr>
            <w:lang w:val="zh-CN"/>
          </w:rPr>
          <w:t>165</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目 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 xml:space="preserve">9 </w:t>
    </w:r>
    <w:r>
      <w:rPr>
        <w:rFonts w:hAnsi="黑体" w:eastAsia="黑体"/>
        <w:bCs/>
        <w:sz w:val="21"/>
        <w:szCs w:val="44"/>
      </w:rPr>
      <w:t>环境</w:t>
    </w:r>
    <w:r>
      <w:rPr>
        <w:rFonts w:hint="eastAsia" w:hAnsi="黑体" w:eastAsia="黑体"/>
        <w:bCs/>
        <w:sz w:val="21"/>
        <w:szCs w:val="44"/>
      </w:rPr>
      <w:t>管理和监测计划</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 xml:space="preserve">10 </w:t>
    </w:r>
    <w:r>
      <w:rPr>
        <w:rFonts w:hint="eastAsia" w:hAnsi="黑体" w:eastAsia="黑体"/>
        <w:bCs/>
        <w:sz w:val="21"/>
        <w:szCs w:val="44"/>
      </w:rPr>
      <w:t>结论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1 概 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2 总则</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3工程分析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 xml:space="preserve">4 </w:t>
    </w:r>
    <w:r>
      <w:rPr>
        <w:rFonts w:hAnsi="黑体" w:eastAsia="黑体"/>
        <w:bCs/>
        <w:sz w:val="21"/>
        <w:szCs w:val="44"/>
      </w:rPr>
      <w:t>环境</w:t>
    </w:r>
    <w:r>
      <w:rPr>
        <w:rFonts w:hint="eastAsia" w:hAnsi="黑体" w:eastAsia="黑体"/>
        <w:bCs/>
        <w:sz w:val="21"/>
        <w:szCs w:val="44"/>
      </w:rPr>
      <w:t>现状调查与评价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 xml:space="preserve">5 </w:t>
    </w:r>
    <w:r>
      <w:rPr>
        <w:rFonts w:hAnsi="黑体" w:eastAsia="黑体"/>
        <w:bCs/>
        <w:sz w:val="21"/>
        <w:szCs w:val="44"/>
      </w:rPr>
      <w:t>环境</w:t>
    </w:r>
    <w:r>
      <w:rPr>
        <w:rFonts w:hint="eastAsia" w:hAnsi="黑体" w:eastAsia="黑体"/>
        <w:bCs/>
        <w:sz w:val="21"/>
        <w:szCs w:val="44"/>
      </w:rPr>
      <w:t>影响预测与评价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 xml:space="preserve">6 </w:t>
    </w:r>
    <w:r>
      <w:rPr>
        <w:rFonts w:hAnsi="黑体" w:eastAsia="黑体"/>
        <w:bCs/>
        <w:sz w:val="21"/>
        <w:szCs w:val="44"/>
      </w:rPr>
      <w:t>环境</w:t>
    </w:r>
    <w:r>
      <w:rPr>
        <w:rFonts w:hint="eastAsia" w:hAnsi="黑体" w:eastAsia="黑体"/>
        <w:bCs/>
        <w:sz w:val="21"/>
        <w:szCs w:val="44"/>
      </w:rPr>
      <w:t>风险评价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 xml:space="preserve">7 </w:t>
    </w:r>
    <w:r>
      <w:rPr>
        <w:rFonts w:hint="eastAsia" w:hAnsi="黑体" w:eastAsia="黑体"/>
        <w:bCs/>
        <w:sz w:val="21"/>
        <w:szCs w:val="44"/>
      </w:rPr>
      <w:t>环境保护措施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黑体" w:hAnsi="黑体" w:eastAsia="黑体"/>
        <w:sz w:val="21"/>
      </w:rPr>
    </w:pPr>
    <w:r>
      <w:rPr>
        <w:rFonts w:hint="eastAsia" w:ascii="黑体" w:hAnsi="黑体" w:eastAsia="黑体"/>
        <w:sz w:val="21"/>
      </w:rPr>
      <w:t xml:space="preserve">8 </w:t>
    </w:r>
    <w:r>
      <w:rPr>
        <w:rFonts w:hAnsi="黑体" w:eastAsia="黑体"/>
        <w:bCs/>
        <w:sz w:val="21"/>
        <w:szCs w:val="44"/>
      </w:rPr>
      <w:t>环境</w:t>
    </w:r>
    <w:r>
      <w:rPr>
        <w:rFonts w:hint="eastAsia" w:hAnsi="黑体" w:eastAsia="黑体"/>
        <w:bCs/>
        <w:sz w:val="21"/>
        <w:szCs w:val="44"/>
      </w:rPr>
      <w:t>影响经济损益分析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D609BE"/>
    <w:multiLevelType w:val="multilevel"/>
    <w:tmpl w:val="1BD609BE"/>
    <w:lvl w:ilvl="0" w:tentative="0">
      <w:start w:val="1"/>
      <w:numFmt w:val="decimal"/>
      <w:lvlText w:val="（%1）"/>
      <w:lvlJc w:val="left"/>
      <w:pPr>
        <w:ind w:left="0" w:firstLine="400"/>
      </w:pPr>
      <w:rPr>
        <w:rFonts w:hint="eastAsia"/>
      </w:rPr>
    </w:lvl>
    <w:lvl w:ilvl="1" w:tentative="0">
      <w:start w:val="1"/>
      <w:numFmt w:val="lowerLetter"/>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28504DDF"/>
    <w:multiLevelType w:val="multilevel"/>
    <w:tmpl w:val="28504DDF"/>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3BA497A"/>
    <w:multiLevelType w:val="multilevel"/>
    <w:tmpl w:val="53BA497A"/>
    <w:lvl w:ilvl="0" w:tentative="0">
      <w:start w:val="1"/>
      <w:numFmt w:val="decimal"/>
      <w:lvlText w:val="（%1）"/>
      <w:lvlJc w:val="left"/>
      <w:pPr>
        <w:ind w:left="0" w:firstLine="400"/>
      </w:pPr>
      <w:rPr>
        <w:rFonts w:hint="eastAsia"/>
      </w:rPr>
    </w:lvl>
    <w:lvl w:ilvl="1" w:tentative="0">
      <w:start w:val="1"/>
      <w:numFmt w:val="lowerLetter"/>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yZjI2NTI4NmI4OTRkZWI0NmFmNjc1NTQxODRmYjkifQ=="/>
  </w:docVars>
  <w:rsids>
    <w:rsidRoot w:val="00BF60C6"/>
    <w:rsid w:val="000008BE"/>
    <w:rsid w:val="000009E6"/>
    <w:rsid w:val="0000126E"/>
    <w:rsid w:val="00001637"/>
    <w:rsid w:val="00001FD0"/>
    <w:rsid w:val="00002C61"/>
    <w:rsid w:val="000038E5"/>
    <w:rsid w:val="00004EE6"/>
    <w:rsid w:val="00005122"/>
    <w:rsid w:val="00005250"/>
    <w:rsid w:val="00005326"/>
    <w:rsid w:val="000060DD"/>
    <w:rsid w:val="000106B9"/>
    <w:rsid w:val="00010C92"/>
    <w:rsid w:val="0001269F"/>
    <w:rsid w:val="00013DE2"/>
    <w:rsid w:val="00014522"/>
    <w:rsid w:val="00014F15"/>
    <w:rsid w:val="00015E5E"/>
    <w:rsid w:val="0001660E"/>
    <w:rsid w:val="0001743B"/>
    <w:rsid w:val="000177B4"/>
    <w:rsid w:val="000179DB"/>
    <w:rsid w:val="00017FFC"/>
    <w:rsid w:val="00020E7D"/>
    <w:rsid w:val="00022520"/>
    <w:rsid w:val="0002426E"/>
    <w:rsid w:val="00024537"/>
    <w:rsid w:val="00024E75"/>
    <w:rsid w:val="000253B4"/>
    <w:rsid w:val="0002569A"/>
    <w:rsid w:val="00025EBE"/>
    <w:rsid w:val="00027A87"/>
    <w:rsid w:val="00027D81"/>
    <w:rsid w:val="00027E4C"/>
    <w:rsid w:val="00027FB9"/>
    <w:rsid w:val="00030142"/>
    <w:rsid w:val="00031701"/>
    <w:rsid w:val="000321B7"/>
    <w:rsid w:val="00033A25"/>
    <w:rsid w:val="00033C2F"/>
    <w:rsid w:val="00033E6D"/>
    <w:rsid w:val="00035946"/>
    <w:rsid w:val="00036B2C"/>
    <w:rsid w:val="000376A5"/>
    <w:rsid w:val="0004004F"/>
    <w:rsid w:val="000407B8"/>
    <w:rsid w:val="00040F67"/>
    <w:rsid w:val="00041578"/>
    <w:rsid w:val="00042123"/>
    <w:rsid w:val="00042C16"/>
    <w:rsid w:val="00042FD8"/>
    <w:rsid w:val="000435A0"/>
    <w:rsid w:val="00043F11"/>
    <w:rsid w:val="000451F1"/>
    <w:rsid w:val="000455D2"/>
    <w:rsid w:val="0004595A"/>
    <w:rsid w:val="00046B7D"/>
    <w:rsid w:val="00046E8D"/>
    <w:rsid w:val="00050D5B"/>
    <w:rsid w:val="00050FC9"/>
    <w:rsid w:val="00050FDD"/>
    <w:rsid w:val="000528D3"/>
    <w:rsid w:val="00053621"/>
    <w:rsid w:val="000540C1"/>
    <w:rsid w:val="000544A1"/>
    <w:rsid w:val="00054672"/>
    <w:rsid w:val="00056491"/>
    <w:rsid w:val="00057672"/>
    <w:rsid w:val="00057BBA"/>
    <w:rsid w:val="0006016A"/>
    <w:rsid w:val="0006113E"/>
    <w:rsid w:val="0006121B"/>
    <w:rsid w:val="000613F8"/>
    <w:rsid w:val="000619D3"/>
    <w:rsid w:val="00062491"/>
    <w:rsid w:val="00062816"/>
    <w:rsid w:val="00064FF5"/>
    <w:rsid w:val="00067C95"/>
    <w:rsid w:val="000708AA"/>
    <w:rsid w:val="00070D83"/>
    <w:rsid w:val="000719E7"/>
    <w:rsid w:val="00073622"/>
    <w:rsid w:val="00073DD4"/>
    <w:rsid w:val="000758FF"/>
    <w:rsid w:val="00076596"/>
    <w:rsid w:val="000766A8"/>
    <w:rsid w:val="000766DB"/>
    <w:rsid w:val="00076D97"/>
    <w:rsid w:val="00077CFA"/>
    <w:rsid w:val="00080323"/>
    <w:rsid w:val="000812D9"/>
    <w:rsid w:val="000813FB"/>
    <w:rsid w:val="00081AD6"/>
    <w:rsid w:val="00083D5A"/>
    <w:rsid w:val="000847DF"/>
    <w:rsid w:val="00086A04"/>
    <w:rsid w:val="000874A9"/>
    <w:rsid w:val="000878CE"/>
    <w:rsid w:val="00087C12"/>
    <w:rsid w:val="0009065A"/>
    <w:rsid w:val="00090C5F"/>
    <w:rsid w:val="0009140A"/>
    <w:rsid w:val="0009245D"/>
    <w:rsid w:val="0009293C"/>
    <w:rsid w:val="00093684"/>
    <w:rsid w:val="00093747"/>
    <w:rsid w:val="00094BEC"/>
    <w:rsid w:val="00094E61"/>
    <w:rsid w:val="000956A4"/>
    <w:rsid w:val="00095A98"/>
    <w:rsid w:val="00095D6C"/>
    <w:rsid w:val="00097C45"/>
    <w:rsid w:val="000A0616"/>
    <w:rsid w:val="000A074E"/>
    <w:rsid w:val="000A1ABC"/>
    <w:rsid w:val="000A3746"/>
    <w:rsid w:val="000A45FC"/>
    <w:rsid w:val="000A4EF6"/>
    <w:rsid w:val="000A539A"/>
    <w:rsid w:val="000A767A"/>
    <w:rsid w:val="000B06D4"/>
    <w:rsid w:val="000B0D04"/>
    <w:rsid w:val="000B11C8"/>
    <w:rsid w:val="000B1661"/>
    <w:rsid w:val="000B1B5E"/>
    <w:rsid w:val="000B2660"/>
    <w:rsid w:val="000B2C4D"/>
    <w:rsid w:val="000B30FB"/>
    <w:rsid w:val="000B36A0"/>
    <w:rsid w:val="000B3E83"/>
    <w:rsid w:val="000B4753"/>
    <w:rsid w:val="000B479D"/>
    <w:rsid w:val="000B50AD"/>
    <w:rsid w:val="000B5970"/>
    <w:rsid w:val="000B730E"/>
    <w:rsid w:val="000B768B"/>
    <w:rsid w:val="000B7B01"/>
    <w:rsid w:val="000C06CD"/>
    <w:rsid w:val="000C1F7A"/>
    <w:rsid w:val="000C31A9"/>
    <w:rsid w:val="000C4400"/>
    <w:rsid w:val="000C5431"/>
    <w:rsid w:val="000D01BB"/>
    <w:rsid w:val="000D077B"/>
    <w:rsid w:val="000D1287"/>
    <w:rsid w:val="000D181C"/>
    <w:rsid w:val="000D1D9A"/>
    <w:rsid w:val="000D36B3"/>
    <w:rsid w:val="000D39E1"/>
    <w:rsid w:val="000D4600"/>
    <w:rsid w:val="000D4B41"/>
    <w:rsid w:val="000D559D"/>
    <w:rsid w:val="000D61FF"/>
    <w:rsid w:val="000D6FF3"/>
    <w:rsid w:val="000D719D"/>
    <w:rsid w:val="000D7E38"/>
    <w:rsid w:val="000E0019"/>
    <w:rsid w:val="000E0032"/>
    <w:rsid w:val="000E037A"/>
    <w:rsid w:val="000E05B4"/>
    <w:rsid w:val="000E0786"/>
    <w:rsid w:val="000E172D"/>
    <w:rsid w:val="000E2747"/>
    <w:rsid w:val="000E2A0D"/>
    <w:rsid w:val="000E3515"/>
    <w:rsid w:val="000E36AA"/>
    <w:rsid w:val="000E3B3F"/>
    <w:rsid w:val="000E4FEF"/>
    <w:rsid w:val="000E591F"/>
    <w:rsid w:val="000E5FC4"/>
    <w:rsid w:val="000E6C21"/>
    <w:rsid w:val="000E7618"/>
    <w:rsid w:val="000F0C75"/>
    <w:rsid w:val="000F1601"/>
    <w:rsid w:val="000F1662"/>
    <w:rsid w:val="000F27D3"/>
    <w:rsid w:val="000F35C4"/>
    <w:rsid w:val="000F3EFD"/>
    <w:rsid w:val="000F42D3"/>
    <w:rsid w:val="000F455B"/>
    <w:rsid w:val="000F55F5"/>
    <w:rsid w:val="000F6101"/>
    <w:rsid w:val="000F6C6C"/>
    <w:rsid w:val="00100A67"/>
    <w:rsid w:val="00100B83"/>
    <w:rsid w:val="001011FB"/>
    <w:rsid w:val="00102602"/>
    <w:rsid w:val="00103019"/>
    <w:rsid w:val="0010337F"/>
    <w:rsid w:val="0010378E"/>
    <w:rsid w:val="001044BA"/>
    <w:rsid w:val="00104519"/>
    <w:rsid w:val="0010482B"/>
    <w:rsid w:val="00105307"/>
    <w:rsid w:val="001056D1"/>
    <w:rsid w:val="00105DE0"/>
    <w:rsid w:val="00106011"/>
    <w:rsid w:val="0010784E"/>
    <w:rsid w:val="001078E1"/>
    <w:rsid w:val="00107D23"/>
    <w:rsid w:val="001104E3"/>
    <w:rsid w:val="001105F0"/>
    <w:rsid w:val="0011109F"/>
    <w:rsid w:val="00111FA2"/>
    <w:rsid w:val="001135A9"/>
    <w:rsid w:val="00115E6E"/>
    <w:rsid w:val="0011602D"/>
    <w:rsid w:val="00116A51"/>
    <w:rsid w:val="00117219"/>
    <w:rsid w:val="001177EF"/>
    <w:rsid w:val="00120557"/>
    <w:rsid w:val="0012059B"/>
    <w:rsid w:val="00120F26"/>
    <w:rsid w:val="00121386"/>
    <w:rsid w:val="00121546"/>
    <w:rsid w:val="00122731"/>
    <w:rsid w:val="00122A77"/>
    <w:rsid w:val="00122FEB"/>
    <w:rsid w:val="00123251"/>
    <w:rsid w:val="00123700"/>
    <w:rsid w:val="00123B5E"/>
    <w:rsid w:val="001246E3"/>
    <w:rsid w:val="00124805"/>
    <w:rsid w:val="001259B5"/>
    <w:rsid w:val="00125C6C"/>
    <w:rsid w:val="00125F97"/>
    <w:rsid w:val="00127667"/>
    <w:rsid w:val="00127780"/>
    <w:rsid w:val="00127C2A"/>
    <w:rsid w:val="00127FEC"/>
    <w:rsid w:val="0013191B"/>
    <w:rsid w:val="001319B9"/>
    <w:rsid w:val="00132B54"/>
    <w:rsid w:val="0013404C"/>
    <w:rsid w:val="00134D45"/>
    <w:rsid w:val="00134FE1"/>
    <w:rsid w:val="0013624F"/>
    <w:rsid w:val="0013798C"/>
    <w:rsid w:val="00137DBE"/>
    <w:rsid w:val="0014009B"/>
    <w:rsid w:val="001420D7"/>
    <w:rsid w:val="001428C6"/>
    <w:rsid w:val="001434C6"/>
    <w:rsid w:val="00143E0A"/>
    <w:rsid w:val="00143FE9"/>
    <w:rsid w:val="001456EE"/>
    <w:rsid w:val="00146F15"/>
    <w:rsid w:val="001474B9"/>
    <w:rsid w:val="00147994"/>
    <w:rsid w:val="00151E9B"/>
    <w:rsid w:val="00152E74"/>
    <w:rsid w:val="00153639"/>
    <w:rsid w:val="00153E6B"/>
    <w:rsid w:val="0015459F"/>
    <w:rsid w:val="00154F83"/>
    <w:rsid w:val="001554F3"/>
    <w:rsid w:val="00155A08"/>
    <w:rsid w:val="00155D14"/>
    <w:rsid w:val="0015777B"/>
    <w:rsid w:val="0015790A"/>
    <w:rsid w:val="001606E2"/>
    <w:rsid w:val="001617DC"/>
    <w:rsid w:val="00161C0F"/>
    <w:rsid w:val="0016267F"/>
    <w:rsid w:val="0016323A"/>
    <w:rsid w:val="00163884"/>
    <w:rsid w:val="00164568"/>
    <w:rsid w:val="00165022"/>
    <w:rsid w:val="00165F72"/>
    <w:rsid w:val="0016641E"/>
    <w:rsid w:val="00170500"/>
    <w:rsid w:val="001708A6"/>
    <w:rsid w:val="00170ABA"/>
    <w:rsid w:val="001714B6"/>
    <w:rsid w:val="0017309D"/>
    <w:rsid w:val="001742B3"/>
    <w:rsid w:val="0017523A"/>
    <w:rsid w:val="00176537"/>
    <w:rsid w:val="00182A26"/>
    <w:rsid w:val="00183230"/>
    <w:rsid w:val="00183440"/>
    <w:rsid w:val="00184EBD"/>
    <w:rsid w:val="00185CC5"/>
    <w:rsid w:val="00186ED6"/>
    <w:rsid w:val="00187100"/>
    <w:rsid w:val="00187A75"/>
    <w:rsid w:val="001902C9"/>
    <w:rsid w:val="00190CAA"/>
    <w:rsid w:val="00192931"/>
    <w:rsid w:val="00195EB8"/>
    <w:rsid w:val="00196B3C"/>
    <w:rsid w:val="00196BEB"/>
    <w:rsid w:val="00197056"/>
    <w:rsid w:val="001972D5"/>
    <w:rsid w:val="00197484"/>
    <w:rsid w:val="001978D7"/>
    <w:rsid w:val="001A0F6C"/>
    <w:rsid w:val="001A13A2"/>
    <w:rsid w:val="001A2192"/>
    <w:rsid w:val="001A3436"/>
    <w:rsid w:val="001A3706"/>
    <w:rsid w:val="001A407E"/>
    <w:rsid w:val="001A4486"/>
    <w:rsid w:val="001A5554"/>
    <w:rsid w:val="001A59E6"/>
    <w:rsid w:val="001A648B"/>
    <w:rsid w:val="001A71BB"/>
    <w:rsid w:val="001B15EA"/>
    <w:rsid w:val="001B1723"/>
    <w:rsid w:val="001B21F1"/>
    <w:rsid w:val="001B28B5"/>
    <w:rsid w:val="001B300C"/>
    <w:rsid w:val="001B32B3"/>
    <w:rsid w:val="001B3C50"/>
    <w:rsid w:val="001B4058"/>
    <w:rsid w:val="001B40F6"/>
    <w:rsid w:val="001B5060"/>
    <w:rsid w:val="001B556B"/>
    <w:rsid w:val="001B567F"/>
    <w:rsid w:val="001B5909"/>
    <w:rsid w:val="001B5A95"/>
    <w:rsid w:val="001B5D22"/>
    <w:rsid w:val="001B6038"/>
    <w:rsid w:val="001B62D6"/>
    <w:rsid w:val="001B64CC"/>
    <w:rsid w:val="001B64F9"/>
    <w:rsid w:val="001C0DDF"/>
    <w:rsid w:val="001C127B"/>
    <w:rsid w:val="001C2E10"/>
    <w:rsid w:val="001C345D"/>
    <w:rsid w:val="001C4B1B"/>
    <w:rsid w:val="001C5D00"/>
    <w:rsid w:val="001C5D0D"/>
    <w:rsid w:val="001C5E02"/>
    <w:rsid w:val="001C5E5B"/>
    <w:rsid w:val="001C5EE1"/>
    <w:rsid w:val="001C64B3"/>
    <w:rsid w:val="001C6B72"/>
    <w:rsid w:val="001C6D25"/>
    <w:rsid w:val="001D0FA1"/>
    <w:rsid w:val="001D12CC"/>
    <w:rsid w:val="001D1817"/>
    <w:rsid w:val="001D1CAF"/>
    <w:rsid w:val="001D353D"/>
    <w:rsid w:val="001D3B2A"/>
    <w:rsid w:val="001D449C"/>
    <w:rsid w:val="001D4CA7"/>
    <w:rsid w:val="001D50E3"/>
    <w:rsid w:val="001D55C8"/>
    <w:rsid w:val="001D5A2D"/>
    <w:rsid w:val="001D6136"/>
    <w:rsid w:val="001D64B8"/>
    <w:rsid w:val="001D676A"/>
    <w:rsid w:val="001E11C7"/>
    <w:rsid w:val="001E24C6"/>
    <w:rsid w:val="001E2781"/>
    <w:rsid w:val="001E2996"/>
    <w:rsid w:val="001E3D3C"/>
    <w:rsid w:val="001E49ED"/>
    <w:rsid w:val="001E51B0"/>
    <w:rsid w:val="001E53DF"/>
    <w:rsid w:val="001E587E"/>
    <w:rsid w:val="001E5900"/>
    <w:rsid w:val="001E5B86"/>
    <w:rsid w:val="001E6D5D"/>
    <w:rsid w:val="001E6F6B"/>
    <w:rsid w:val="001E7154"/>
    <w:rsid w:val="001F1F08"/>
    <w:rsid w:val="001F2799"/>
    <w:rsid w:val="001F6277"/>
    <w:rsid w:val="001F67E2"/>
    <w:rsid w:val="001F69A5"/>
    <w:rsid w:val="001F6AD1"/>
    <w:rsid w:val="001F6C83"/>
    <w:rsid w:val="001F747F"/>
    <w:rsid w:val="001F7EF4"/>
    <w:rsid w:val="002006EA"/>
    <w:rsid w:val="00200896"/>
    <w:rsid w:val="00202AEC"/>
    <w:rsid w:val="0020341B"/>
    <w:rsid w:val="002041D3"/>
    <w:rsid w:val="00204A89"/>
    <w:rsid w:val="00204D17"/>
    <w:rsid w:val="00204E6A"/>
    <w:rsid w:val="00206B87"/>
    <w:rsid w:val="00210026"/>
    <w:rsid w:val="00210174"/>
    <w:rsid w:val="002109A3"/>
    <w:rsid w:val="00211D49"/>
    <w:rsid w:val="00212D05"/>
    <w:rsid w:val="0021303B"/>
    <w:rsid w:val="0021441A"/>
    <w:rsid w:val="00214687"/>
    <w:rsid w:val="00215E8F"/>
    <w:rsid w:val="00216064"/>
    <w:rsid w:val="00216391"/>
    <w:rsid w:val="00217508"/>
    <w:rsid w:val="0021786C"/>
    <w:rsid w:val="0021790F"/>
    <w:rsid w:val="00217D2B"/>
    <w:rsid w:val="0022027B"/>
    <w:rsid w:val="00220CF4"/>
    <w:rsid w:val="00221C2F"/>
    <w:rsid w:val="002243AA"/>
    <w:rsid w:val="00224BB0"/>
    <w:rsid w:val="00226077"/>
    <w:rsid w:val="0022611E"/>
    <w:rsid w:val="00226F02"/>
    <w:rsid w:val="002311B7"/>
    <w:rsid w:val="002325D0"/>
    <w:rsid w:val="00233EF0"/>
    <w:rsid w:val="0023416C"/>
    <w:rsid w:val="002347B6"/>
    <w:rsid w:val="00234F5E"/>
    <w:rsid w:val="00235CB9"/>
    <w:rsid w:val="0023672B"/>
    <w:rsid w:val="00236CDE"/>
    <w:rsid w:val="002373D6"/>
    <w:rsid w:val="00237ADC"/>
    <w:rsid w:val="00237CD3"/>
    <w:rsid w:val="002400E5"/>
    <w:rsid w:val="0024051E"/>
    <w:rsid w:val="002407EF"/>
    <w:rsid w:val="00241023"/>
    <w:rsid w:val="0024177B"/>
    <w:rsid w:val="00241F1F"/>
    <w:rsid w:val="002420B8"/>
    <w:rsid w:val="00242D18"/>
    <w:rsid w:val="002433D0"/>
    <w:rsid w:val="00244011"/>
    <w:rsid w:val="002449D7"/>
    <w:rsid w:val="00244C92"/>
    <w:rsid w:val="00247038"/>
    <w:rsid w:val="002470FF"/>
    <w:rsid w:val="0024747B"/>
    <w:rsid w:val="00250005"/>
    <w:rsid w:val="00251339"/>
    <w:rsid w:val="00252CF4"/>
    <w:rsid w:val="002536DA"/>
    <w:rsid w:val="00253BD8"/>
    <w:rsid w:val="00254F59"/>
    <w:rsid w:val="002563FB"/>
    <w:rsid w:val="0025650A"/>
    <w:rsid w:val="0025711C"/>
    <w:rsid w:val="00257C91"/>
    <w:rsid w:val="00257F81"/>
    <w:rsid w:val="002603CA"/>
    <w:rsid w:val="002612F1"/>
    <w:rsid w:val="00262832"/>
    <w:rsid w:val="00262FC6"/>
    <w:rsid w:val="0026415A"/>
    <w:rsid w:val="00264D04"/>
    <w:rsid w:val="00265739"/>
    <w:rsid w:val="002659F1"/>
    <w:rsid w:val="002661DE"/>
    <w:rsid w:val="0026652E"/>
    <w:rsid w:val="00266544"/>
    <w:rsid w:val="00266DF8"/>
    <w:rsid w:val="0027081A"/>
    <w:rsid w:val="00271ADF"/>
    <w:rsid w:val="00271DF4"/>
    <w:rsid w:val="00272139"/>
    <w:rsid w:val="0027300C"/>
    <w:rsid w:val="00273080"/>
    <w:rsid w:val="00273F02"/>
    <w:rsid w:val="00274027"/>
    <w:rsid w:val="00274906"/>
    <w:rsid w:val="00275284"/>
    <w:rsid w:val="0027545C"/>
    <w:rsid w:val="0027599B"/>
    <w:rsid w:val="00276EB5"/>
    <w:rsid w:val="00277A27"/>
    <w:rsid w:val="00277BF9"/>
    <w:rsid w:val="002805EE"/>
    <w:rsid w:val="0028061D"/>
    <w:rsid w:val="00282D78"/>
    <w:rsid w:val="0028347A"/>
    <w:rsid w:val="00284583"/>
    <w:rsid w:val="002856D4"/>
    <w:rsid w:val="002858D5"/>
    <w:rsid w:val="00285DBA"/>
    <w:rsid w:val="00286B5A"/>
    <w:rsid w:val="0028736F"/>
    <w:rsid w:val="00290B10"/>
    <w:rsid w:val="00291486"/>
    <w:rsid w:val="002919E9"/>
    <w:rsid w:val="002937B9"/>
    <w:rsid w:val="00293AFA"/>
    <w:rsid w:val="00293B3E"/>
    <w:rsid w:val="00293FDD"/>
    <w:rsid w:val="00295208"/>
    <w:rsid w:val="00295F48"/>
    <w:rsid w:val="00296781"/>
    <w:rsid w:val="00297A18"/>
    <w:rsid w:val="00297B50"/>
    <w:rsid w:val="00297F2B"/>
    <w:rsid w:val="002A0267"/>
    <w:rsid w:val="002A1582"/>
    <w:rsid w:val="002A2F7F"/>
    <w:rsid w:val="002A38CE"/>
    <w:rsid w:val="002A38D0"/>
    <w:rsid w:val="002A40B0"/>
    <w:rsid w:val="002A44E8"/>
    <w:rsid w:val="002A4568"/>
    <w:rsid w:val="002A4F1C"/>
    <w:rsid w:val="002A4FB3"/>
    <w:rsid w:val="002B29E0"/>
    <w:rsid w:val="002B3192"/>
    <w:rsid w:val="002B36B1"/>
    <w:rsid w:val="002B3A56"/>
    <w:rsid w:val="002B3F5E"/>
    <w:rsid w:val="002B4061"/>
    <w:rsid w:val="002B5430"/>
    <w:rsid w:val="002B7450"/>
    <w:rsid w:val="002B7794"/>
    <w:rsid w:val="002B7DDE"/>
    <w:rsid w:val="002C1103"/>
    <w:rsid w:val="002C1138"/>
    <w:rsid w:val="002C1AEF"/>
    <w:rsid w:val="002C22D1"/>
    <w:rsid w:val="002C29B5"/>
    <w:rsid w:val="002C2E70"/>
    <w:rsid w:val="002C33FF"/>
    <w:rsid w:val="002C5B48"/>
    <w:rsid w:val="002C6141"/>
    <w:rsid w:val="002C7641"/>
    <w:rsid w:val="002C76F4"/>
    <w:rsid w:val="002C7FF2"/>
    <w:rsid w:val="002D0BBD"/>
    <w:rsid w:val="002D0CC1"/>
    <w:rsid w:val="002D3156"/>
    <w:rsid w:val="002D3827"/>
    <w:rsid w:val="002D6021"/>
    <w:rsid w:val="002D662D"/>
    <w:rsid w:val="002E05B9"/>
    <w:rsid w:val="002E1328"/>
    <w:rsid w:val="002E1A60"/>
    <w:rsid w:val="002E2610"/>
    <w:rsid w:val="002E48FD"/>
    <w:rsid w:val="002E4C2D"/>
    <w:rsid w:val="002E4C40"/>
    <w:rsid w:val="002E63F3"/>
    <w:rsid w:val="002E662E"/>
    <w:rsid w:val="002E6AB7"/>
    <w:rsid w:val="002E6D0B"/>
    <w:rsid w:val="002E6D61"/>
    <w:rsid w:val="002F187D"/>
    <w:rsid w:val="002F19ED"/>
    <w:rsid w:val="00301B2A"/>
    <w:rsid w:val="00301B95"/>
    <w:rsid w:val="00301E1E"/>
    <w:rsid w:val="00302F0B"/>
    <w:rsid w:val="00303904"/>
    <w:rsid w:val="00303B16"/>
    <w:rsid w:val="00303BED"/>
    <w:rsid w:val="00304321"/>
    <w:rsid w:val="003049B5"/>
    <w:rsid w:val="00305E17"/>
    <w:rsid w:val="003062CC"/>
    <w:rsid w:val="003075E5"/>
    <w:rsid w:val="00307E3D"/>
    <w:rsid w:val="0031025F"/>
    <w:rsid w:val="00311ED0"/>
    <w:rsid w:val="003128FD"/>
    <w:rsid w:val="00312BC3"/>
    <w:rsid w:val="00315356"/>
    <w:rsid w:val="003155CB"/>
    <w:rsid w:val="00315D02"/>
    <w:rsid w:val="00315D65"/>
    <w:rsid w:val="00316B8F"/>
    <w:rsid w:val="00317B06"/>
    <w:rsid w:val="00317C88"/>
    <w:rsid w:val="003215DC"/>
    <w:rsid w:val="003216FC"/>
    <w:rsid w:val="00321B00"/>
    <w:rsid w:val="00323071"/>
    <w:rsid w:val="0032337C"/>
    <w:rsid w:val="003253F5"/>
    <w:rsid w:val="00326169"/>
    <w:rsid w:val="003261D6"/>
    <w:rsid w:val="0032632C"/>
    <w:rsid w:val="00327E70"/>
    <w:rsid w:val="00330401"/>
    <w:rsid w:val="00330561"/>
    <w:rsid w:val="0033147D"/>
    <w:rsid w:val="003324FE"/>
    <w:rsid w:val="00332C7D"/>
    <w:rsid w:val="00332F0E"/>
    <w:rsid w:val="00334DF3"/>
    <w:rsid w:val="00335A3F"/>
    <w:rsid w:val="003362BB"/>
    <w:rsid w:val="00336EBB"/>
    <w:rsid w:val="00337CCA"/>
    <w:rsid w:val="00337FA6"/>
    <w:rsid w:val="00340289"/>
    <w:rsid w:val="00340964"/>
    <w:rsid w:val="0034453D"/>
    <w:rsid w:val="003457C5"/>
    <w:rsid w:val="0035068D"/>
    <w:rsid w:val="00352394"/>
    <w:rsid w:val="003524CA"/>
    <w:rsid w:val="00352ACF"/>
    <w:rsid w:val="003556D1"/>
    <w:rsid w:val="0035610B"/>
    <w:rsid w:val="0036073E"/>
    <w:rsid w:val="0036095D"/>
    <w:rsid w:val="003616EF"/>
    <w:rsid w:val="0036284A"/>
    <w:rsid w:val="00363071"/>
    <w:rsid w:val="003631DB"/>
    <w:rsid w:val="00363CF9"/>
    <w:rsid w:val="00364E12"/>
    <w:rsid w:val="00364E63"/>
    <w:rsid w:val="0036501A"/>
    <w:rsid w:val="0036547C"/>
    <w:rsid w:val="0036778B"/>
    <w:rsid w:val="00367CBB"/>
    <w:rsid w:val="00367E62"/>
    <w:rsid w:val="003700F6"/>
    <w:rsid w:val="00370150"/>
    <w:rsid w:val="003701DA"/>
    <w:rsid w:val="0037024D"/>
    <w:rsid w:val="003712DF"/>
    <w:rsid w:val="00372708"/>
    <w:rsid w:val="00373C3B"/>
    <w:rsid w:val="003745BC"/>
    <w:rsid w:val="003748C7"/>
    <w:rsid w:val="00374B28"/>
    <w:rsid w:val="00376794"/>
    <w:rsid w:val="00377860"/>
    <w:rsid w:val="00380D96"/>
    <w:rsid w:val="0038152F"/>
    <w:rsid w:val="00382101"/>
    <w:rsid w:val="0038294C"/>
    <w:rsid w:val="00383794"/>
    <w:rsid w:val="00384561"/>
    <w:rsid w:val="00384D84"/>
    <w:rsid w:val="003866E1"/>
    <w:rsid w:val="003867BE"/>
    <w:rsid w:val="00386CDF"/>
    <w:rsid w:val="00387190"/>
    <w:rsid w:val="00387A30"/>
    <w:rsid w:val="00390280"/>
    <w:rsid w:val="00390591"/>
    <w:rsid w:val="00390C27"/>
    <w:rsid w:val="0039284A"/>
    <w:rsid w:val="0039328F"/>
    <w:rsid w:val="003937A0"/>
    <w:rsid w:val="0039488A"/>
    <w:rsid w:val="0039493D"/>
    <w:rsid w:val="00394C26"/>
    <w:rsid w:val="00395656"/>
    <w:rsid w:val="00395B6A"/>
    <w:rsid w:val="00395F4A"/>
    <w:rsid w:val="00397011"/>
    <w:rsid w:val="00397222"/>
    <w:rsid w:val="00397311"/>
    <w:rsid w:val="003A079D"/>
    <w:rsid w:val="003A18A7"/>
    <w:rsid w:val="003A2065"/>
    <w:rsid w:val="003A2FA1"/>
    <w:rsid w:val="003A3295"/>
    <w:rsid w:val="003A4E96"/>
    <w:rsid w:val="003A51F0"/>
    <w:rsid w:val="003A7787"/>
    <w:rsid w:val="003A7A9B"/>
    <w:rsid w:val="003B0CAB"/>
    <w:rsid w:val="003B1B06"/>
    <w:rsid w:val="003B1E6F"/>
    <w:rsid w:val="003B29CA"/>
    <w:rsid w:val="003B2AE9"/>
    <w:rsid w:val="003B3A1D"/>
    <w:rsid w:val="003B3CA6"/>
    <w:rsid w:val="003B4C8C"/>
    <w:rsid w:val="003B63F7"/>
    <w:rsid w:val="003B6734"/>
    <w:rsid w:val="003B6998"/>
    <w:rsid w:val="003B7715"/>
    <w:rsid w:val="003C0A3D"/>
    <w:rsid w:val="003C1F04"/>
    <w:rsid w:val="003C3374"/>
    <w:rsid w:val="003C47A2"/>
    <w:rsid w:val="003C5332"/>
    <w:rsid w:val="003C5BDB"/>
    <w:rsid w:val="003C6881"/>
    <w:rsid w:val="003C707F"/>
    <w:rsid w:val="003C7AAE"/>
    <w:rsid w:val="003C7F47"/>
    <w:rsid w:val="003D1543"/>
    <w:rsid w:val="003D2C20"/>
    <w:rsid w:val="003D4BE0"/>
    <w:rsid w:val="003D4FBF"/>
    <w:rsid w:val="003D50A2"/>
    <w:rsid w:val="003D5214"/>
    <w:rsid w:val="003D54C4"/>
    <w:rsid w:val="003E0B1C"/>
    <w:rsid w:val="003E2DEF"/>
    <w:rsid w:val="003E3C4A"/>
    <w:rsid w:val="003E3F86"/>
    <w:rsid w:val="003E43E3"/>
    <w:rsid w:val="003E4D65"/>
    <w:rsid w:val="003E6C4D"/>
    <w:rsid w:val="003E72C8"/>
    <w:rsid w:val="003E73D8"/>
    <w:rsid w:val="003E79A0"/>
    <w:rsid w:val="003E7A5A"/>
    <w:rsid w:val="003F055E"/>
    <w:rsid w:val="003F078F"/>
    <w:rsid w:val="003F09D2"/>
    <w:rsid w:val="003F0A30"/>
    <w:rsid w:val="003F1557"/>
    <w:rsid w:val="003F178A"/>
    <w:rsid w:val="003F2665"/>
    <w:rsid w:val="003F2732"/>
    <w:rsid w:val="003F48B3"/>
    <w:rsid w:val="003F53C6"/>
    <w:rsid w:val="003F55B2"/>
    <w:rsid w:val="003F5CD2"/>
    <w:rsid w:val="003F6A14"/>
    <w:rsid w:val="003F6D5F"/>
    <w:rsid w:val="003F701A"/>
    <w:rsid w:val="004000A7"/>
    <w:rsid w:val="00400B9D"/>
    <w:rsid w:val="004031DF"/>
    <w:rsid w:val="004032A1"/>
    <w:rsid w:val="004038E0"/>
    <w:rsid w:val="00403BB2"/>
    <w:rsid w:val="00403DFC"/>
    <w:rsid w:val="00404199"/>
    <w:rsid w:val="00405345"/>
    <w:rsid w:val="00405803"/>
    <w:rsid w:val="004078A9"/>
    <w:rsid w:val="0041104B"/>
    <w:rsid w:val="00411894"/>
    <w:rsid w:val="00411F40"/>
    <w:rsid w:val="004124C9"/>
    <w:rsid w:val="00413E1D"/>
    <w:rsid w:val="00414269"/>
    <w:rsid w:val="004153A3"/>
    <w:rsid w:val="004153C5"/>
    <w:rsid w:val="00415840"/>
    <w:rsid w:val="00415EA1"/>
    <w:rsid w:val="00421840"/>
    <w:rsid w:val="00421957"/>
    <w:rsid w:val="00421A43"/>
    <w:rsid w:val="004233EA"/>
    <w:rsid w:val="00424A4F"/>
    <w:rsid w:val="00424BBF"/>
    <w:rsid w:val="00424D4D"/>
    <w:rsid w:val="00425C84"/>
    <w:rsid w:val="0043006F"/>
    <w:rsid w:val="004310DD"/>
    <w:rsid w:val="0043116E"/>
    <w:rsid w:val="00431965"/>
    <w:rsid w:val="00431B67"/>
    <w:rsid w:val="00432BD0"/>
    <w:rsid w:val="00432D25"/>
    <w:rsid w:val="00433D30"/>
    <w:rsid w:val="00436B0F"/>
    <w:rsid w:val="00437B32"/>
    <w:rsid w:val="00437F51"/>
    <w:rsid w:val="004402A4"/>
    <w:rsid w:val="004402CA"/>
    <w:rsid w:val="0044081F"/>
    <w:rsid w:val="004408BD"/>
    <w:rsid w:val="0044287C"/>
    <w:rsid w:val="00443F53"/>
    <w:rsid w:val="0044551E"/>
    <w:rsid w:val="00445B37"/>
    <w:rsid w:val="00445BA3"/>
    <w:rsid w:val="00445D3B"/>
    <w:rsid w:val="00446DD3"/>
    <w:rsid w:val="00447647"/>
    <w:rsid w:val="004505DC"/>
    <w:rsid w:val="004509DE"/>
    <w:rsid w:val="00450C9B"/>
    <w:rsid w:val="00452013"/>
    <w:rsid w:val="0045483B"/>
    <w:rsid w:val="00454921"/>
    <w:rsid w:val="00454B32"/>
    <w:rsid w:val="00455455"/>
    <w:rsid w:val="00455AC3"/>
    <w:rsid w:val="00455C32"/>
    <w:rsid w:val="00457255"/>
    <w:rsid w:val="00457C70"/>
    <w:rsid w:val="00460BA7"/>
    <w:rsid w:val="00463815"/>
    <w:rsid w:val="00463D80"/>
    <w:rsid w:val="004651AD"/>
    <w:rsid w:val="004666B9"/>
    <w:rsid w:val="00466DE8"/>
    <w:rsid w:val="0046787F"/>
    <w:rsid w:val="004701B7"/>
    <w:rsid w:val="00470475"/>
    <w:rsid w:val="00470BAB"/>
    <w:rsid w:val="004718D3"/>
    <w:rsid w:val="0047272C"/>
    <w:rsid w:val="0047329C"/>
    <w:rsid w:val="004736E2"/>
    <w:rsid w:val="0047544F"/>
    <w:rsid w:val="00475887"/>
    <w:rsid w:val="0048211D"/>
    <w:rsid w:val="00483DA4"/>
    <w:rsid w:val="00484166"/>
    <w:rsid w:val="004843AF"/>
    <w:rsid w:val="004843FB"/>
    <w:rsid w:val="00484691"/>
    <w:rsid w:val="00484C33"/>
    <w:rsid w:val="00484CB7"/>
    <w:rsid w:val="00484F61"/>
    <w:rsid w:val="0049065F"/>
    <w:rsid w:val="00490C0E"/>
    <w:rsid w:val="00491975"/>
    <w:rsid w:val="00491A71"/>
    <w:rsid w:val="004932CD"/>
    <w:rsid w:val="00493D7E"/>
    <w:rsid w:val="00496258"/>
    <w:rsid w:val="0049697D"/>
    <w:rsid w:val="004970EC"/>
    <w:rsid w:val="004A0213"/>
    <w:rsid w:val="004A0E33"/>
    <w:rsid w:val="004A152B"/>
    <w:rsid w:val="004A2712"/>
    <w:rsid w:val="004A2E29"/>
    <w:rsid w:val="004A52F1"/>
    <w:rsid w:val="004A5688"/>
    <w:rsid w:val="004A6053"/>
    <w:rsid w:val="004A6440"/>
    <w:rsid w:val="004A6566"/>
    <w:rsid w:val="004A73BF"/>
    <w:rsid w:val="004B18CF"/>
    <w:rsid w:val="004B1B5C"/>
    <w:rsid w:val="004B2EC6"/>
    <w:rsid w:val="004B33E8"/>
    <w:rsid w:val="004B3E6C"/>
    <w:rsid w:val="004B4617"/>
    <w:rsid w:val="004B5049"/>
    <w:rsid w:val="004B650F"/>
    <w:rsid w:val="004B763B"/>
    <w:rsid w:val="004B7904"/>
    <w:rsid w:val="004C0B5D"/>
    <w:rsid w:val="004C0E2C"/>
    <w:rsid w:val="004C2C14"/>
    <w:rsid w:val="004C2D67"/>
    <w:rsid w:val="004C2D91"/>
    <w:rsid w:val="004C3309"/>
    <w:rsid w:val="004C3E75"/>
    <w:rsid w:val="004C3FD4"/>
    <w:rsid w:val="004C67F2"/>
    <w:rsid w:val="004C74C3"/>
    <w:rsid w:val="004C773D"/>
    <w:rsid w:val="004C7C66"/>
    <w:rsid w:val="004D331B"/>
    <w:rsid w:val="004D3F75"/>
    <w:rsid w:val="004D49BD"/>
    <w:rsid w:val="004D5530"/>
    <w:rsid w:val="004D56DA"/>
    <w:rsid w:val="004D625C"/>
    <w:rsid w:val="004D64D1"/>
    <w:rsid w:val="004E20CC"/>
    <w:rsid w:val="004E2837"/>
    <w:rsid w:val="004E35D8"/>
    <w:rsid w:val="004E485F"/>
    <w:rsid w:val="004E669A"/>
    <w:rsid w:val="004F073D"/>
    <w:rsid w:val="004F15D6"/>
    <w:rsid w:val="004F2050"/>
    <w:rsid w:val="004F27EE"/>
    <w:rsid w:val="004F6C82"/>
    <w:rsid w:val="004F74CD"/>
    <w:rsid w:val="004F75A4"/>
    <w:rsid w:val="004F75DD"/>
    <w:rsid w:val="004F78ED"/>
    <w:rsid w:val="00500009"/>
    <w:rsid w:val="0050053C"/>
    <w:rsid w:val="005005BF"/>
    <w:rsid w:val="00500DEB"/>
    <w:rsid w:val="0050117D"/>
    <w:rsid w:val="00502843"/>
    <w:rsid w:val="00502EAC"/>
    <w:rsid w:val="005030AE"/>
    <w:rsid w:val="0050356A"/>
    <w:rsid w:val="00503E53"/>
    <w:rsid w:val="00505988"/>
    <w:rsid w:val="00505A60"/>
    <w:rsid w:val="00506B52"/>
    <w:rsid w:val="00507D66"/>
    <w:rsid w:val="0051264E"/>
    <w:rsid w:val="00514491"/>
    <w:rsid w:val="00514AF7"/>
    <w:rsid w:val="00514FA2"/>
    <w:rsid w:val="0051533D"/>
    <w:rsid w:val="0051550E"/>
    <w:rsid w:val="0052180A"/>
    <w:rsid w:val="0052223F"/>
    <w:rsid w:val="005237AD"/>
    <w:rsid w:val="005241A5"/>
    <w:rsid w:val="00524B1E"/>
    <w:rsid w:val="00525649"/>
    <w:rsid w:val="00526061"/>
    <w:rsid w:val="00526976"/>
    <w:rsid w:val="0052737D"/>
    <w:rsid w:val="00527A7C"/>
    <w:rsid w:val="005306DC"/>
    <w:rsid w:val="00531032"/>
    <w:rsid w:val="00532683"/>
    <w:rsid w:val="00532F3B"/>
    <w:rsid w:val="005330BC"/>
    <w:rsid w:val="00533726"/>
    <w:rsid w:val="0053378A"/>
    <w:rsid w:val="00534E6B"/>
    <w:rsid w:val="005351B4"/>
    <w:rsid w:val="005360B4"/>
    <w:rsid w:val="00536ADF"/>
    <w:rsid w:val="005456C9"/>
    <w:rsid w:val="00546CCF"/>
    <w:rsid w:val="00550059"/>
    <w:rsid w:val="005520AE"/>
    <w:rsid w:val="00552816"/>
    <w:rsid w:val="0055313A"/>
    <w:rsid w:val="005531B2"/>
    <w:rsid w:val="00553C3E"/>
    <w:rsid w:val="00555395"/>
    <w:rsid w:val="00556879"/>
    <w:rsid w:val="0055744C"/>
    <w:rsid w:val="00560F72"/>
    <w:rsid w:val="0056142B"/>
    <w:rsid w:val="005636E4"/>
    <w:rsid w:val="00563AF4"/>
    <w:rsid w:val="005643F9"/>
    <w:rsid w:val="00564538"/>
    <w:rsid w:val="00564FCA"/>
    <w:rsid w:val="00565895"/>
    <w:rsid w:val="005661C0"/>
    <w:rsid w:val="0056644C"/>
    <w:rsid w:val="00567200"/>
    <w:rsid w:val="0056720D"/>
    <w:rsid w:val="005701B2"/>
    <w:rsid w:val="005705F0"/>
    <w:rsid w:val="005707C5"/>
    <w:rsid w:val="00570EE8"/>
    <w:rsid w:val="00571754"/>
    <w:rsid w:val="00571BD8"/>
    <w:rsid w:val="0057391B"/>
    <w:rsid w:val="00573DF7"/>
    <w:rsid w:val="00573EF8"/>
    <w:rsid w:val="0057445F"/>
    <w:rsid w:val="00574C0C"/>
    <w:rsid w:val="005751A7"/>
    <w:rsid w:val="00575619"/>
    <w:rsid w:val="00576816"/>
    <w:rsid w:val="00576A2E"/>
    <w:rsid w:val="005806BF"/>
    <w:rsid w:val="0058088A"/>
    <w:rsid w:val="00580A5E"/>
    <w:rsid w:val="00583B03"/>
    <w:rsid w:val="00584C6B"/>
    <w:rsid w:val="005854CB"/>
    <w:rsid w:val="0058611E"/>
    <w:rsid w:val="00590A3F"/>
    <w:rsid w:val="00591117"/>
    <w:rsid w:val="00592855"/>
    <w:rsid w:val="00593AB1"/>
    <w:rsid w:val="0059578C"/>
    <w:rsid w:val="0059579D"/>
    <w:rsid w:val="00595D2F"/>
    <w:rsid w:val="00595E92"/>
    <w:rsid w:val="0059604B"/>
    <w:rsid w:val="005A1A1F"/>
    <w:rsid w:val="005A1DC1"/>
    <w:rsid w:val="005A1EC3"/>
    <w:rsid w:val="005A1FD8"/>
    <w:rsid w:val="005A540C"/>
    <w:rsid w:val="005A60C3"/>
    <w:rsid w:val="005A61B7"/>
    <w:rsid w:val="005A638D"/>
    <w:rsid w:val="005A645E"/>
    <w:rsid w:val="005A6619"/>
    <w:rsid w:val="005A6A6A"/>
    <w:rsid w:val="005B0E09"/>
    <w:rsid w:val="005B2330"/>
    <w:rsid w:val="005B356A"/>
    <w:rsid w:val="005B3E62"/>
    <w:rsid w:val="005B4358"/>
    <w:rsid w:val="005B4D21"/>
    <w:rsid w:val="005B4D44"/>
    <w:rsid w:val="005B4FA9"/>
    <w:rsid w:val="005B556A"/>
    <w:rsid w:val="005B7914"/>
    <w:rsid w:val="005B7CD6"/>
    <w:rsid w:val="005C0170"/>
    <w:rsid w:val="005C0360"/>
    <w:rsid w:val="005C1D6F"/>
    <w:rsid w:val="005C1E60"/>
    <w:rsid w:val="005C2389"/>
    <w:rsid w:val="005C313C"/>
    <w:rsid w:val="005C31C9"/>
    <w:rsid w:val="005C50FC"/>
    <w:rsid w:val="005C62AE"/>
    <w:rsid w:val="005C69AE"/>
    <w:rsid w:val="005D37BD"/>
    <w:rsid w:val="005D6C0D"/>
    <w:rsid w:val="005D78E5"/>
    <w:rsid w:val="005D78EA"/>
    <w:rsid w:val="005D7911"/>
    <w:rsid w:val="005E0623"/>
    <w:rsid w:val="005E2318"/>
    <w:rsid w:val="005E2398"/>
    <w:rsid w:val="005E2D95"/>
    <w:rsid w:val="005E4CA2"/>
    <w:rsid w:val="005E5256"/>
    <w:rsid w:val="005E5DC3"/>
    <w:rsid w:val="005E6032"/>
    <w:rsid w:val="005E69BA"/>
    <w:rsid w:val="005E7517"/>
    <w:rsid w:val="005F01CB"/>
    <w:rsid w:val="005F0B0E"/>
    <w:rsid w:val="005F0E39"/>
    <w:rsid w:val="005F0F4C"/>
    <w:rsid w:val="005F322E"/>
    <w:rsid w:val="005F355F"/>
    <w:rsid w:val="005F3B9B"/>
    <w:rsid w:val="005F496D"/>
    <w:rsid w:val="005F4E50"/>
    <w:rsid w:val="005F52C4"/>
    <w:rsid w:val="005F60DD"/>
    <w:rsid w:val="005F69C1"/>
    <w:rsid w:val="006001A8"/>
    <w:rsid w:val="00601ED8"/>
    <w:rsid w:val="00603A61"/>
    <w:rsid w:val="006048AB"/>
    <w:rsid w:val="00605CDA"/>
    <w:rsid w:val="00606AA2"/>
    <w:rsid w:val="006076B8"/>
    <w:rsid w:val="006079A0"/>
    <w:rsid w:val="00610D9E"/>
    <w:rsid w:val="00611C74"/>
    <w:rsid w:val="0061200C"/>
    <w:rsid w:val="006125F3"/>
    <w:rsid w:val="00613419"/>
    <w:rsid w:val="006134BF"/>
    <w:rsid w:val="006139BE"/>
    <w:rsid w:val="00614276"/>
    <w:rsid w:val="006144D4"/>
    <w:rsid w:val="006146CB"/>
    <w:rsid w:val="006151EB"/>
    <w:rsid w:val="006215AE"/>
    <w:rsid w:val="00621631"/>
    <w:rsid w:val="006216A2"/>
    <w:rsid w:val="0062297B"/>
    <w:rsid w:val="00623EB5"/>
    <w:rsid w:val="00624AB6"/>
    <w:rsid w:val="00624DF3"/>
    <w:rsid w:val="00625025"/>
    <w:rsid w:val="006251C2"/>
    <w:rsid w:val="006263F9"/>
    <w:rsid w:val="0062693C"/>
    <w:rsid w:val="00626C83"/>
    <w:rsid w:val="0062782D"/>
    <w:rsid w:val="00631F07"/>
    <w:rsid w:val="006323A2"/>
    <w:rsid w:val="00632D34"/>
    <w:rsid w:val="00633C34"/>
    <w:rsid w:val="006343CE"/>
    <w:rsid w:val="00634AD6"/>
    <w:rsid w:val="00637CEE"/>
    <w:rsid w:val="00640E44"/>
    <w:rsid w:val="006410D6"/>
    <w:rsid w:val="00641E11"/>
    <w:rsid w:val="00643A78"/>
    <w:rsid w:val="00643CC1"/>
    <w:rsid w:val="0064476B"/>
    <w:rsid w:val="0064476C"/>
    <w:rsid w:val="00644E20"/>
    <w:rsid w:val="00644E72"/>
    <w:rsid w:val="00645735"/>
    <w:rsid w:val="00645CE4"/>
    <w:rsid w:val="0064648E"/>
    <w:rsid w:val="006466CA"/>
    <w:rsid w:val="00646AAE"/>
    <w:rsid w:val="00647879"/>
    <w:rsid w:val="006501DA"/>
    <w:rsid w:val="00650665"/>
    <w:rsid w:val="00651CFE"/>
    <w:rsid w:val="006522CF"/>
    <w:rsid w:val="00652C3A"/>
    <w:rsid w:val="00652D93"/>
    <w:rsid w:val="006531E0"/>
    <w:rsid w:val="00653A9E"/>
    <w:rsid w:val="00655FDC"/>
    <w:rsid w:val="00656986"/>
    <w:rsid w:val="00656B45"/>
    <w:rsid w:val="0066094F"/>
    <w:rsid w:val="00661BE6"/>
    <w:rsid w:val="00661E64"/>
    <w:rsid w:val="00663C04"/>
    <w:rsid w:val="006650B6"/>
    <w:rsid w:val="0066646A"/>
    <w:rsid w:val="0066779E"/>
    <w:rsid w:val="006703EC"/>
    <w:rsid w:val="0067071B"/>
    <w:rsid w:val="00672117"/>
    <w:rsid w:val="00672E73"/>
    <w:rsid w:val="00673854"/>
    <w:rsid w:val="00673E28"/>
    <w:rsid w:val="00674B7B"/>
    <w:rsid w:val="00674D28"/>
    <w:rsid w:val="00675C26"/>
    <w:rsid w:val="0067696C"/>
    <w:rsid w:val="006777A9"/>
    <w:rsid w:val="00680242"/>
    <w:rsid w:val="00680269"/>
    <w:rsid w:val="00680866"/>
    <w:rsid w:val="006809CA"/>
    <w:rsid w:val="00680DD4"/>
    <w:rsid w:val="006810E1"/>
    <w:rsid w:val="00682CEE"/>
    <w:rsid w:val="00683493"/>
    <w:rsid w:val="006847B9"/>
    <w:rsid w:val="00685B28"/>
    <w:rsid w:val="00685CFB"/>
    <w:rsid w:val="006868F3"/>
    <w:rsid w:val="00691083"/>
    <w:rsid w:val="00692264"/>
    <w:rsid w:val="00692339"/>
    <w:rsid w:val="006931CE"/>
    <w:rsid w:val="006936DB"/>
    <w:rsid w:val="00693CA6"/>
    <w:rsid w:val="00694242"/>
    <w:rsid w:val="0069429B"/>
    <w:rsid w:val="00694841"/>
    <w:rsid w:val="00695977"/>
    <w:rsid w:val="00695ECD"/>
    <w:rsid w:val="00696FA3"/>
    <w:rsid w:val="006A0FC2"/>
    <w:rsid w:val="006A1C60"/>
    <w:rsid w:val="006A1E7D"/>
    <w:rsid w:val="006A225A"/>
    <w:rsid w:val="006A3DB6"/>
    <w:rsid w:val="006A4104"/>
    <w:rsid w:val="006A4D94"/>
    <w:rsid w:val="006A5600"/>
    <w:rsid w:val="006A5AB2"/>
    <w:rsid w:val="006A5C9F"/>
    <w:rsid w:val="006A5D1B"/>
    <w:rsid w:val="006A5EF6"/>
    <w:rsid w:val="006A6B86"/>
    <w:rsid w:val="006A6F78"/>
    <w:rsid w:val="006B142D"/>
    <w:rsid w:val="006B3D75"/>
    <w:rsid w:val="006B4B1A"/>
    <w:rsid w:val="006B4C92"/>
    <w:rsid w:val="006B5E7C"/>
    <w:rsid w:val="006B65FA"/>
    <w:rsid w:val="006B67FE"/>
    <w:rsid w:val="006B76F2"/>
    <w:rsid w:val="006C0086"/>
    <w:rsid w:val="006C03B0"/>
    <w:rsid w:val="006C13F4"/>
    <w:rsid w:val="006C1749"/>
    <w:rsid w:val="006C4360"/>
    <w:rsid w:val="006C4606"/>
    <w:rsid w:val="006C46AD"/>
    <w:rsid w:val="006C4829"/>
    <w:rsid w:val="006C53B0"/>
    <w:rsid w:val="006C59E3"/>
    <w:rsid w:val="006C5BCF"/>
    <w:rsid w:val="006C63EC"/>
    <w:rsid w:val="006C65E0"/>
    <w:rsid w:val="006C6822"/>
    <w:rsid w:val="006D0567"/>
    <w:rsid w:val="006D13C0"/>
    <w:rsid w:val="006D16AA"/>
    <w:rsid w:val="006D1746"/>
    <w:rsid w:val="006D183B"/>
    <w:rsid w:val="006D2545"/>
    <w:rsid w:val="006D363F"/>
    <w:rsid w:val="006D4AF4"/>
    <w:rsid w:val="006D5B95"/>
    <w:rsid w:val="006D5D78"/>
    <w:rsid w:val="006D7646"/>
    <w:rsid w:val="006D7B29"/>
    <w:rsid w:val="006E09ED"/>
    <w:rsid w:val="006E2014"/>
    <w:rsid w:val="006E2094"/>
    <w:rsid w:val="006E20DA"/>
    <w:rsid w:val="006E2FE1"/>
    <w:rsid w:val="006E4628"/>
    <w:rsid w:val="006E55F7"/>
    <w:rsid w:val="006E5737"/>
    <w:rsid w:val="006E5F56"/>
    <w:rsid w:val="006E6526"/>
    <w:rsid w:val="006E6E15"/>
    <w:rsid w:val="006E7401"/>
    <w:rsid w:val="006F1144"/>
    <w:rsid w:val="006F39D8"/>
    <w:rsid w:val="006F3C96"/>
    <w:rsid w:val="006F3D88"/>
    <w:rsid w:val="006F3DF5"/>
    <w:rsid w:val="006F5B77"/>
    <w:rsid w:val="006F6C17"/>
    <w:rsid w:val="006F7628"/>
    <w:rsid w:val="006F7F1C"/>
    <w:rsid w:val="007000C4"/>
    <w:rsid w:val="00700365"/>
    <w:rsid w:val="00700632"/>
    <w:rsid w:val="007012E8"/>
    <w:rsid w:val="00702121"/>
    <w:rsid w:val="007023E7"/>
    <w:rsid w:val="0070271C"/>
    <w:rsid w:val="00705A82"/>
    <w:rsid w:val="00705AE5"/>
    <w:rsid w:val="00705DD0"/>
    <w:rsid w:val="007061DE"/>
    <w:rsid w:val="0070641A"/>
    <w:rsid w:val="0070754B"/>
    <w:rsid w:val="0071170C"/>
    <w:rsid w:val="00712316"/>
    <w:rsid w:val="00712612"/>
    <w:rsid w:val="00712C8E"/>
    <w:rsid w:val="00712E6A"/>
    <w:rsid w:val="007144E5"/>
    <w:rsid w:val="00714D10"/>
    <w:rsid w:val="00714DF4"/>
    <w:rsid w:val="00714F68"/>
    <w:rsid w:val="007153BA"/>
    <w:rsid w:val="00715E53"/>
    <w:rsid w:val="007178C5"/>
    <w:rsid w:val="00717AA3"/>
    <w:rsid w:val="007207F5"/>
    <w:rsid w:val="0072080A"/>
    <w:rsid w:val="00722A17"/>
    <w:rsid w:val="0072396A"/>
    <w:rsid w:val="00724693"/>
    <w:rsid w:val="00724749"/>
    <w:rsid w:val="0072478A"/>
    <w:rsid w:val="00724A6D"/>
    <w:rsid w:val="00725108"/>
    <w:rsid w:val="00725E9F"/>
    <w:rsid w:val="00731D76"/>
    <w:rsid w:val="007339C7"/>
    <w:rsid w:val="00734295"/>
    <w:rsid w:val="0073539E"/>
    <w:rsid w:val="00737D2D"/>
    <w:rsid w:val="007410B4"/>
    <w:rsid w:val="007412D6"/>
    <w:rsid w:val="00742C0D"/>
    <w:rsid w:val="00743B0E"/>
    <w:rsid w:val="00743CB2"/>
    <w:rsid w:val="00743DC4"/>
    <w:rsid w:val="007445C2"/>
    <w:rsid w:val="00745445"/>
    <w:rsid w:val="007463FA"/>
    <w:rsid w:val="0074683E"/>
    <w:rsid w:val="007476BE"/>
    <w:rsid w:val="0075300E"/>
    <w:rsid w:val="00753384"/>
    <w:rsid w:val="007534FD"/>
    <w:rsid w:val="0075527B"/>
    <w:rsid w:val="00755986"/>
    <w:rsid w:val="00756D01"/>
    <w:rsid w:val="0075759B"/>
    <w:rsid w:val="00757D1A"/>
    <w:rsid w:val="00760132"/>
    <w:rsid w:val="00761F28"/>
    <w:rsid w:val="0076229F"/>
    <w:rsid w:val="007624C0"/>
    <w:rsid w:val="007624E2"/>
    <w:rsid w:val="007639D7"/>
    <w:rsid w:val="00764150"/>
    <w:rsid w:val="00764456"/>
    <w:rsid w:val="00764524"/>
    <w:rsid w:val="00765FDE"/>
    <w:rsid w:val="00766001"/>
    <w:rsid w:val="00766008"/>
    <w:rsid w:val="00766780"/>
    <w:rsid w:val="00766F2D"/>
    <w:rsid w:val="00767234"/>
    <w:rsid w:val="0076769D"/>
    <w:rsid w:val="00770245"/>
    <w:rsid w:val="007722E8"/>
    <w:rsid w:val="007746F2"/>
    <w:rsid w:val="00775B8B"/>
    <w:rsid w:val="00775F69"/>
    <w:rsid w:val="0077656B"/>
    <w:rsid w:val="00776A5A"/>
    <w:rsid w:val="00776BF3"/>
    <w:rsid w:val="00776CDE"/>
    <w:rsid w:val="00780A61"/>
    <w:rsid w:val="00782264"/>
    <w:rsid w:val="00782455"/>
    <w:rsid w:val="007826B6"/>
    <w:rsid w:val="007830F3"/>
    <w:rsid w:val="0078329A"/>
    <w:rsid w:val="007847CB"/>
    <w:rsid w:val="007848E3"/>
    <w:rsid w:val="00784A39"/>
    <w:rsid w:val="00791577"/>
    <w:rsid w:val="00795620"/>
    <w:rsid w:val="00795AB4"/>
    <w:rsid w:val="00795D53"/>
    <w:rsid w:val="007A00A3"/>
    <w:rsid w:val="007A1953"/>
    <w:rsid w:val="007A2EB0"/>
    <w:rsid w:val="007A2F3C"/>
    <w:rsid w:val="007A2F54"/>
    <w:rsid w:val="007A3078"/>
    <w:rsid w:val="007A364E"/>
    <w:rsid w:val="007A379C"/>
    <w:rsid w:val="007A41A3"/>
    <w:rsid w:val="007A5858"/>
    <w:rsid w:val="007A5F1A"/>
    <w:rsid w:val="007A655B"/>
    <w:rsid w:val="007A68F6"/>
    <w:rsid w:val="007A6EEF"/>
    <w:rsid w:val="007A7413"/>
    <w:rsid w:val="007B0573"/>
    <w:rsid w:val="007B27FC"/>
    <w:rsid w:val="007B46E5"/>
    <w:rsid w:val="007B5129"/>
    <w:rsid w:val="007B5341"/>
    <w:rsid w:val="007B6BD3"/>
    <w:rsid w:val="007B78F8"/>
    <w:rsid w:val="007C3EB6"/>
    <w:rsid w:val="007C471C"/>
    <w:rsid w:val="007C61F7"/>
    <w:rsid w:val="007C6284"/>
    <w:rsid w:val="007C6B5B"/>
    <w:rsid w:val="007C6C53"/>
    <w:rsid w:val="007D2D21"/>
    <w:rsid w:val="007D35C0"/>
    <w:rsid w:val="007D38A3"/>
    <w:rsid w:val="007D3C0D"/>
    <w:rsid w:val="007D48AA"/>
    <w:rsid w:val="007D4A30"/>
    <w:rsid w:val="007D4A54"/>
    <w:rsid w:val="007D5781"/>
    <w:rsid w:val="007D5C83"/>
    <w:rsid w:val="007D624A"/>
    <w:rsid w:val="007D659B"/>
    <w:rsid w:val="007D75EF"/>
    <w:rsid w:val="007D7A93"/>
    <w:rsid w:val="007E3C64"/>
    <w:rsid w:val="007E41AB"/>
    <w:rsid w:val="007E5275"/>
    <w:rsid w:val="007E6604"/>
    <w:rsid w:val="007E66BA"/>
    <w:rsid w:val="007E7010"/>
    <w:rsid w:val="007F0BCF"/>
    <w:rsid w:val="007F12EF"/>
    <w:rsid w:val="007F2B8C"/>
    <w:rsid w:val="007F2E4A"/>
    <w:rsid w:val="007F3145"/>
    <w:rsid w:val="007F3DE4"/>
    <w:rsid w:val="007F5088"/>
    <w:rsid w:val="007F608A"/>
    <w:rsid w:val="007F7198"/>
    <w:rsid w:val="007F78A7"/>
    <w:rsid w:val="007F7D91"/>
    <w:rsid w:val="007F7FD7"/>
    <w:rsid w:val="00800098"/>
    <w:rsid w:val="00801153"/>
    <w:rsid w:val="008017A4"/>
    <w:rsid w:val="008041E0"/>
    <w:rsid w:val="008051D9"/>
    <w:rsid w:val="00805657"/>
    <w:rsid w:val="00806961"/>
    <w:rsid w:val="00806F00"/>
    <w:rsid w:val="00807449"/>
    <w:rsid w:val="008103F7"/>
    <w:rsid w:val="0081068C"/>
    <w:rsid w:val="00811993"/>
    <w:rsid w:val="00813FAD"/>
    <w:rsid w:val="008145BD"/>
    <w:rsid w:val="00817A77"/>
    <w:rsid w:val="0082060F"/>
    <w:rsid w:val="00820D81"/>
    <w:rsid w:val="008217E4"/>
    <w:rsid w:val="0082223B"/>
    <w:rsid w:val="00822817"/>
    <w:rsid w:val="0082616A"/>
    <w:rsid w:val="00826451"/>
    <w:rsid w:val="0083224E"/>
    <w:rsid w:val="00832426"/>
    <w:rsid w:val="00832452"/>
    <w:rsid w:val="00833937"/>
    <w:rsid w:val="00833AE1"/>
    <w:rsid w:val="00835D38"/>
    <w:rsid w:val="00840D40"/>
    <w:rsid w:val="00840D95"/>
    <w:rsid w:val="0084132D"/>
    <w:rsid w:val="008434BF"/>
    <w:rsid w:val="008473A9"/>
    <w:rsid w:val="00847BB9"/>
    <w:rsid w:val="00850241"/>
    <w:rsid w:val="00850579"/>
    <w:rsid w:val="0085135E"/>
    <w:rsid w:val="00851A2A"/>
    <w:rsid w:val="00852734"/>
    <w:rsid w:val="00852845"/>
    <w:rsid w:val="008546BF"/>
    <w:rsid w:val="00857716"/>
    <w:rsid w:val="00857CD9"/>
    <w:rsid w:val="008603AA"/>
    <w:rsid w:val="0086106A"/>
    <w:rsid w:val="008611D1"/>
    <w:rsid w:val="00861742"/>
    <w:rsid w:val="008618E4"/>
    <w:rsid w:val="008618FA"/>
    <w:rsid w:val="00862FFA"/>
    <w:rsid w:val="008633E2"/>
    <w:rsid w:val="00863444"/>
    <w:rsid w:val="00864644"/>
    <w:rsid w:val="00864A3E"/>
    <w:rsid w:val="00864F37"/>
    <w:rsid w:val="008652EF"/>
    <w:rsid w:val="00865AD8"/>
    <w:rsid w:val="00865B38"/>
    <w:rsid w:val="00867868"/>
    <w:rsid w:val="008703A6"/>
    <w:rsid w:val="00870E80"/>
    <w:rsid w:val="0087274E"/>
    <w:rsid w:val="00873550"/>
    <w:rsid w:val="00873E8A"/>
    <w:rsid w:val="008749E2"/>
    <w:rsid w:val="008754A6"/>
    <w:rsid w:val="008754FC"/>
    <w:rsid w:val="008763BF"/>
    <w:rsid w:val="0087647D"/>
    <w:rsid w:val="0087741E"/>
    <w:rsid w:val="0087780D"/>
    <w:rsid w:val="00880D7A"/>
    <w:rsid w:val="00883750"/>
    <w:rsid w:val="00884907"/>
    <w:rsid w:val="00885265"/>
    <w:rsid w:val="00886C4D"/>
    <w:rsid w:val="00887895"/>
    <w:rsid w:val="008903F5"/>
    <w:rsid w:val="008907B0"/>
    <w:rsid w:val="00892BEB"/>
    <w:rsid w:val="008956DA"/>
    <w:rsid w:val="00896392"/>
    <w:rsid w:val="00896822"/>
    <w:rsid w:val="00896CC0"/>
    <w:rsid w:val="008A0A77"/>
    <w:rsid w:val="008A1129"/>
    <w:rsid w:val="008A3FAE"/>
    <w:rsid w:val="008A58A4"/>
    <w:rsid w:val="008A65E8"/>
    <w:rsid w:val="008A6E6A"/>
    <w:rsid w:val="008A79C4"/>
    <w:rsid w:val="008B0842"/>
    <w:rsid w:val="008B1EA1"/>
    <w:rsid w:val="008B3683"/>
    <w:rsid w:val="008B3AF6"/>
    <w:rsid w:val="008B3D57"/>
    <w:rsid w:val="008B405F"/>
    <w:rsid w:val="008B4724"/>
    <w:rsid w:val="008B5EF7"/>
    <w:rsid w:val="008B7972"/>
    <w:rsid w:val="008B7E8D"/>
    <w:rsid w:val="008C011C"/>
    <w:rsid w:val="008C04C7"/>
    <w:rsid w:val="008C07D4"/>
    <w:rsid w:val="008C0D4F"/>
    <w:rsid w:val="008C1614"/>
    <w:rsid w:val="008C364E"/>
    <w:rsid w:val="008C3BA9"/>
    <w:rsid w:val="008C3D89"/>
    <w:rsid w:val="008C5226"/>
    <w:rsid w:val="008C5B63"/>
    <w:rsid w:val="008C62E8"/>
    <w:rsid w:val="008C69DF"/>
    <w:rsid w:val="008D0AD5"/>
    <w:rsid w:val="008D0DA6"/>
    <w:rsid w:val="008D14D1"/>
    <w:rsid w:val="008D1A18"/>
    <w:rsid w:val="008D23D9"/>
    <w:rsid w:val="008D2C01"/>
    <w:rsid w:val="008D2FF2"/>
    <w:rsid w:val="008D40F8"/>
    <w:rsid w:val="008D44C6"/>
    <w:rsid w:val="008D4985"/>
    <w:rsid w:val="008D4A19"/>
    <w:rsid w:val="008D58D0"/>
    <w:rsid w:val="008D5B13"/>
    <w:rsid w:val="008D7253"/>
    <w:rsid w:val="008E02F2"/>
    <w:rsid w:val="008E0677"/>
    <w:rsid w:val="008E1294"/>
    <w:rsid w:val="008E1D78"/>
    <w:rsid w:val="008E2599"/>
    <w:rsid w:val="008E2E7A"/>
    <w:rsid w:val="008E5FEA"/>
    <w:rsid w:val="008F0820"/>
    <w:rsid w:val="008F3D6A"/>
    <w:rsid w:val="008F4AEE"/>
    <w:rsid w:val="008F4ED5"/>
    <w:rsid w:val="008F604A"/>
    <w:rsid w:val="008F7982"/>
    <w:rsid w:val="00900741"/>
    <w:rsid w:val="00900FA2"/>
    <w:rsid w:val="0090214E"/>
    <w:rsid w:val="00903193"/>
    <w:rsid w:val="00903250"/>
    <w:rsid w:val="009034ED"/>
    <w:rsid w:val="00903DC2"/>
    <w:rsid w:val="00905550"/>
    <w:rsid w:val="009065D0"/>
    <w:rsid w:val="00906882"/>
    <w:rsid w:val="00907589"/>
    <w:rsid w:val="0091013C"/>
    <w:rsid w:val="00910CB9"/>
    <w:rsid w:val="009118F2"/>
    <w:rsid w:val="00911D69"/>
    <w:rsid w:val="00912492"/>
    <w:rsid w:val="009126B5"/>
    <w:rsid w:val="00914654"/>
    <w:rsid w:val="00915656"/>
    <w:rsid w:val="00915832"/>
    <w:rsid w:val="009164BA"/>
    <w:rsid w:val="00921F56"/>
    <w:rsid w:val="00923295"/>
    <w:rsid w:val="00925CB3"/>
    <w:rsid w:val="0092607C"/>
    <w:rsid w:val="00926D86"/>
    <w:rsid w:val="00927990"/>
    <w:rsid w:val="0093009C"/>
    <w:rsid w:val="009309EF"/>
    <w:rsid w:val="00930EC3"/>
    <w:rsid w:val="00931122"/>
    <w:rsid w:val="00931D96"/>
    <w:rsid w:val="00931E3A"/>
    <w:rsid w:val="0093312E"/>
    <w:rsid w:val="00933514"/>
    <w:rsid w:val="00934C32"/>
    <w:rsid w:val="00935A34"/>
    <w:rsid w:val="00936837"/>
    <w:rsid w:val="00937A17"/>
    <w:rsid w:val="00940BFB"/>
    <w:rsid w:val="00941CE2"/>
    <w:rsid w:val="00942472"/>
    <w:rsid w:val="009425D2"/>
    <w:rsid w:val="00942966"/>
    <w:rsid w:val="009451D6"/>
    <w:rsid w:val="00945305"/>
    <w:rsid w:val="009455C6"/>
    <w:rsid w:val="00946513"/>
    <w:rsid w:val="00946843"/>
    <w:rsid w:val="00946D94"/>
    <w:rsid w:val="0094741A"/>
    <w:rsid w:val="00947F0F"/>
    <w:rsid w:val="009510F5"/>
    <w:rsid w:val="0095187F"/>
    <w:rsid w:val="00951B61"/>
    <w:rsid w:val="0095286B"/>
    <w:rsid w:val="00953154"/>
    <w:rsid w:val="009538E9"/>
    <w:rsid w:val="00953939"/>
    <w:rsid w:val="00953AED"/>
    <w:rsid w:val="00954919"/>
    <w:rsid w:val="009549E2"/>
    <w:rsid w:val="009562EC"/>
    <w:rsid w:val="00957350"/>
    <w:rsid w:val="00957529"/>
    <w:rsid w:val="0096002F"/>
    <w:rsid w:val="009619AC"/>
    <w:rsid w:val="00963DE7"/>
    <w:rsid w:val="00963E80"/>
    <w:rsid w:val="00964828"/>
    <w:rsid w:val="0096491C"/>
    <w:rsid w:val="00965925"/>
    <w:rsid w:val="00965C65"/>
    <w:rsid w:val="0096637C"/>
    <w:rsid w:val="00966AFE"/>
    <w:rsid w:val="00967A90"/>
    <w:rsid w:val="009705AD"/>
    <w:rsid w:val="00970CB7"/>
    <w:rsid w:val="00970E2D"/>
    <w:rsid w:val="009714AD"/>
    <w:rsid w:val="00971C5F"/>
    <w:rsid w:val="00971CBC"/>
    <w:rsid w:val="009722A9"/>
    <w:rsid w:val="00974A3A"/>
    <w:rsid w:val="00974A50"/>
    <w:rsid w:val="00974CFD"/>
    <w:rsid w:val="00976C84"/>
    <w:rsid w:val="00977B0B"/>
    <w:rsid w:val="00981030"/>
    <w:rsid w:val="00981699"/>
    <w:rsid w:val="00983DDF"/>
    <w:rsid w:val="00984943"/>
    <w:rsid w:val="009867A1"/>
    <w:rsid w:val="009869BB"/>
    <w:rsid w:val="0099184D"/>
    <w:rsid w:val="00991D6C"/>
    <w:rsid w:val="0099412F"/>
    <w:rsid w:val="00994388"/>
    <w:rsid w:val="00994DA9"/>
    <w:rsid w:val="009965CE"/>
    <w:rsid w:val="009A0769"/>
    <w:rsid w:val="009A0BAC"/>
    <w:rsid w:val="009A21CC"/>
    <w:rsid w:val="009A22AF"/>
    <w:rsid w:val="009A3986"/>
    <w:rsid w:val="009A3CF9"/>
    <w:rsid w:val="009A421F"/>
    <w:rsid w:val="009A4770"/>
    <w:rsid w:val="009A6AF1"/>
    <w:rsid w:val="009A6DA3"/>
    <w:rsid w:val="009B0DCF"/>
    <w:rsid w:val="009B0ED4"/>
    <w:rsid w:val="009B1A93"/>
    <w:rsid w:val="009B25C0"/>
    <w:rsid w:val="009B347C"/>
    <w:rsid w:val="009B362A"/>
    <w:rsid w:val="009B3BEE"/>
    <w:rsid w:val="009B5672"/>
    <w:rsid w:val="009B5A52"/>
    <w:rsid w:val="009B6195"/>
    <w:rsid w:val="009B67D5"/>
    <w:rsid w:val="009C05BD"/>
    <w:rsid w:val="009C0768"/>
    <w:rsid w:val="009C0ED3"/>
    <w:rsid w:val="009C1274"/>
    <w:rsid w:val="009C1306"/>
    <w:rsid w:val="009C1EF6"/>
    <w:rsid w:val="009C1F00"/>
    <w:rsid w:val="009C2770"/>
    <w:rsid w:val="009C3F20"/>
    <w:rsid w:val="009C4B2A"/>
    <w:rsid w:val="009C50B5"/>
    <w:rsid w:val="009C668E"/>
    <w:rsid w:val="009D05BE"/>
    <w:rsid w:val="009D0BAB"/>
    <w:rsid w:val="009D0F0F"/>
    <w:rsid w:val="009D12FD"/>
    <w:rsid w:val="009D1BAA"/>
    <w:rsid w:val="009D392E"/>
    <w:rsid w:val="009D460E"/>
    <w:rsid w:val="009D48E3"/>
    <w:rsid w:val="009D4903"/>
    <w:rsid w:val="009D4E8B"/>
    <w:rsid w:val="009D540B"/>
    <w:rsid w:val="009D7344"/>
    <w:rsid w:val="009D79A7"/>
    <w:rsid w:val="009E031A"/>
    <w:rsid w:val="009E07E0"/>
    <w:rsid w:val="009E1B02"/>
    <w:rsid w:val="009E1E8C"/>
    <w:rsid w:val="009E278F"/>
    <w:rsid w:val="009E33BB"/>
    <w:rsid w:val="009E49B4"/>
    <w:rsid w:val="009E4D46"/>
    <w:rsid w:val="009E505F"/>
    <w:rsid w:val="009E54B3"/>
    <w:rsid w:val="009E5A31"/>
    <w:rsid w:val="009E62D9"/>
    <w:rsid w:val="009E6BD5"/>
    <w:rsid w:val="009E7585"/>
    <w:rsid w:val="009E7A65"/>
    <w:rsid w:val="009F0199"/>
    <w:rsid w:val="009F06D5"/>
    <w:rsid w:val="009F0A14"/>
    <w:rsid w:val="009F1030"/>
    <w:rsid w:val="009F2343"/>
    <w:rsid w:val="009F3117"/>
    <w:rsid w:val="009F3266"/>
    <w:rsid w:val="009F4614"/>
    <w:rsid w:val="009F4D5A"/>
    <w:rsid w:val="009F60C7"/>
    <w:rsid w:val="009F64A8"/>
    <w:rsid w:val="009F6643"/>
    <w:rsid w:val="009F6D5B"/>
    <w:rsid w:val="009F7622"/>
    <w:rsid w:val="009F7754"/>
    <w:rsid w:val="00A00D15"/>
    <w:rsid w:val="00A016F1"/>
    <w:rsid w:val="00A01E8E"/>
    <w:rsid w:val="00A02DE6"/>
    <w:rsid w:val="00A03629"/>
    <w:rsid w:val="00A04B01"/>
    <w:rsid w:val="00A0553F"/>
    <w:rsid w:val="00A05859"/>
    <w:rsid w:val="00A0592B"/>
    <w:rsid w:val="00A05CBA"/>
    <w:rsid w:val="00A05CCC"/>
    <w:rsid w:val="00A06562"/>
    <w:rsid w:val="00A0684A"/>
    <w:rsid w:val="00A0691C"/>
    <w:rsid w:val="00A06B52"/>
    <w:rsid w:val="00A06EB1"/>
    <w:rsid w:val="00A07002"/>
    <w:rsid w:val="00A07334"/>
    <w:rsid w:val="00A078C3"/>
    <w:rsid w:val="00A1017F"/>
    <w:rsid w:val="00A106E2"/>
    <w:rsid w:val="00A13A4D"/>
    <w:rsid w:val="00A13B91"/>
    <w:rsid w:val="00A15020"/>
    <w:rsid w:val="00A1570E"/>
    <w:rsid w:val="00A167E0"/>
    <w:rsid w:val="00A178F1"/>
    <w:rsid w:val="00A17BE7"/>
    <w:rsid w:val="00A20207"/>
    <w:rsid w:val="00A22405"/>
    <w:rsid w:val="00A2316A"/>
    <w:rsid w:val="00A2316D"/>
    <w:rsid w:val="00A244BF"/>
    <w:rsid w:val="00A246B3"/>
    <w:rsid w:val="00A252EB"/>
    <w:rsid w:val="00A254A8"/>
    <w:rsid w:val="00A254E5"/>
    <w:rsid w:val="00A272F4"/>
    <w:rsid w:val="00A27E81"/>
    <w:rsid w:val="00A311A8"/>
    <w:rsid w:val="00A311E7"/>
    <w:rsid w:val="00A31DD3"/>
    <w:rsid w:val="00A31EC5"/>
    <w:rsid w:val="00A321F9"/>
    <w:rsid w:val="00A32677"/>
    <w:rsid w:val="00A342F9"/>
    <w:rsid w:val="00A34933"/>
    <w:rsid w:val="00A36EA7"/>
    <w:rsid w:val="00A374BF"/>
    <w:rsid w:val="00A40094"/>
    <w:rsid w:val="00A4128F"/>
    <w:rsid w:val="00A42E0A"/>
    <w:rsid w:val="00A43F99"/>
    <w:rsid w:val="00A4404B"/>
    <w:rsid w:val="00A44B40"/>
    <w:rsid w:val="00A45022"/>
    <w:rsid w:val="00A45393"/>
    <w:rsid w:val="00A4717D"/>
    <w:rsid w:val="00A47338"/>
    <w:rsid w:val="00A479FF"/>
    <w:rsid w:val="00A50012"/>
    <w:rsid w:val="00A506B6"/>
    <w:rsid w:val="00A51891"/>
    <w:rsid w:val="00A54DD1"/>
    <w:rsid w:val="00A55337"/>
    <w:rsid w:val="00A554E7"/>
    <w:rsid w:val="00A55C52"/>
    <w:rsid w:val="00A57ABF"/>
    <w:rsid w:val="00A57AE2"/>
    <w:rsid w:val="00A6335D"/>
    <w:rsid w:val="00A63941"/>
    <w:rsid w:val="00A63F45"/>
    <w:rsid w:val="00A64B5A"/>
    <w:rsid w:val="00A65489"/>
    <w:rsid w:val="00A65FB9"/>
    <w:rsid w:val="00A66087"/>
    <w:rsid w:val="00A66281"/>
    <w:rsid w:val="00A664E5"/>
    <w:rsid w:val="00A679DC"/>
    <w:rsid w:val="00A723FE"/>
    <w:rsid w:val="00A72725"/>
    <w:rsid w:val="00A73FB7"/>
    <w:rsid w:val="00A74366"/>
    <w:rsid w:val="00A74AFB"/>
    <w:rsid w:val="00A75226"/>
    <w:rsid w:val="00A76EEC"/>
    <w:rsid w:val="00A800B3"/>
    <w:rsid w:val="00A80200"/>
    <w:rsid w:val="00A811F4"/>
    <w:rsid w:val="00A81ADA"/>
    <w:rsid w:val="00A824FB"/>
    <w:rsid w:val="00A8267D"/>
    <w:rsid w:val="00A83648"/>
    <w:rsid w:val="00A8499A"/>
    <w:rsid w:val="00A857F5"/>
    <w:rsid w:val="00A863D6"/>
    <w:rsid w:val="00A86C82"/>
    <w:rsid w:val="00A90395"/>
    <w:rsid w:val="00A906DE"/>
    <w:rsid w:val="00A907D7"/>
    <w:rsid w:val="00A91EF0"/>
    <w:rsid w:val="00A9221C"/>
    <w:rsid w:val="00A925B7"/>
    <w:rsid w:val="00A941C6"/>
    <w:rsid w:val="00A94447"/>
    <w:rsid w:val="00A94B6C"/>
    <w:rsid w:val="00A95602"/>
    <w:rsid w:val="00A9590F"/>
    <w:rsid w:val="00A96135"/>
    <w:rsid w:val="00A963F2"/>
    <w:rsid w:val="00A970C6"/>
    <w:rsid w:val="00A9723E"/>
    <w:rsid w:val="00A9738C"/>
    <w:rsid w:val="00AA07CB"/>
    <w:rsid w:val="00AA0997"/>
    <w:rsid w:val="00AA0D0D"/>
    <w:rsid w:val="00AA1D4D"/>
    <w:rsid w:val="00AA24C0"/>
    <w:rsid w:val="00AA3AE3"/>
    <w:rsid w:val="00AA4206"/>
    <w:rsid w:val="00AA51C6"/>
    <w:rsid w:val="00AA56CD"/>
    <w:rsid w:val="00AA5BD2"/>
    <w:rsid w:val="00AA68E4"/>
    <w:rsid w:val="00AA7057"/>
    <w:rsid w:val="00AA7491"/>
    <w:rsid w:val="00AA79A5"/>
    <w:rsid w:val="00AB03D3"/>
    <w:rsid w:val="00AB261F"/>
    <w:rsid w:val="00AB39A8"/>
    <w:rsid w:val="00AB4D63"/>
    <w:rsid w:val="00AB4FDE"/>
    <w:rsid w:val="00AB72CB"/>
    <w:rsid w:val="00AC0BE1"/>
    <w:rsid w:val="00AC0D5C"/>
    <w:rsid w:val="00AC108B"/>
    <w:rsid w:val="00AC2206"/>
    <w:rsid w:val="00AC2CEA"/>
    <w:rsid w:val="00AC548A"/>
    <w:rsid w:val="00AC5FF4"/>
    <w:rsid w:val="00AC625F"/>
    <w:rsid w:val="00AC7861"/>
    <w:rsid w:val="00AD093F"/>
    <w:rsid w:val="00AD27C3"/>
    <w:rsid w:val="00AD3F27"/>
    <w:rsid w:val="00AD5922"/>
    <w:rsid w:val="00AD7697"/>
    <w:rsid w:val="00AE1418"/>
    <w:rsid w:val="00AE3851"/>
    <w:rsid w:val="00AE3C89"/>
    <w:rsid w:val="00AE3CF6"/>
    <w:rsid w:val="00AE4C74"/>
    <w:rsid w:val="00AE4C7D"/>
    <w:rsid w:val="00AE52FC"/>
    <w:rsid w:val="00AE69B6"/>
    <w:rsid w:val="00AF0830"/>
    <w:rsid w:val="00AF1990"/>
    <w:rsid w:val="00AF2060"/>
    <w:rsid w:val="00AF44CE"/>
    <w:rsid w:val="00AF4848"/>
    <w:rsid w:val="00AF5324"/>
    <w:rsid w:val="00AF5C3E"/>
    <w:rsid w:val="00AF64E5"/>
    <w:rsid w:val="00B0288A"/>
    <w:rsid w:val="00B039FD"/>
    <w:rsid w:val="00B03BAE"/>
    <w:rsid w:val="00B04C4C"/>
    <w:rsid w:val="00B0552C"/>
    <w:rsid w:val="00B07850"/>
    <w:rsid w:val="00B109B9"/>
    <w:rsid w:val="00B11A5A"/>
    <w:rsid w:val="00B1273F"/>
    <w:rsid w:val="00B132A8"/>
    <w:rsid w:val="00B13747"/>
    <w:rsid w:val="00B13D8D"/>
    <w:rsid w:val="00B148F3"/>
    <w:rsid w:val="00B15929"/>
    <w:rsid w:val="00B16089"/>
    <w:rsid w:val="00B17638"/>
    <w:rsid w:val="00B17D53"/>
    <w:rsid w:val="00B201FB"/>
    <w:rsid w:val="00B204BD"/>
    <w:rsid w:val="00B2182D"/>
    <w:rsid w:val="00B219AD"/>
    <w:rsid w:val="00B22814"/>
    <w:rsid w:val="00B22FC5"/>
    <w:rsid w:val="00B25CED"/>
    <w:rsid w:val="00B26546"/>
    <w:rsid w:val="00B2680A"/>
    <w:rsid w:val="00B26819"/>
    <w:rsid w:val="00B26A89"/>
    <w:rsid w:val="00B274F6"/>
    <w:rsid w:val="00B31283"/>
    <w:rsid w:val="00B325E2"/>
    <w:rsid w:val="00B338F6"/>
    <w:rsid w:val="00B363A7"/>
    <w:rsid w:val="00B367C8"/>
    <w:rsid w:val="00B36EA6"/>
    <w:rsid w:val="00B374C3"/>
    <w:rsid w:val="00B401D6"/>
    <w:rsid w:val="00B40202"/>
    <w:rsid w:val="00B42F2E"/>
    <w:rsid w:val="00B42F9B"/>
    <w:rsid w:val="00B4348F"/>
    <w:rsid w:val="00B435D2"/>
    <w:rsid w:val="00B43714"/>
    <w:rsid w:val="00B44253"/>
    <w:rsid w:val="00B44414"/>
    <w:rsid w:val="00B45DE6"/>
    <w:rsid w:val="00B46299"/>
    <w:rsid w:val="00B468A2"/>
    <w:rsid w:val="00B473F1"/>
    <w:rsid w:val="00B47504"/>
    <w:rsid w:val="00B476CB"/>
    <w:rsid w:val="00B50115"/>
    <w:rsid w:val="00B50E26"/>
    <w:rsid w:val="00B51B88"/>
    <w:rsid w:val="00B51F39"/>
    <w:rsid w:val="00B5409A"/>
    <w:rsid w:val="00B54199"/>
    <w:rsid w:val="00B54415"/>
    <w:rsid w:val="00B556CD"/>
    <w:rsid w:val="00B558B9"/>
    <w:rsid w:val="00B561EC"/>
    <w:rsid w:val="00B57458"/>
    <w:rsid w:val="00B60644"/>
    <w:rsid w:val="00B627B5"/>
    <w:rsid w:val="00B63250"/>
    <w:rsid w:val="00B63C88"/>
    <w:rsid w:val="00B65731"/>
    <w:rsid w:val="00B65FFF"/>
    <w:rsid w:val="00B66D96"/>
    <w:rsid w:val="00B66FFF"/>
    <w:rsid w:val="00B67284"/>
    <w:rsid w:val="00B70A63"/>
    <w:rsid w:val="00B719EF"/>
    <w:rsid w:val="00B71C70"/>
    <w:rsid w:val="00B71F1B"/>
    <w:rsid w:val="00B72207"/>
    <w:rsid w:val="00B736D7"/>
    <w:rsid w:val="00B7492F"/>
    <w:rsid w:val="00B74CCF"/>
    <w:rsid w:val="00B76446"/>
    <w:rsid w:val="00B774D8"/>
    <w:rsid w:val="00B77BD6"/>
    <w:rsid w:val="00B80405"/>
    <w:rsid w:val="00B8072E"/>
    <w:rsid w:val="00B810EB"/>
    <w:rsid w:val="00B814B8"/>
    <w:rsid w:val="00B837E4"/>
    <w:rsid w:val="00B84A64"/>
    <w:rsid w:val="00B8526A"/>
    <w:rsid w:val="00B85417"/>
    <w:rsid w:val="00B9037E"/>
    <w:rsid w:val="00B906F8"/>
    <w:rsid w:val="00B90720"/>
    <w:rsid w:val="00B911A3"/>
    <w:rsid w:val="00B91A71"/>
    <w:rsid w:val="00B9224E"/>
    <w:rsid w:val="00B92509"/>
    <w:rsid w:val="00B947D9"/>
    <w:rsid w:val="00B95082"/>
    <w:rsid w:val="00B9553B"/>
    <w:rsid w:val="00B96BBD"/>
    <w:rsid w:val="00B96E16"/>
    <w:rsid w:val="00B96EB7"/>
    <w:rsid w:val="00B97C1C"/>
    <w:rsid w:val="00BA0839"/>
    <w:rsid w:val="00BA12D9"/>
    <w:rsid w:val="00BA2F40"/>
    <w:rsid w:val="00BA3024"/>
    <w:rsid w:val="00BA389E"/>
    <w:rsid w:val="00BA3D83"/>
    <w:rsid w:val="00BA41C2"/>
    <w:rsid w:val="00BA6E9E"/>
    <w:rsid w:val="00BA73D4"/>
    <w:rsid w:val="00BB0E19"/>
    <w:rsid w:val="00BB1302"/>
    <w:rsid w:val="00BB19A8"/>
    <w:rsid w:val="00BB21F1"/>
    <w:rsid w:val="00BB3597"/>
    <w:rsid w:val="00BC0ADA"/>
    <w:rsid w:val="00BC0AFC"/>
    <w:rsid w:val="00BC0BB9"/>
    <w:rsid w:val="00BC18CB"/>
    <w:rsid w:val="00BC291C"/>
    <w:rsid w:val="00BC414E"/>
    <w:rsid w:val="00BC4870"/>
    <w:rsid w:val="00BC57F5"/>
    <w:rsid w:val="00BC5C38"/>
    <w:rsid w:val="00BC613E"/>
    <w:rsid w:val="00BC6588"/>
    <w:rsid w:val="00BC6A40"/>
    <w:rsid w:val="00BC7199"/>
    <w:rsid w:val="00BC7C0B"/>
    <w:rsid w:val="00BC7E25"/>
    <w:rsid w:val="00BD05EF"/>
    <w:rsid w:val="00BD29FF"/>
    <w:rsid w:val="00BD4670"/>
    <w:rsid w:val="00BD4757"/>
    <w:rsid w:val="00BD4788"/>
    <w:rsid w:val="00BD4A48"/>
    <w:rsid w:val="00BD4B71"/>
    <w:rsid w:val="00BD736F"/>
    <w:rsid w:val="00BD7946"/>
    <w:rsid w:val="00BE0BD6"/>
    <w:rsid w:val="00BE12C3"/>
    <w:rsid w:val="00BE166B"/>
    <w:rsid w:val="00BE1FB9"/>
    <w:rsid w:val="00BE2E7C"/>
    <w:rsid w:val="00BE3705"/>
    <w:rsid w:val="00BE3DCD"/>
    <w:rsid w:val="00BE42A0"/>
    <w:rsid w:val="00BE46ED"/>
    <w:rsid w:val="00BE6EE7"/>
    <w:rsid w:val="00BE7F31"/>
    <w:rsid w:val="00BF2653"/>
    <w:rsid w:val="00BF47C4"/>
    <w:rsid w:val="00BF4C57"/>
    <w:rsid w:val="00BF5DA7"/>
    <w:rsid w:val="00BF60C6"/>
    <w:rsid w:val="00BF6BF7"/>
    <w:rsid w:val="00BF7879"/>
    <w:rsid w:val="00BF7C9F"/>
    <w:rsid w:val="00C02881"/>
    <w:rsid w:val="00C03504"/>
    <w:rsid w:val="00C03AB6"/>
    <w:rsid w:val="00C03C2A"/>
    <w:rsid w:val="00C07581"/>
    <w:rsid w:val="00C10176"/>
    <w:rsid w:val="00C10DA2"/>
    <w:rsid w:val="00C114D5"/>
    <w:rsid w:val="00C11BE4"/>
    <w:rsid w:val="00C127F4"/>
    <w:rsid w:val="00C12E5A"/>
    <w:rsid w:val="00C13C4D"/>
    <w:rsid w:val="00C144B5"/>
    <w:rsid w:val="00C17319"/>
    <w:rsid w:val="00C175FE"/>
    <w:rsid w:val="00C20FC2"/>
    <w:rsid w:val="00C2131B"/>
    <w:rsid w:val="00C229F7"/>
    <w:rsid w:val="00C22A1C"/>
    <w:rsid w:val="00C22E89"/>
    <w:rsid w:val="00C23AC7"/>
    <w:rsid w:val="00C24534"/>
    <w:rsid w:val="00C2515D"/>
    <w:rsid w:val="00C25EAE"/>
    <w:rsid w:val="00C26015"/>
    <w:rsid w:val="00C26C9D"/>
    <w:rsid w:val="00C27220"/>
    <w:rsid w:val="00C27AFC"/>
    <w:rsid w:val="00C30C36"/>
    <w:rsid w:val="00C31258"/>
    <w:rsid w:val="00C32AA0"/>
    <w:rsid w:val="00C33335"/>
    <w:rsid w:val="00C3343E"/>
    <w:rsid w:val="00C3487C"/>
    <w:rsid w:val="00C34FD3"/>
    <w:rsid w:val="00C352AA"/>
    <w:rsid w:val="00C35EB2"/>
    <w:rsid w:val="00C37307"/>
    <w:rsid w:val="00C37332"/>
    <w:rsid w:val="00C40A4A"/>
    <w:rsid w:val="00C41A98"/>
    <w:rsid w:val="00C445AE"/>
    <w:rsid w:val="00C44B3E"/>
    <w:rsid w:val="00C45322"/>
    <w:rsid w:val="00C463F9"/>
    <w:rsid w:val="00C47C26"/>
    <w:rsid w:val="00C50567"/>
    <w:rsid w:val="00C505B2"/>
    <w:rsid w:val="00C50D57"/>
    <w:rsid w:val="00C52C8C"/>
    <w:rsid w:val="00C52ECE"/>
    <w:rsid w:val="00C53232"/>
    <w:rsid w:val="00C53257"/>
    <w:rsid w:val="00C55103"/>
    <w:rsid w:val="00C55271"/>
    <w:rsid w:val="00C55A4C"/>
    <w:rsid w:val="00C560ED"/>
    <w:rsid w:val="00C573A9"/>
    <w:rsid w:val="00C61151"/>
    <w:rsid w:val="00C61BBB"/>
    <w:rsid w:val="00C61FEE"/>
    <w:rsid w:val="00C6216D"/>
    <w:rsid w:val="00C62943"/>
    <w:rsid w:val="00C633D1"/>
    <w:rsid w:val="00C63FCE"/>
    <w:rsid w:val="00C645BC"/>
    <w:rsid w:val="00C650FE"/>
    <w:rsid w:val="00C6625C"/>
    <w:rsid w:val="00C666FC"/>
    <w:rsid w:val="00C70C71"/>
    <w:rsid w:val="00C71A10"/>
    <w:rsid w:val="00C71B13"/>
    <w:rsid w:val="00C72761"/>
    <w:rsid w:val="00C737EF"/>
    <w:rsid w:val="00C7582B"/>
    <w:rsid w:val="00C75FE0"/>
    <w:rsid w:val="00C760AF"/>
    <w:rsid w:val="00C76A72"/>
    <w:rsid w:val="00C81822"/>
    <w:rsid w:val="00C82B80"/>
    <w:rsid w:val="00C84795"/>
    <w:rsid w:val="00C848E2"/>
    <w:rsid w:val="00C858E4"/>
    <w:rsid w:val="00C85981"/>
    <w:rsid w:val="00C86F9B"/>
    <w:rsid w:val="00C87A7A"/>
    <w:rsid w:val="00C937F1"/>
    <w:rsid w:val="00C957BA"/>
    <w:rsid w:val="00C957D1"/>
    <w:rsid w:val="00C959A0"/>
    <w:rsid w:val="00C95D4F"/>
    <w:rsid w:val="00C96139"/>
    <w:rsid w:val="00C9614E"/>
    <w:rsid w:val="00C9698E"/>
    <w:rsid w:val="00CA1BC2"/>
    <w:rsid w:val="00CA22B2"/>
    <w:rsid w:val="00CA2806"/>
    <w:rsid w:val="00CA38AD"/>
    <w:rsid w:val="00CA3CB6"/>
    <w:rsid w:val="00CA434B"/>
    <w:rsid w:val="00CA58AD"/>
    <w:rsid w:val="00CA58E0"/>
    <w:rsid w:val="00CA682B"/>
    <w:rsid w:val="00CA71D9"/>
    <w:rsid w:val="00CA788C"/>
    <w:rsid w:val="00CB0258"/>
    <w:rsid w:val="00CB13AB"/>
    <w:rsid w:val="00CB1CD8"/>
    <w:rsid w:val="00CB2947"/>
    <w:rsid w:val="00CB320B"/>
    <w:rsid w:val="00CB3AD8"/>
    <w:rsid w:val="00CB42AC"/>
    <w:rsid w:val="00CB5AB5"/>
    <w:rsid w:val="00CB68E2"/>
    <w:rsid w:val="00CB6ECF"/>
    <w:rsid w:val="00CC17C7"/>
    <w:rsid w:val="00CC1C5C"/>
    <w:rsid w:val="00CC1F54"/>
    <w:rsid w:val="00CC232E"/>
    <w:rsid w:val="00CC2AA3"/>
    <w:rsid w:val="00CC3256"/>
    <w:rsid w:val="00CC4E7C"/>
    <w:rsid w:val="00CC5511"/>
    <w:rsid w:val="00CC6F48"/>
    <w:rsid w:val="00CC76CD"/>
    <w:rsid w:val="00CD206F"/>
    <w:rsid w:val="00CD24A5"/>
    <w:rsid w:val="00CD25ED"/>
    <w:rsid w:val="00CD2D4C"/>
    <w:rsid w:val="00CD3403"/>
    <w:rsid w:val="00CD3438"/>
    <w:rsid w:val="00CD446B"/>
    <w:rsid w:val="00CD5488"/>
    <w:rsid w:val="00CD6AF5"/>
    <w:rsid w:val="00CE04FD"/>
    <w:rsid w:val="00CE0EB8"/>
    <w:rsid w:val="00CE3F60"/>
    <w:rsid w:val="00CE43F9"/>
    <w:rsid w:val="00CE6349"/>
    <w:rsid w:val="00CE6E98"/>
    <w:rsid w:val="00CE71FA"/>
    <w:rsid w:val="00CF0E4A"/>
    <w:rsid w:val="00CF1289"/>
    <w:rsid w:val="00CF14A3"/>
    <w:rsid w:val="00CF15AA"/>
    <w:rsid w:val="00CF2150"/>
    <w:rsid w:val="00CF2B2A"/>
    <w:rsid w:val="00CF3D01"/>
    <w:rsid w:val="00CF4369"/>
    <w:rsid w:val="00CF5F1A"/>
    <w:rsid w:val="00CF6D6E"/>
    <w:rsid w:val="00CF70C3"/>
    <w:rsid w:val="00CF72FC"/>
    <w:rsid w:val="00CF7C4A"/>
    <w:rsid w:val="00CF7F00"/>
    <w:rsid w:val="00D013C1"/>
    <w:rsid w:val="00D0162B"/>
    <w:rsid w:val="00D0193F"/>
    <w:rsid w:val="00D0691F"/>
    <w:rsid w:val="00D07904"/>
    <w:rsid w:val="00D07CD0"/>
    <w:rsid w:val="00D11001"/>
    <w:rsid w:val="00D1161F"/>
    <w:rsid w:val="00D1258C"/>
    <w:rsid w:val="00D126AD"/>
    <w:rsid w:val="00D156A8"/>
    <w:rsid w:val="00D156D1"/>
    <w:rsid w:val="00D1604B"/>
    <w:rsid w:val="00D16337"/>
    <w:rsid w:val="00D166C8"/>
    <w:rsid w:val="00D1697D"/>
    <w:rsid w:val="00D16C1B"/>
    <w:rsid w:val="00D17758"/>
    <w:rsid w:val="00D17846"/>
    <w:rsid w:val="00D20400"/>
    <w:rsid w:val="00D20510"/>
    <w:rsid w:val="00D20565"/>
    <w:rsid w:val="00D207D1"/>
    <w:rsid w:val="00D21997"/>
    <w:rsid w:val="00D21B6C"/>
    <w:rsid w:val="00D22EEA"/>
    <w:rsid w:val="00D23910"/>
    <w:rsid w:val="00D2563A"/>
    <w:rsid w:val="00D260C5"/>
    <w:rsid w:val="00D278B1"/>
    <w:rsid w:val="00D27EB7"/>
    <w:rsid w:val="00D310F4"/>
    <w:rsid w:val="00D3156A"/>
    <w:rsid w:val="00D326F2"/>
    <w:rsid w:val="00D330E3"/>
    <w:rsid w:val="00D346C8"/>
    <w:rsid w:val="00D42017"/>
    <w:rsid w:val="00D42CE9"/>
    <w:rsid w:val="00D432AE"/>
    <w:rsid w:val="00D45F2F"/>
    <w:rsid w:val="00D46904"/>
    <w:rsid w:val="00D4791C"/>
    <w:rsid w:val="00D50951"/>
    <w:rsid w:val="00D52563"/>
    <w:rsid w:val="00D537FC"/>
    <w:rsid w:val="00D5425F"/>
    <w:rsid w:val="00D55314"/>
    <w:rsid w:val="00D55559"/>
    <w:rsid w:val="00D55786"/>
    <w:rsid w:val="00D56F15"/>
    <w:rsid w:val="00D604E7"/>
    <w:rsid w:val="00D62B0B"/>
    <w:rsid w:val="00D63807"/>
    <w:rsid w:val="00D6462E"/>
    <w:rsid w:val="00D64653"/>
    <w:rsid w:val="00D648FC"/>
    <w:rsid w:val="00D649F3"/>
    <w:rsid w:val="00D64C0A"/>
    <w:rsid w:val="00D660CD"/>
    <w:rsid w:val="00D66886"/>
    <w:rsid w:val="00D66BC9"/>
    <w:rsid w:val="00D66ED8"/>
    <w:rsid w:val="00D7101B"/>
    <w:rsid w:val="00D725DB"/>
    <w:rsid w:val="00D73B3D"/>
    <w:rsid w:val="00D73EF7"/>
    <w:rsid w:val="00D75372"/>
    <w:rsid w:val="00D75A07"/>
    <w:rsid w:val="00D75C52"/>
    <w:rsid w:val="00D75C84"/>
    <w:rsid w:val="00D77C20"/>
    <w:rsid w:val="00D806C3"/>
    <w:rsid w:val="00D80C25"/>
    <w:rsid w:val="00D80C8F"/>
    <w:rsid w:val="00D80C9A"/>
    <w:rsid w:val="00D80D1A"/>
    <w:rsid w:val="00D8173C"/>
    <w:rsid w:val="00D82ED0"/>
    <w:rsid w:val="00D84986"/>
    <w:rsid w:val="00D85179"/>
    <w:rsid w:val="00D866E1"/>
    <w:rsid w:val="00D90912"/>
    <w:rsid w:val="00D90BC8"/>
    <w:rsid w:val="00D91868"/>
    <w:rsid w:val="00D919F9"/>
    <w:rsid w:val="00D92187"/>
    <w:rsid w:val="00D931F5"/>
    <w:rsid w:val="00D948BB"/>
    <w:rsid w:val="00D94CBF"/>
    <w:rsid w:val="00D9588A"/>
    <w:rsid w:val="00D96A01"/>
    <w:rsid w:val="00D97A32"/>
    <w:rsid w:val="00D97A7E"/>
    <w:rsid w:val="00DA0860"/>
    <w:rsid w:val="00DA1037"/>
    <w:rsid w:val="00DA13C2"/>
    <w:rsid w:val="00DA1932"/>
    <w:rsid w:val="00DA1FDF"/>
    <w:rsid w:val="00DA2732"/>
    <w:rsid w:val="00DA2855"/>
    <w:rsid w:val="00DA3337"/>
    <w:rsid w:val="00DA4422"/>
    <w:rsid w:val="00DA586D"/>
    <w:rsid w:val="00DA63ED"/>
    <w:rsid w:val="00DA6693"/>
    <w:rsid w:val="00DA7760"/>
    <w:rsid w:val="00DB0833"/>
    <w:rsid w:val="00DB1A7E"/>
    <w:rsid w:val="00DB297B"/>
    <w:rsid w:val="00DB3746"/>
    <w:rsid w:val="00DB4F3F"/>
    <w:rsid w:val="00DB5006"/>
    <w:rsid w:val="00DB5891"/>
    <w:rsid w:val="00DB5D64"/>
    <w:rsid w:val="00DB65C0"/>
    <w:rsid w:val="00DB69D9"/>
    <w:rsid w:val="00DB6A95"/>
    <w:rsid w:val="00DB6FF9"/>
    <w:rsid w:val="00DB7DD5"/>
    <w:rsid w:val="00DC0061"/>
    <w:rsid w:val="00DC05E5"/>
    <w:rsid w:val="00DC1358"/>
    <w:rsid w:val="00DC22D5"/>
    <w:rsid w:val="00DC2DDB"/>
    <w:rsid w:val="00DC32B2"/>
    <w:rsid w:val="00DC404C"/>
    <w:rsid w:val="00DC462A"/>
    <w:rsid w:val="00DC46D1"/>
    <w:rsid w:val="00DC52F0"/>
    <w:rsid w:val="00DC55F5"/>
    <w:rsid w:val="00DC67CD"/>
    <w:rsid w:val="00DD04B4"/>
    <w:rsid w:val="00DD134E"/>
    <w:rsid w:val="00DD19F3"/>
    <w:rsid w:val="00DD1EA2"/>
    <w:rsid w:val="00DD38BF"/>
    <w:rsid w:val="00DD3F08"/>
    <w:rsid w:val="00DD3F41"/>
    <w:rsid w:val="00DD50F7"/>
    <w:rsid w:val="00DD55F2"/>
    <w:rsid w:val="00DD5829"/>
    <w:rsid w:val="00DD6C24"/>
    <w:rsid w:val="00DD7A5D"/>
    <w:rsid w:val="00DD7A97"/>
    <w:rsid w:val="00DE01BB"/>
    <w:rsid w:val="00DE0915"/>
    <w:rsid w:val="00DE265C"/>
    <w:rsid w:val="00DE2BBB"/>
    <w:rsid w:val="00DE47A8"/>
    <w:rsid w:val="00DE5F25"/>
    <w:rsid w:val="00DE66FA"/>
    <w:rsid w:val="00DE7E19"/>
    <w:rsid w:val="00DF096B"/>
    <w:rsid w:val="00DF0B38"/>
    <w:rsid w:val="00DF11FC"/>
    <w:rsid w:val="00DF19C7"/>
    <w:rsid w:val="00DF251F"/>
    <w:rsid w:val="00DF360C"/>
    <w:rsid w:val="00DF44F3"/>
    <w:rsid w:val="00DF4E45"/>
    <w:rsid w:val="00DF6FB3"/>
    <w:rsid w:val="00DF758E"/>
    <w:rsid w:val="00E00AA7"/>
    <w:rsid w:val="00E013A9"/>
    <w:rsid w:val="00E01A94"/>
    <w:rsid w:val="00E03302"/>
    <w:rsid w:val="00E0378E"/>
    <w:rsid w:val="00E05EFE"/>
    <w:rsid w:val="00E06B7B"/>
    <w:rsid w:val="00E1076C"/>
    <w:rsid w:val="00E1089D"/>
    <w:rsid w:val="00E10D9C"/>
    <w:rsid w:val="00E10E68"/>
    <w:rsid w:val="00E11DA8"/>
    <w:rsid w:val="00E11FE5"/>
    <w:rsid w:val="00E12A43"/>
    <w:rsid w:val="00E15279"/>
    <w:rsid w:val="00E1533E"/>
    <w:rsid w:val="00E15EDA"/>
    <w:rsid w:val="00E16A4C"/>
    <w:rsid w:val="00E17362"/>
    <w:rsid w:val="00E177C5"/>
    <w:rsid w:val="00E20FE8"/>
    <w:rsid w:val="00E21686"/>
    <w:rsid w:val="00E2170B"/>
    <w:rsid w:val="00E221C3"/>
    <w:rsid w:val="00E224B7"/>
    <w:rsid w:val="00E228F4"/>
    <w:rsid w:val="00E23A4E"/>
    <w:rsid w:val="00E23A62"/>
    <w:rsid w:val="00E23D44"/>
    <w:rsid w:val="00E24F6B"/>
    <w:rsid w:val="00E24F76"/>
    <w:rsid w:val="00E25FA4"/>
    <w:rsid w:val="00E26043"/>
    <w:rsid w:val="00E2635A"/>
    <w:rsid w:val="00E26381"/>
    <w:rsid w:val="00E278DD"/>
    <w:rsid w:val="00E310F5"/>
    <w:rsid w:val="00E31882"/>
    <w:rsid w:val="00E32046"/>
    <w:rsid w:val="00E32B2C"/>
    <w:rsid w:val="00E32D20"/>
    <w:rsid w:val="00E33FE4"/>
    <w:rsid w:val="00E34E4E"/>
    <w:rsid w:val="00E36F42"/>
    <w:rsid w:val="00E37CB4"/>
    <w:rsid w:val="00E4064B"/>
    <w:rsid w:val="00E408C2"/>
    <w:rsid w:val="00E41198"/>
    <w:rsid w:val="00E41E24"/>
    <w:rsid w:val="00E421F9"/>
    <w:rsid w:val="00E434A5"/>
    <w:rsid w:val="00E445AF"/>
    <w:rsid w:val="00E44675"/>
    <w:rsid w:val="00E459EA"/>
    <w:rsid w:val="00E467DE"/>
    <w:rsid w:val="00E468B6"/>
    <w:rsid w:val="00E46BF0"/>
    <w:rsid w:val="00E46DD5"/>
    <w:rsid w:val="00E478E0"/>
    <w:rsid w:val="00E479E5"/>
    <w:rsid w:val="00E47B89"/>
    <w:rsid w:val="00E47BD3"/>
    <w:rsid w:val="00E50F58"/>
    <w:rsid w:val="00E51F6C"/>
    <w:rsid w:val="00E52740"/>
    <w:rsid w:val="00E52FE1"/>
    <w:rsid w:val="00E55DEA"/>
    <w:rsid w:val="00E564EA"/>
    <w:rsid w:val="00E56B4B"/>
    <w:rsid w:val="00E57260"/>
    <w:rsid w:val="00E57EDA"/>
    <w:rsid w:val="00E6029C"/>
    <w:rsid w:val="00E60987"/>
    <w:rsid w:val="00E611A1"/>
    <w:rsid w:val="00E62143"/>
    <w:rsid w:val="00E62483"/>
    <w:rsid w:val="00E62BB6"/>
    <w:rsid w:val="00E63403"/>
    <w:rsid w:val="00E63D4C"/>
    <w:rsid w:val="00E64E5D"/>
    <w:rsid w:val="00E65013"/>
    <w:rsid w:val="00E660E0"/>
    <w:rsid w:val="00E66BA7"/>
    <w:rsid w:val="00E67B5C"/>
    <w:rsid w:val="00E714D7"/>
    <w:rsid w:val="00E71B42"/>
    <w:rsid w:val="00E72480"/>
    <w:rsid w:val="00E74E2B"/>
    <w:rsid w:val="00E75270"/>
    <w:rsid w:val="00E75F6F"/>
    <w:rsid w:val="00E766CA"/>
    <w:rsid w:val="00E76A9E"/>
    <w:rsid w:val="00E80482"/>
    <w:rsid w:val="00E811E0"/>
    <w:rsid w:val="00E81A74"/>
    <w:rsid w:val="00E81D92"/>
    <w:rsid w:val="00E82351"/>
    <w:rsid w:val="00E82C53"/>
    <w:rsid w:val="00E83019"/>
    <w:rsid w:val="00E845A9"/>
    <w:rsid w:val="00E84705"/>
    <w:rsid w:val="00E84EC9"/>
    <w:rsid w:val="00E85646"/>
    <w:rsid w:val="00E86B24"/>
    <w:rsid w:val="00E8780C"/>
    <w:rsid w:val="00E8794D"/>
    <w:rsid w:val="00E907CE"/>
    <w:rsid w:val="00E919F3"/>
    <w:rsid w:val="00E928B4"/>
    <w:rsid w:val="00E93C61"/>
    <w:rsid w:val="00E93F14"/>
    <w:rsid w:val="00E949FC"/>
    <w:rsid w:val="00E951BA"/>
    <w:rsid w:val="00E95BEC"/>
    <w:rsid w:val="00E96DA4"/>
    <w:rsid w:val="00E97918"/>
    <w:rsid w:val="00EA0157"/>
    <w:rsid w:val="00EA0E5B"/>
    <w:rsid w:val="00EA28DD"/>
    <w:rsid w:val="00EA2BEF"/>
    <w:rsid w:val="00EA398D"/>
    <w:rsid w:val="00EA41E5"/>
    <w:rsid w:val="00EA4CF4"/>
    <w:rsid w:val="00EA60D0"/>
    <w:rsid w:val="00EA77D5"/>
    <w:rsid w:val="00EB04F9"/>
    <w:rsid w:val="00EB07B4"/>
    <w:rsid w:val="00EB1688"/>
    <w:rsid w:val="00EB320E"/>
    <w:rsid w:val="00EB3876"/>
    <w:rsid w:val="00EB3A0B"/>
    <w:rsid w:val="00EB506E"/>
    <w:rsid w:val="00EB50F2"/>
    <w:rsid w:val="00EB5D64"/>
    <w:rsid w:val="00EB6B89"/>
    <w:rsid w:val="00EB7523"/>
    <w:rsid w:val="00EB7DD7"/>
    <w:rsid w:val="00EC57B9"/>
    <w:rsid w:val="00EC6AE4"/>
    <w:rsid w:val="00ED5A68"/>
    <w:rsid w:val="00EE058F"/>
    <w:rsid w:val="00EE255C"/>
    <w:rsid w:val="00EE276E"/>
    <w:rsid w:val="00EE2FDA"/>
    <w:rsid w:val="00EE3814"/>
    <w:rsid w:val="00EE4BB7"/>
    <w:rsid w:val="00EE4D92"/>
    <w:rsid w:val="00EE58C9"/>
    <w:rsid w:val="00EE62FB"/>
    <w:rsid w:val="00EE6875"/>
    <w:rsid w:val="00EE734B"/>
    <w:rsid w:val="00EE7670"/>
    <w:rsid w:val="00EE7CE8"/>
    <w:rsid w:val="00EF00C4"/>
    <w:rsid w:val="00EF0F14"/>
    <w:rsid w:val="00EF2448"/>
    <w:rsid w:val="00EF2A00"/>
    <w:rsid w:val="00EF350C"/>
    <w:rsid w:val="00EF35EA"/>
    <w:rsid w:val="00EF52F2"/>
    <w:rsid w:val="00EF5338"/>
    <w:rsid w:val="00EF57BD"/>
    <w:rsid w:val="00EF66C6"/>
    <w:rsid w:val="00EF6766"/>
    <w:rsid w:val="00EF698D"/>
    <w:rsid w:val="00EF79C4"/>
    <w:rsid w:val="00F02348"/>
    <w:rsid w:val="00F041CE"/>
    <w:rsid w:val="00F05146"/>
    <w:rsid w:val="00F05CE2"/>
    <w:rsid w:val="00F06574"/>
    <w:rsid w:val="00F06A3B"/>
    <w:rsid w:val="00F06E7A"/>
    <w:rsid w:val="00F06F79"/>
    <w:rsid w:val="00F072A0"/>
    <w:rsid w:val="00F1034A"/>
    <w:rsid w:val="00F103F4"/>
    <w:rsid w:val="00F134E6"/>
    <w:rsid w:val="00F145FB"/>
    <w:rsid w:val="00F14A24"/>
    <w:rsid w:val="00F165C1"/>
    <w:rsid w:val="00F17044"/>
    <w:rsid w:val="00F17230"/>
    <w:rsid w:val="00F17953"/>
    <w:rsid w:val="00F203FC"/>
    <w:rsid w:val="00F2196E"/>
    <w:rsid w:val="00F227E7"/>
    <w:rsid w:val="00F22D79"/>
    <w:rsid w:val="00F23F79"/>
    <w:rsid w:val="00F242BD"/>
    <w:rsid w:val="00F24883"/>
    <w:rsid w:val="00F25222"/>
    <w:rsid w:val="00F2648B"/>
    <w:rsid w:val="00F26A80"/>
    <w:rsid w:val="00F27185"/>
    <w:rsid w:val="00F27192"/>
    <w:rsid w:val="00F2781B"/>
    <w:rsid w:val="00F305BD"/>
    <w:rsid w:val="00F30EF4"/>
    <w:rsid w:val="00F31146"/>
    <w:rsid w:val="00F312E5"/>
    <w:rsid w:val="00F314AC"/>
    <w:rsid w:val="00F318E9"/>
    <w:rsid w:val="00F34FE5"/>
    <w:rsid w:val="00F35598"/>
    <w:rsid w:val="00F35A10"/>
    <w:rsid w:val="00F367F3"/>
    <w:rsid w:val="00F368CB"/>
    <w:rsid w:val="00F3758F"/>
    <w:rsid w:val="00F37BEF"/>
    <w:rsid w:val="00F37D07"/>
    <w:rsid w:val="00F410EB"/>
    <w:rsid w:val="00F4127A"/>
    <w:rsid w:val="00F47149"/>
    <w:rsid w:val="00F473A2"/>
    <w:rsid w:val="00F500B1"/>
    <w:rsid w:val="00F500C3"/>
    <w:rsid w:val="00F509BA"/>
    <w:rsid w:val="00F509EA"/>
    <w:rsid w:val="00F511B0"/>
    <w:rsid w:val="00F5172D"/>
    <w:rsid w:val="00F51E15"/>
    <w:rsid w:val="00F52FA8"/>
    <w:rsid w:val="00F53BF0"/>
    <w:rsid w:val="00F53F31"/>
    <w:rsid w:val="00F55162"/>
    <w:rsid w:val="00F5578F"/>
    <w:rsid w:val="00F56188"/>
    <w:rsid w:val="00F564C9"/>
    <w:rsid w:val="00F56BB7"/>
    <w:rsid w:val="00F56BDF"/>
    <w:rsid w:val="00F56D2E"/>
    <w:rsid w:val="00F56F23"/>
    <w:rsid w:val="00F57B74"/>
    <w:rsid w:val="00F6052C"/>
    <w:rsid w:val="00F60B83"/>
    <w:rsid w:val="00F60D01"/>
    <w:rsid w:val="00F63353"/>
    <w:rsid w:val="00F63782"/>
    <w:rsid w:val="00F65DB4"/>
    <w:rsid w:val="00F6655F"/>
    <w:rsid w:val="00F66764"/>
    <w:rsid w:val="00F6698F"/>
    <w:rsid w:val="00F67119"/>
    <w:rsid w:val="00F6781E"/>
    <w:rsid w:val="00F7050A"/>
    <w:rsid w:val="00F705E4"/>
    <w:rsid w:val="00F7122C"/>
    <w:rsid w:val="00F7221A"/>
    <w:rsid w:val="00F72BEE"/>
    <w:rsid w:val="00F72D8C"/>
    <w:rsid w:val="00F73B24"/>
    <w:rsid w:val="00F76443"/>
    <w:rsid w:val="00F766E0"/>
    <w:rsid w:val="00F768C9"/>
    <w:rsid w:val="00F76C86"/>
    <w:rsid w:val="00F8018D"/>
    <w:rsid w:val="00F80288"/>
    <w:rsid w:val="00F80AC9"/>
    <w:rsid w:val="00F81143"/>
    <w:rsid w:val="00F81A66"/>
    <w:rsid w:val="00F81FE6"/>
    <w:rsid w:val="00F83DE8"/>
    <w:rsid w:val="00F8498A"/>
    <w:rsid w:val="00F854E6"/>
    <w:rsid w:val="00F86C96"/>
    <w:rsid w:val="00F879A2"/>
    <w:rsid w:val="00F87CCB"/>
    <w:rsid w:val="00F91A46"/>
    <w:rsid w:val="00F92D3B"/>
    <w:rsid w:val="00F948DF"/>
    <w:rsid w:val="00F94910"/>
    <w:rsid w:val="00F95961"/>
    <w:rsid w:val="00F96D7C"/>
    <w:rsid w:val="00F96E56"/>
    <w:rsid w:val="00FA00FF"/>
    <w:rsid w:val="00FA09AB"/>
    <w:rsid w:val="00FA1681"/>
    <w:rsid w:val="00FA1DAF"/>
    <w:rsid w:val="00FA1E9A"/>
    <w:rsid w:val="00FA29D4"/>
    <w:rsid w:val="00FA2B90"/>
    <w:rsid w:val="00FA340C"/>
    <w:rsid w:val="00FA35D7"/>
    <w:rsid w:val="00FA3FF2"/>
    <w:rsid w:val="00FA4076"/>
    <w:rsid w:val="00FA4411"/>
    <w:rsid w:val="00FA460B"/>
    <w:rsid w:val="00FA481C"/>
    <w:rsid w:val="00FA7069"/>
    <w:rsid w:val="00FA7A5A"/>
    <w:rsid w:val="00FA7A5B"/>
    <w:rsid w:val="00FA7ADD"/>
    <w:rsid w:val="00FB0C14"/>
    <w:rsid w:val="00FB10B4"/>
    <w:rsid w:val="00FB38DD"/>
    <w:rsid w:val="00FB3EF9"/>
    <w:rsid w:val="00FB47A6"/>
    <w:rsid w:val="00FB4A0E"/>
    <w:rsid w:val="00FB4DB4"/>
    <w:rsid w:val="00FB52CE"/>
    <w:rsid w:val="00FB5539"/>
    <w:rsid w:val="00FB5668"/>
    <w:rsid w:val="00FB5B44"/>
    <w:rsid w:val="00FB5F46"/>
    <w:rsid w:val="00FB7780"/>
    <w:rsid w:val="00FB7BF4"/>
    <w:rsid w:val="00FC0411"/>
    <w:rsid w:val="00FC1DE3"/>
    <w:rsid w:val="00FC26F0"/>
    <w:rsid w:val="00FC2E69"/>
    <w:rsid w:val="00FC43B8"/>
    <w:rsid w:val="00FC52A9"/>
    <w:rsid w:val="00FC5641"/>
    <w:rsid w:val="00FC5B27"/>
    <w:rsid w:val="00FC65AF"/>
    <w:rsid w:val="00FC79AE"/>
    <w:rsid w:val="00FD0365"/>
    <w:rsid w:val="00FD0A93"/>
    <w:rsid w:val="00FD3848"/>
    <w:rsid w:val="00FD3D2C"/>
    <w:rsid w:val="00FD5879"/>
    <w:rsid w:val="00FD64E3"/>
    <w:rsid w:val="00FD6C74"/>
    <w:rsid w:val="00FD798B"/>
    <w:rsid w:val="00FE0444"/>
    <w:rsid w:val="00FE0B8F"/>
    <w:rsid w:val="00FE16DE"/>
    <w:rsid w:val="00FE1CFC"/>
    <w:rsid w:val="00FE2090"/>
    <w:rsid w:val="00FE3ECB"/>
    <w:rsid w:val="00FE64A1"/>
    <w:rsid w:val="00FE6D0E"/>
    <w:rsid w:val="00FE7AFB"/>
    <w:rsid w:val="00FF007C"/>
    <w:rsid w:val="00FF101A"/>
    <w:rsid w:val="00FF171F"/>
    <w:rsid w:val="00FF2335"/>
    <w:rsid w:val="00FF2356"/>
    <w:rsid w:val="00FF24F8"/>
    <w:rsid w:val="00FF3079"/>
    <w:rsid w:val="00FF31A5"/>
    <w:rsid w:val="00FF32C5"/>
    <w:rsid w:val="00FF3D10"/>
    <w:rsid w:val="00FF461B"/>
    <w:rsid w:val="00FF4EC6"/>
    <w:rsid w:val="00FF5052"/>
    <w:rsid w:val="15F51D57"/>
    <w:rsid w:val="58A505CA"/>
    <w:rsid w:val="6BF83F37"/>
    <w:rsid w:val="76F955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qFormat="1" w:uiPriority="99" w:name="Body Text Indent"/>
    <w:lsdException w:uiPriority="99" w:name="List Continue"/>
    <w:lsdException w:uiPriority="99" w:name="List Continue 2"/>
    <w:lsdException w:qFormat="1"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iPriority="99" w:name="Body Text Indent 2"/>
    <w:lsdException w:qFormat="1"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nhideWhenUsed="0" w:uiPriority="0"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2"/>
    <w:basedOn w:val="1"/>
    <w:next w:val="1"/>
    <w:link w:val="4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45"/>
    <w:unhideWhenUsed/>
    <w:qFormat/>
    <w:uiPriority w:val="0"/>
    <w:pPr>
      <w:keepNext/>
      <w:keepLines/>
      <w:spacing w:before="260" w:after="260" w:line="416" w:lineRule="auto"/>
      <w:outlineLvl w:val="2"/>
    </w:pPr>
    <w:rPr>
      <w:b/>
      <w:bCs/>
      <w:sz w:val="32"/>
      <w:szCs w:val="32"/>
    </w:rPr>
  </w:style>
  <w:style w:type="paragraph" w:styleId="4">
    <w:name w:val="heading 5"/>
    <w:basedOn w:val="1"/>
    <w:next w:val="1"/>
    <w:link w:val="138"/>
    <w:semiHidden/>
    <w:unhideWhenUsed/>
    <w:qFormat/>
    <w:uiPriority w:val="9"/>
    <w:pPr>
      <w:keepNext/>
      <w:keepLines/>
      <w:spacing w:before="280" w:after="290" w:line="376" w:lineRule="auto"/>
      <w:outlineLvl w:val="4"/>
    </w:pPr>
    <w:rPr>
      <w:b/>
      <w:bCs/>
      <w:sz w:val="28"/>
      <w:szCs w:val="28"/>
    </w:rPr>
  </w:style>
  <w:style w:type="character" w:default="1" w:styleId="33">
    <w:name w:val="Default Paragraph Font"/>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hAnsiTheme="minorHAnsi"/>
      <w:sz w:val="20"/>
    </w:rPr>
  </w:style>
  <w:style w:type="paragraph" w:styleId="6">
    <w:name w:val="Normal Indent"/>
    <w:basedOn w:val="1"/>
    <w:link w:val="46"/>
    <w:qFormat/>
    <w:uiPriority w:val="0"/>
    <w:pPr>
      <w:ind w:firstLine="420"/>
    </w:pPr>
    <w:rPr>
      <w:sz w:val="32"/>
    </w:rPr>
  </w:style>
  <w:style w:type="paragraph" w:styleId="7">
    <w:name w:val="annotation text"/>
    <w:basedOn w:val="1"/>
    <w:link w:val="125"/>
    <w:unhideWhenUsed/>
    <w:qFormat/>
    <w:uiPriority w:val="0"/>
    <w:pPr>
      <w:jc w:val="left"/>
    </w:pPr>
  </w:style>
  <w:style w:type="paragraph" w:styleId="8">
    <w:name w:val="Body Text"/>
    <w:basedOn w:val="1"/>
    <w:link w:val="103"/>
    <w:semiHidden/>
    <w:unhideWhenUsed/>
    <w:qFormat/>
    <w:uiPriority w:val="99"/>
    <w:pPr>
      <w:spacing w:after="120"/>
    </w:pPr>
  </w:style>
  <w:style w:type="paragraph" w:styleId="9">
    <w:name w:val="Body Text Indent"/>
    <w:basedOn w:val="1"/>
    <w:link w:val="74"/>
    <w:semiHidden/>
    <w:unhideWhenUsed/>
    <w:qFormat/>
    <w:uiPriority w:val="99"/>
    <w:pPr>
      <w:spacing w:after="120"/>
      <w:ind w:left="420" w:leftChars="200"/>
    </w:pPr>
  </w:style>
  <w:style w:type="paragraph" w:styleId="10">
    <w:name w:val="toc 5"/>
    <w:basedOn w:val="1"/>
    <w:next w:val="1"/>
    <w:unhideWhenUsed/>
    <w:qFormat/>
    <w:uiPriority w:val="39"/>
    <w:pPr>
      <w:ind w:left="840"/>
      <w:jc w:val="left"/>
    </w:pPr>
    <w:rPr>
      <w:rFonts w:asciiTheme="minorHAnsi" w:hAnsiTheme="minorHAnsi"/>
      <w:sz w:val="20"/>
    </w:rPr>
  </w:style>
  <w:style w:type="paragraph" w:styleId="11">
    <w:name w:val="toc 3"/>
    <w:basedOn w:val="1"/>
    <w:next w:val="1"/>
    <w:unhideWhenUsed/>
    <w:qFormat/>
    <w:uiPriority w:val="39"/>
    <w:pPr>
      <w:ind w:left="420"/>
      <w:jc w:val="left"/>
    </w:pPr>
    <w:rPr>
      <w:rFonts w:asciiTheme="minorHAnsi" w:hAnsiTheme="minorHAnsi"/>
      <w:sz w:val="20"/>
    </w:rPr>
  </w:style>
  <w:style w:type="paragraph" w:styleId="12">
    <w:name w:val="Plain Text"/>
    <w:basedOn w:val="1"/>
    <w:link w:val="53"/>
    <w:qFormat/>
    <w:uiPriority w:val="0"/>
    <w:rPr>
      <w:rFonts w:ascii="宋体" w:hAnsi="Courier New"/>
    </w:rPr>
  </w:style>
  <w:style w:type="paragraph" w:styleId="13">
    <w:name w:val="toc 8"/>
    <w:basedOn w:val="1"/>
    <w:next w:val="1"/>
    <w:unhideWhenUsed/>
    <w:qFormat/>
    <w:uiPriority w:val="39"/>
    <w:pPr>
      <w:ind w:left="1470"/>
      <w:jc w:val="left"/>
    </w:pPr>
    <w:rPr>
      <w:rFonts w:asciiTheme="minorHAnsi" w:hAnsiTheme="minorHAnsi"/>
      <w:sz w:val="20"/>
    </w:rPr>
  </w:style>
  <w:style w:type="paragraph" w:styleId="14">
    <w:name w:val="Date"/>
    <w:basedOn w:val="1"/>
    <w:next w:val="1"/>
    <w:link w:val="109"/>
    <w:qFormat/>
    <w:uiPriority w:val="0"/>
    <w:rPr>
      <w:rFonts w:ascii="楷体_GB2312" w:eastAsia="楷体_GB2312"/>
      <w:sz w:val="28"/>
    </w:rPr>
  </w:style>
  <w:style w:type="paragraph" w:styleId="15">
    <w:name w:val="Body Text Indent 2"/>
    <w:basedOn w:val="1"/>
    <w:link w:val="106"/>
    <w:semiHidden/>
    <w:unhideWhenUsed/>
    <w:qFormat/>
    <w:uiPriority w:val="99"/>
    <w:pPr>
      <w:spacing w:after="120" w:line="480" w:lineRule="auto"/>
      <w:ind w:left="420" w:leftChars="200"/>
    </w:pPr>
  </w:style>
  <w:style w:type="paragraph" w:styleId="16">
    <w:name w:val="Balloon Text"/>
    <w:basedOn w:val="1"/>
    <w:link w:val="73"/>
    <w:semiHidden/>
    <w:unhideWhenUsed/>
    <w:qFormat/>
    <w:uiPriority w:val="99"/>
    <w:rPr>
      <w:sz w:val="18"/>
      <w:szCs w:val="18"/>
    </w:rPr>
  </w:style>
  <w:style w:type="paragraph" w:styleId="17">
    <w:name w:val="footer"/>
    <w:basedOn w:val="1"/>
    <w:link w:val="39"/>
    <w:unhideWhenUsed/>
    <w:qFormat/>
    <w:uiPriority w:val="99"/>
    <w:pPr>
      <w:tabs>
        <w:tab w:val="center" w:pos="4153"/>
        <w:tab w:val="right" w:pos="8306"/>
      </w:tabs>
      <w:snapToGrid w:val="0"/>
      <w:jc w:val="left"/>
    </w:pPr>
    <w:rPr>
      <w:sz w:val="18"/>
      <w:szCs w:val="18"/>
    </w:rPr>
  </w:style>
  <w:style w:type="paragraph" w:styleId="18">
    <w:name w:val="header"/>
    <w:basedOn w:val="1"/>
    <w:link w:val="38"/>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jc w:val="left"/>
    </w:pPr>
    <w:rPr>
      <w:rFonts w:asciiTheme="minorHAnsi" w:hAnsiTheme="minorHAnsi"/>
      <w:bCs/>
      <w:iCs/>
      <w:sz w:val="24"/>
      <w:szCs w:val="24"/>
    </w:rPr>
  </w:style>
  <w:style w:type="paragraph" w:styleId="20">
    <w:name w:val="toc 4"/>
    <w:basedOn w:val="1"/>
    <w:next w:val="1"/>
    <w:unhideWhenUsed/>
    <w:qFormat/>
    <w:uiPriority w:val="39"/>
    <w:pPr>
      <w:ind w:left="630"/>
      <w:jc w:val="left"/>
    </w:pPr>
    <w:rPr>
      <w:rFonts w:asciiTheme="minorHAnsi" w:hAnsiTheme="minorHAnsi"/>
      <w:sz w:val="20"/>
    </w:rPr>
  </w:style>
  <w:style w:type="paragraph" w:styleId="21">
    <w:name w:val="Subtitle"/>
    <w:basedOn w:val="1"/>
    <w:next w:val="1"/>
    <w:link w:val="129"/>
    <w:qFormat/>
    <w:uiPriority w:val="0"/>
    <w:pPr>
      <w:widowControl/>
      <w:spacing w:before="240" w:after="60" w:line="312" w:lineRule="auto"/>
      <w:jc w:val="center"/>
      <w:outlineLvl w:val="1"/>
    </w:pPr>
    <w:rPr>
      <w:rFonts w:ascii="Calibri Light" w:hAnsi="Calibri Light" w:cs="宋体"/>
      <w:b/>
      <w:bCs/>
      <w:kern w:val="28"/>
      <w:sz w:val="32"/>
      <w:szCs w:val="32"/>
    </w:rPr>
  </w:style>
  <w:style w:type="paragraph" w:styleId="22">
    <w:name w:val="toc 6"/>
    <w:basedOn w:val="1"/>
    <w:next w:val="1"/>
    <w:unhideWhenUsed/>
    <w:qFormat/>
    <w:uiPriority w:val="39"/>
    <w:pPr>
      <w:ind w:left="1050"/>
      <w:jc w:val="left"/>
    </w:pPr>
    <w:rPr>
      <w:rFonts w:asciiTheme="minorHAnsi" w:hAnsiTheme="minorHAnsi"/>
      <w:sz w:val="20"/>
    </w:rPr>
  </w:style>
  <w:style w:type="paragraph" w:styleId="23">
    <w:name w:val="Body Text Indent 3"/>
    <w:basedOn w:val="1"/>
    <w:link w:val="120"/>
    <w:semiHidden/>
    <w:unhideWhenUsed/>
    <w:qFormat/>
    <w:uiPriority w:val="99"/>
    <w:pPr>
      <w:spacing w:after="120"/>
      <w:ind w:left="420" w:leftChars="200"/>
    </w:pPr>
    <w:rPr>
      <w:sz w:val="16"/>
      <w:szCs w:val="16"/>
    </w:rPr>
  </w:style>
  <w:style w:type="paragraph" w:styleId="24">
    <w:name w:val="toc 2"/>
    <w:basedOn w:val="1"/>
    <w:next w:val="1"/>
    <w:unhideWhenUsed/>
    <w:qFormat/>
    <w:uiPriority w:val="39"/>
    <w:pPr>
      <w:spacing w:before="120"/>
      <w:ind w:left="210"/>
      <w:jc w:val="left"/>
    </w:pPr>
    <w:rPr>
      <w:rFonts w:asciiTheme="minorHAnsi" w:hAnsiTheme="minorHAnsi"/>
      <w:b/>
      <w:bCs/>
      <w:sz w:val="22"/>
      <w:szCs w:val="22"/>
    </w:rPr>
  </w:style>
  <w:style w:type="paragraph" w:styleId="25">
    <w:name w:val="toc 9"/>
    <w:basedOn w:val="1"/>
    <w:next w:val="1"/>
    <w:unhideWhenUsed/>
    <w:qFormat/>
    <w:uiPriority w:val="39"/>
    <w:pPr>
      <w:ind w:left="1680"/>
      <w:jc w:val="left"/>
    </w:pPr>
    <w:rPr>
      <w:rFonts w:asciiTheme="minorHAnsi" w:hAnsiTheme="minorHAnsi"/>
      <w:sz w:val="20"/>
    </w:rPr>
  </w:style>
  <w:style w:type="paragraph" w:styleId="26">
    <w:name w:val="Normal (Web)"/>
    <w:basedOn w:val="1"/>
    <w:qFormat/>
    <w:uiPriority w:val="0"/>
    <w:pPr>
      <w:spacing w:beforeAutospacing="1" w:afterAutospacing="1"/>
      <w:jc w:val="left"/>
    </w:pPr>
    <w:rPr>
      <w:kern w:val="0"/>
      <w:sz w:val="24"/>
      <w:szCs w:val="24"/>
    </w:rPr>
  </w:style>
  <w:style w:type="paragraph" w:styleId="27">
    <w:name w:val="List Continue 3"/>
    <w:basedOn w:val="1"/>
    <w:semiHidden/>
    <w:unhideWhenUsed/>
    <w:qFormat/>
    <w:uiPriority w:val="99"/>
    <w:pPr>
      <w:spacing w:after="120"/>
      <w:ind w:left="1260" w:leftChars="600"/>
      <w:contextualSpacing/>
    </w:pPr>
  </w:style>
  <w:style w:type="paragraph" w:styleId="28">
    <w:name w:val="index 1"/>
    <w:basedOn w:val="1"/>
    <w:next w:val="1"/>
    <w:semiHidden/>
    <w:qFormat/>
    <w:uiPriority w:val="0"/>
    <w:pPr>
      <w:spacing w:line="420" w:lineRule="exact"/>
      <w:jc w:val="center"/>
    </w:pPr>
    <w:rPr>
      <w:szCs w:val="21"/>
    </w:rPr>
  </w:style>
  <w:style w:type="paragraph" w:styleId="29">
    <w:name w:val="annotation subject"/>
    <w:basedOn w:val="7"/>
    <w:next w:val="7"/>
    <w:link w:val="126"/>
    <w:semiHidden/>
    <w:unhideWhenUsed/>
    <w:qFormat/>
    <w:uiPriority w:val="99"/>
    <w:rPr>
      <w:b/>
      <w:bCs/>
    </w:rPr>
  </w:style>
  <w:style w:type="paragraph" w:styleId="30">
    <w:name w:val="Body Text First Indent 2"/>
    <w:basedOn w:val="9"/>
    <w:link w:val="75"/>
    <w:unhideWhenUsed/>
    <w:qFormat/>
    <w:uiPriority w:val="0"/>
    <w:pPr>
      <w:ind w:firstLine="420" w:firstLineChars="200"/>
    </w:pPr>
    <w:rPr>
      <w:szCs w:val="24"/>
    </w:rPr>
  </w:style>
  <w:style w:type="table" w:styleId="32">
    <w:name w:val="Table Grid"/>
    <w:basedOn w:val="3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4">
    <w:name w:val="Emphasis"/>
    <w:basedOn w:val="33"/>
    <w:qFormat/>
    <w:uiPriority w:val="0"/>
  </w:style>
  <w:style w:type="character" w:styleId="35">
    <w:name w:val="Hyperlink"/>
    <w:basedOn w:val="33"/>
    <w:qFormat/>
    <w:uiPriority w:val="99"/>
    <w:rPr>
      <w:color w:val="0000FF"/>
      <w:u w:val="single"/>
    </w:rPr>
  </w:style>
  <w:style w:type="character" w:styleId="36">
    <w:name w:val="HTML Code"/>
    <w:basedOn w:val="33"/>
    <w:qFormat/>
    <w:uiPriority w:val="0"/>
    <w:rPr>
      <w:rFonts w:ascii="serif" w:hAnsi="serif" w:eastAsia="serif" w:cs="serif"/>
      <w:sz w:val="21"/>
      <w:szCs w:val="21"/>
    </w:rPr>
  </w:style>
  <w:style w:type="character" w:styleId="37">
    <w:name w:val="annotation reference"/>
    <w:semiHidden/>
    <w:qFormat/>
    <w:uiPriority w:val="0"/>
    <w:rPr>
      <w:sz w:val="21"/>
      <w:szCs w:val="21"/>
    </w:rPr>
  </w:style>
  <w:style w:type="character" w:customStyle="1" w:styleId="38">
    <w:name w:val="页眉 字符"/>
    <w:basedOn w:val="33"/>
    <w:link w:val="18"/>
    <w:semiHidden/>
    <w:qFormat/>
    <w:uiPriority w:val="99"/>
    <w:rPr>
      <w:rFonts w:ascii="Times New Roman" w:hAnsi="Times New Roman" w:eastAsia="宋体" w:cs="Times New Roman"/>
      <w:sz w:val="18"/>
      <w:szCs w:val="18"/>
    </w:rPr>
  </w:style>
  <w:style w:type="character" w:customStyle="1" w:styleId="39">
    <w:name w:val="页脚 字符"/>
    <w:basedOn w:val="33"/>
    <w:link w:val="17"/>
    <w:qFormat/>
    <w:uiPriority w:val="99"/>
    <w:rPr>
      <w:rFonts w:ascii="Times New Roman" w:hAnsi="Times New Roman" w:eastAsia="宋体" w:cs="Times New Roman"/>
      <w:sz w:val="18"/>
      <w:szCs w:val="18"/>
    </w:rPr>
  </w:style>
  <w:style w:type="paragraph" w:customStyle="1" w:styleId="40">
    <w:name w:val="3级标题"/>
    <w:next w:val="1"/>
    <w:link w:val="41"/>
    <w:qFormat/>
    <w:uiPriority w:val="0"/>
    <w:pPr>
      <w:spacing w:before="120" w:after="60"/>
      <w:ind w:firstLine="200" w:firstLineChars="200"/>
      <w:outlineLvl w:val="2"/>
    </w:pPr>
    <w:rPr>
      <w:rFonts w:ascii="Arial" w:hAnsi="Arial" w:eastAsia="黑体" w:cs="Times New Roman"/>
      <w:kern w:val="2"/>
      <w:sz w:val="24"/>
      <w:szCs w:val="24"/>
      <w:lang w:val="en-US" w:eastAsia="zh-CN" w:bidi="ar-SA"/>
    </w:rPr>
  </w:style>
  <w:style w:type="character" w:customStyle="1" w:styleId="41">
    <w:name w:val="3级标题 Char"/>
    <w:basedOn w:val="33"/>
    <w:link w:val="40"/>
    <w:qFormat/>
    <w:uiPriority w:val="0"/>
    <w:rPr>
      <w:rFonts w:ascii="Arial" w:hAnsi="Arial" w:eastAsia="黑体" w:cs="Times New Roman"/>
      <w:sz w:val="24"/>
      <w:szCs w:val="24"/>
    </w:rPr>
  </w:style>
  <w:style w:type="paragraph" w:customStyle="1" w:styleId="42">
    <w:name w:val="我的标题2"/>
    <w:basedOn w:val="2"/>
    <w:qFormat/>
    <w:uiPriority w:val="0"/>
    <w:pPr>
      <w:spacing w:before="60" w:after="60" w:line="460" w:lineRule="exact"/>
    </w:pPr>
    <w:rPr>
      <w:rFonts w:ascii="Times New Roman" w:hAnsi="Times New Roman" w:eastAsia="黑体" w:cs="Times New Roman"/>
      <w:b w:val="0"/>
      <w:sz w:val="30"/>
    </w:rPr>
  </w:style>
  <w:style w:type="character" w:customStyle="1" w:styleId="43">
    <w:name w:val="标题 2 字符"/>
    <w:basedOn w:val="33"/>
    <w:link w:val="2"/>
    <w:qFormat/>
    <w:uiPriority w:val="0"/>
    <w:rPr>
      <w:rFonts w:asciiTheme="majorHAnsi" w:hAnsiTheme="majorHAnsi" w:eastAsiaTheme="majorEastAsia" w:cstheme="majorBidi"/>
      <w:b/>
      <w:bCs/>
      <w:sz w:val="32"/>
      <w:szCs w:val="32"/>
    </w:rPr>
  </w:style>
  <w:style w:type="paragraph" w:customStyle="1" w:styleId="44">
    <w:name w:val="我的标题3"/>
    <w:basedOn w:val="3"/>
    <w:qFormat/>
    <w:uiPriority w:val="0"/>
    <w:pPr>
      <w:adjustRightInd w:val="0"/>
      <w:snapToGrid w:val="0"/>
      <w:spacing w:before="60" w:after="60" w:line="460" w:lineRule="exact"/>
    </w:pPr>
    <w:rPr>
      <w:rFonts w:eastAsia="黑体"/>
      <w:b w:val="0"/>
      <w:sz w:val="28"/>
      <w:szCs w:val="20"/>
    </w:rPr>
  </w:style>
  <w:style w:type="character" w:customStyle="1" w:styleId="45">
    <w:name w:val="标题 3 字符"/>
    <w:basedOn w:val="33"/>
    <w:link w:val="3"/>
    <w:semiHidden/>
    <w:qFormat/>
    <w:uiPriority w:val="9"/>
    <w:rPr>
      <w:rFonts w:ascii="Times New Roman" w:hAnsi="Times New Roman" w:eastAsia="宋体" w:cs="Times New Roman"/>
      <w:b/>
      <w:bCs/>
      <w:sz w:val="32"/>
      <w:szCs w:val="32"/>
    </w:rPr>
  </w:style>
  <w:style w:type="character" w:customStyle="1" w:styleId="46">
    <w:name w:val="正文缩进 字符"/>
    <w:basedOn w:val="33"/>
    <w:link w:val="6"/>
    <w:qFormat/>
    <w:uiPriority w:val="0"/>
    <w:rPr>
      <w:rFonts w:ascii="Times New Roman" w:hAnsi="Times New Roman" w:eastAsia="宋体" w:cs="Times New Roman"/>
      <w:sz w:val="32"/>
      <w:szCs w:val="20"/>
    </w:rPr>
  </w:style>
  <w:style w:type="paragraph" w:customStyle="1" w:styleId="47">
    <w:name w:val="表格文字"/>
    <w:basedOn w:val="1"/>
    <w:next w:val="1"/>
    <w:link w:val="87"/>
    <w:qFormat/>
    <w:uiPriority w:val="0"/>
    <w:pPr>
      <w:snapToGrid w:val="0"/>
      <w:jc w:val="center"/>
    </w:pPr>
    <w:rPr>
      <w:szCs w:val="21"/>
    </w:rPr>
  </w:style>
  <w:style w:type="paragraph" w:customStyle="1" w:styleId="48">
    <w:name w:val="我的正文"/>
    <w:basedOn w:val="1"/>
    <w:link w:val="100"/>
    <w:qFormat/>
    <w:uiPriority w:val="0"/>
    <w:pPr>
      <w:spacing w:line="460" w:lineRule="exact"/>
      <w:ind w:firstLine="482"/>
    </w:pPr>
    <w:rPr>
      <w:sz w:val="24"/>
      <w:szCs w:val="24"/>
    </w:rPr>
  </w:style>
  <w:style w:type="character" w:customStyle="1" w:styleId="49">
    <w:name w:val="5号表格 Char"/>
    <w:link w:val="50"/>
    <w:qFormat/>
    <w:uiPriority w:val="0"/>
    <w:rPr>
      <w:bCs/>
      <w:szCs w:val="21"/>
    </w:rPr>
  </w:style>
  <w:style w:type="paragraph" w:customStyle="1" w:styleId="50">
    <w:name w:val="5号表格"/>
    <w:link w:val="49"/>
    <w:qFormat/>
    <w:uiPriority w:val="0"/>
    <w:pPr>
      <w:snapToGrid w:val="0"/>
      <w:jc w:val="center"/>
    </w:pPr>
    <w:rPr>
      <w:rFonts w:asciiTheme="minorHAnsi" w:hAnsiTheme="minorHAnsi" w:eastAsiaTheme="minorEastAsia" w:cstheme="minorBidi"/>
      <w:bCs/>
      <w:kern w:val="2"/>
      <w:sz w:val="21"/>
      <w:szCs w:val="21"/>
      <w:lang w:val="en-US" w:eastAsia="zh-CN" w:bidi="ar-SA"/>
    </w:rPr>
  </w:style>
  <w:style w:type="paragraph" w:customStyle="1" w:styleId="51">
    <w:name w:val="222"/>
    <w:basedOn w:val="2"/>
    <w:qFormat/>
    <w:uiPriority w:val="0"/>
    <w:pPr>
      <w:spacing w:before="60" w:after="60" w:line="460" w:lineRule="exact"/>
    </w:pPr>
    <w:rPr>
      <w:rFonts w:ascii="Times New Roman" w:hAnsi="Times New Roman" w:eastAsia="黑体" w:cs="Times New Roman"/>
      <w:b w:val="0"/>
      <w:sz w:val="30"/>
      <w:szCs w:val="30"/>
    </w:rPr>
  </w:style>
  <w:style w:type="character" w:customStyle="1" w:styleId="52">
    <w:name w:val="纯文本 Char"/>
    <w:basedOn w:val="33"/>
    <w:qFormat/>
    <w:uiPriority w:val="0"/>
    <w:rPr>
      <w:rFonts w:ascii="宋体" w:hAnsi="Courier New" w:eastAsia="宋体" w:cs="Courier New"/>
      <w:szCs w:val="21"/>
    </w:rPr>
  </w:style>
  <w:style w:type="character" w:customStyle="1" w:styleId="53">
    <w:name w:val="纯文本 字符"/>
    <w:basedOn w:val="33"/>
    <w:link w:val="12"/>
    <w:qFormat/>
    <w:uiPriority w:val="0"/>
    <w:rPr>
      <w:rFonts w:ascii="宋体" w:hAnsi="Courier New" w:eastAsia="宋体" w:cs="Times New Roman"/>
      <w:szCs w:val="20"/>
    </w:rPr>
  </w:style>
  <w:style w:type="paragraph" w:customStyle="1" w:styleId="54">
    <w:name w:val="表格内容5号"/>
    <w:link w:val="55"/>
    <w:qFormat/>
    <w:uiPriority w:val="0"/>
    <w:pPr>
      <w:widowControl w:val="0"/>
      <w:snapToGrid w:val="0"/>
      <w:spacing w:line="300" w:lineRule="atLeast"/>
      <w:jc w:val="center"/>
    </w:pPr>
    <w:rPr>
      <w:rFonts w:ascii="Times New Roman" w:hAnsi="Times New Roman" w:eastAsia="宋体" w:cs="Times New Roman"/>
      <w:kern w:val="2"/>
      <w:sz w:val="21"/>
      <w:szCs w:val="24"/>
      <w:lang w:val="en-US" w:eastAsia="zh-CN" w:bidi="ar-SA"/>
    </w:rPr>
  </w:style>
  <w:style w:type="character" w:customStyle="1" w:styleId="55">
    <w:name w:val="表格内容5号 Char"/>
    <w:basedOn w:val="33"/>
    <w:link w:val="54"/>
    <w:qFormat/>
    <w:uiPriority w:val="0"/>
    <w:rPr>
      <w:rFonts w:ascii="Times New Roman" w:hAnsi="Times New Roman" w:eastAsia="宋体" w:cs="Times New Roman"/>
      <w:szCs w:val="24"/>
    </w:rPr>
  </w:style>
  <w:style w:type="paragraph" w:customStyle="1" w:styleId="56">
    <w:name w:val="c标题2"/>
    <w:basedOn w:val="2"/>
    <w:qFormat/>
    <w:uiPriority w:val="0"/>
    <w:pPr>
      <w:adjustRightInd w:val="0"/>
      <w:snapToGrid w:val="0"/>
      <w:spacing w:beforeLines="50" w:after="0" w:line="480" w:lineRule="exact"/>
    </w:pPr>
    <w:rPr>
      <w:rFonts w:ascii="Times New Roman" w:hAnsi="Times New Roman" w:eastAsia="黑体" w:cs="Times New Roman"/>
      <w:color w:val="000000"/>
      <w:kern w:val="44"/>
      <w:sz w:val="28"/>
      <w:szCs w:val="28"/>
    </w:rPr>
  </w:style>
  <w:style w:type="paragraph" w:customStyle="1" w:styleId="57">
    <w:name w:val="正文内容"/>
    <w:link w:val="58"/>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58">
    <w:name w:val="正文内容 Char"/>
    <w:basedOn w:val="33"/>
    <w:link w:val="57"/>
    <w:qFormat/>
    <w:uiPriority w:val="0"/>
    <w:rPr>
      <w:rFonts w:ascii="Times New Roman" w:hAnsi="Times New Roman" w:eastAsia="宋体" w:cs="Times New Roman"/>
      <w:sz w:val="24"/>
      <w:szCs w:val="24"/>
    </w:rPr>
  </w:style>
  <w:style w:type="paragraph" w:customStyle="1" w:styleId="59">
    <w:name w:val="c标题3"/>
    <w:qFormat/>
    <w:uiPriority w:val="0"/>
    <w:pPr>
      <w:adjustRightInd w:val="0"/>
      <w:snapToGrid w:val="0"/>
      <w:spacing w:line="500" w:lineRule="exact"/>
    </w:pPr>
    <w:rPr>
      <w:rFonts w:ascii="Times New Roman" w:hAnsi="Times New Roman" w:eastAsia="黑体" w:cs="Arial"/>
      <w:bCs/>
      <w:color w:val="000000"/>
      <w:kern w:val="44"/>
      <w:sz w:val="24"/>
      <w:szCs w:val="24"/>
      <w:lang w:val="en-US" w:eastAsia="zh-CN" w:bidi="ar-SA"/>
    </w:rPr>
  </w:style>
  <w:style w:type="paragraph" w:customStyle="1" w:styleId="60">
    <w:name w:val="444"/>
    <w:basedOn w:val="6"/>
    <w:qFormat/>
    <w:uiPriority w:val="0"/>
    <w:pPr>
      <w:spacing w:line="460" w:lineRule="exact"/>
      <w:ind w:firstLine="480" w:firstLineChars="200"/>
    </w:pPr>
    <w:rPr>
      <w:rFonts w:hAnsi="宋体"/>
      <w:sz w:val="24"/>
      <w:szCs w:val="24"/>
    </w:rPr>
  </w:style>
  <w:style w:type="paragraph" w:customStyle="1" w:styleId="61">
    <w:name w:val="表文字"/>
    <w:basedOn w:val="1"/>
    <w:qFormat/>
    <w:uiPriority w:val="0"/>
    <w:pPr>
      <w:snapToGrid w:val="0"/>
      <w:jc w:val="center"/>
    </w:pPr>
    <w:rPr>
      <w:szCs w:val="24"/>
    </w:rPr>
  </w:style>
  <w:style w:type="paragraph" w:customStyle="1" w:styleId="62">
    <w:name w:val="4级标题"/>
    <w:next w:val="57"/>
    <w:link w:val="63"/>
    <w:qFormat/>
    <w:uiPriority w:val="0"/>
    <w:pPr>
      <w:spacing w:before="120" w:after="60"/>
      <w:ind w:firstLine="200" w:firstLineChars="200"/>
      <w:outlineLvl w:val="3"/>
    </w:pPr>
    <w:rPr>
      <w:rFonts w:ascii="Arial" w:hAnsi="Arial" w:eastAsia="黑体" w:cs="Times New Roman"/>
      <w:kern w:val="2"/>
      <w:sz w:val="24"/>
      <w:szCs w:val="24"/>
      <w:lang w:val="en-US" w:eastAsia="zh-CN" w:bidi="ar-SA"/>
    </w:rPr>
  </w:style>
  <w:style w:type="character" w:customStyle="1" w:styleId="63">
    <w:name w:val="4级标题 Char"/>
    <w:basedOn w:val="41"/>
    <w:link w:val="62"/>
    <w:qFormat/>
    <w:uiPriority w:val="0"/>
    <w:rPr>
      <w:rFonts w:ascii="Arial" w:hAnsi="Arial" w:eastAsia="黑体" w:cs="Times New Roman"/>
      <w:sz w:val="24"/>
      <w:szCs w:val="24"/>
    </w:rPr>
  </w:style>
  <w:style w:type="paragraph" w:customStyle="1" w:styleId="64">
    <w:name w:val="Char Char Char Char"/>
    <w:basedOn w:val="1"/>
    <w:qFormat/>
    <w:uiPriority w:val="0"/>
    <w:pPr>
      <w:snapToGrid w:val="0"/>
      <w:spacing w:line="360" w:lineRule="auto"/>
      <w:ind w:firstLine="200" w:firstLineChars="200"/>
    </w:pPr>
    <w:rPr>
      <w:rFonts w:eastAsia="仿宋_GB2312"/>
      <w:sz w:val="24"/>
      <w:szCs w:val="24"/>
    </w:rPr>
  </w:style>
  <w:style w:type="paragraph" w:customStyle="1" w:styleId="65">
    <w:name w:val="2级标题"/>
    <w:next w:val="57"/>
    <w:link w:val="66"/>
    <w:qFormat/>
    <w:uiPriority w:val="0"/>
    <w:pPr>
      <w:spacing w:before="120" w:after="60"/>
      <w:ind w:firstLine="200" w:firstLineChars="200"/>
      <w:outlineLvl w:val="1"/>
    </w:pPr>
    <w:rPr>
      <w:rFonts w:ascii="Arial" w:hAnsi="Arial" w:eastAsia="黑体" w:cs="Times New Roman"/>
      <w:kern w:val="2"/>
      <w:sz w:val="28"/>
      <w:szCs w:val="24"/>
      <w:lang w:val="en-US" w:eastAsia="zh-CN" w:bidi="ar-SA"/>
    </w:rPr>
  </w:style>
  <w:style w:type="character" w:customStyle="1" w:styleId="66">
    <w:name w:val="2级标题 Char"/>
    <w:basedOn w:val="33"/>
    <w:link w:val="65"/>
    <w:qFormat/>
    <w:uiPriority w:val="0"/>
    <w:rPr>
      <w:rFonts w:ascii="Arial" w:hAnsi="Arial" w:eastAsia="黑体" w:cs="Times New Roman"/>
      <w:sz w:val="28"/>
      <w:szCs w:val="24"/>
    </w:rPr>
  </w:style>
  <w:style w:type="paragraph" w:styleId="67">
    <w:name w:val="List Paragraph"/>
    <w:basedOn w:val="1"/>
    <w:qFormat/>
    <w:uiPriority w:val="34"/>
    <w:pPr>
      <w:ind w:firstLine="420" w:firstLineChars="200"/>
    </w:pPr>
  </w:style>
  <w:style w:type="paragraph" w:customStyle="1" w:styleId="68">
    <w:name w:val="表格内容"/>
    <w:link w:val="69"/>
    <w:qFormat/>
    <w:uiPriority w:val="0"/>
    <w:pPr>
      <w:widowControl w:val="0"/>
      <w:snapToGrid w:val="0"/>
      <w:spacing w:line="240" w:lineRule="atLeast"/>
      <w:jc w:val="center"/>
    </w:pPr>
    <w:rPr>
      <w:rFonts w:ascii="Times New Roman" w:hAnsi="Times New Roman" w:eastAsia="仿宋_GB2312" w:cs="Times New Roman"/>
      <w:bCs/>
      <w:kern w:val="2"/>
      <w:sz w:val="24"/>
      <w:szCs w:val="24"/>
      <w:lang w:val="en-US" w:eastAsia="zh-CN" w:bidi="ar-SA"/>
    </w:rPr>
  </w:style>
  <w:style w:type="character" w:customStyle="1" w:styleId="69">
    <w:name w:val="表格内容 Char"/>
    <w:basedOn w:val="33"/>
    <w:link w:val="68"/>
    <w:qFormat/>
    <w:uiPriority w:val="0"/>
    <w:rPr>
      <w:rFonts w:ascii="Times New Roman" w:hAnsi="Times New Roman" w:eastAsia="仿宋_GB2312" w:cs="Times New Roman"/>
      <w:bCs/>
      <w:sz w:val="24"/>
      <w:szCs w:val="24"/>
    </w:rPr>
  </w:style>
  <w:style w:type="paragraph" w:customStyle="1" w:styleId="70">
    <w:name w:val="标准正文"/>
    <w:basedOn w:val="1"/>
    <w:link w:val="71"/>
    <w:qFormat/>
    <w:uiPriority w:val="0"/>
    <w:pPr>
      <w:spacing w:line="360" w:lineRule="auto"/>
      <w:ind w:firstLine="480" w:firstLineChars="200"/>
      <w:jc w:val="left"/>
    </w:pPr>
    <w:rPr>
      <w:sz w:val="24"/>
      <w:szCs w:val="22"/>
    </w:rPr>
  </w:style>
  <w:style w:type="character" w:customStyle="1" w:styleId="71">
    <w:name w:val="标准正文 Char Char"/>
    <w:link w:val="70"/>
    <w:qFormat/>
    <w:uiPriority w:val="0"/>
    <w:rPr>
      <w:rFonts w:ascii="Times New Roman" w:hAnsi="Times New Roman" w:eastAsia="宋体" w:cs="Times New Roman"/>
      <w:sz w:val="24"/>
    </w:rPr>
  </w:style>
  <w:style w:type="character" w:customStyle="1" w:styleId="72">
    <w:name w:val="正文内容 Char Char"/>
    <w:semiHidden/>
    <w:qFormat/>
    <w:uiPriority w:val="0"/>
    <w:rPr>
      <w:kern w:val="2"/>
      <w:sz w:val="24"/>
      <w:szCs w:val="24"/>
      <w:lang w:val="en-US" w:eastAsia="zh-CN" w:bidi="ar-SA"/>
    </w:rPr>
  </w:style>
  <w:style w:type="character" w:customStyle="1" w:styleId="73">
    <w:name w:val="批注框文本 字符"/>
    <w:basedOn w:val="33"/>
    <w:link w:val="16"/>
    <w:semiHidden/>
    <w:qFormat/>
    <w:uiPriority w:val="99"/>
    <w:rPr>
      <w:rFonts w:ascii="Times New Roman" w:hAnsi="Times New Roman" w:eastAsia="宋体" w:cs="Times New Roman"/>
      <w:sz w:val="18"/>
      <w:szCs w:val="18"/>
    </w:rPr>
  </w:style>
  <w:style w:type="character" w:customStyle="1" w:styleId="74">
    <w:name w:val="正文文本缩进 字符"/>
    <w:basedOn w:val="33"/>
    <w:link w:val="9"/>
    <w:semiHidden/>
    <w:qFormat/>
    <w:uiPriority w:val="99"/>
    <w:rPr>
      <w:rFonts w:ascii="Times New Roman" w:hAnsi="Times New Roman" w:eastAsia="宋体" w:cs="Times New Roman"/>
      <w:szCs w:val="20"/>
    </w:rPr>
  </w:style>
  <w:style w:type="character" w:customStyle="1" w:styleId="75">
    <w:name w:val="正文文本首行缩进 2 字符"/>
    <w:basedOn w:val="74"/>
    <w:link w:val="30"/>
    <w:qFormat/>
    <w:uiPriority w:val="0"/>
    <w:rPr>
      <w:rFonts w:ascii="Times New Roman" w:hAnsi="Times New Roman" w:eastAsia="宋体" w:cs="Times New Roman"/>
      <w:szCs w:val="24"/>
    </w:rPr>
  </w:style>
  <w:style w:type="paragraph" w:customStyle="1" w:styleId="76">
    <w:name w:val="2 Char Char Char Char"/>
    <w:basedOn w:val="1"/>
    <w:qFormat/>
    <w:uiPriority w:val="0"/>
    <w:pPr>
      <w:snapToGrid w:val="0"/>
      <w:spacing w:line="360" w:lineRule="auto"/>
      <w:ind w:firstLine="529" w:firstLineChars="200"/>
    </w:pPr>
    <w:rPr>
      <w:rFonts w:ascii="宋体" w:hAnsi="宋体"/>
      <w:b/>
      <w:szCs w:val="24"/>
    </w:rPr>
  </w:style>
  <w:style w:type="character" w:customStyle="1" w:styleId="77">
    <w:name w:val="图表标题 Char Char"/>
    <w:link w:val="78"/>
    <w:semiHidden/>
    <w:qFormat/>
    <w:uiPriority w:val="0"/>
    <w:rPr>
      <w:rFonts w:eastAsia="Times New Roman"/>
      <w:sz w:val="24"/>
      <w:szCs w:val="24"/>
    </w:rPr>
  </w:style>
  <w:style w:type="paragraph" w:customStyle="1" w:styleId="78">
    <w:name w:val="图表标题"/>
    <w:link w:val="77"/>
    <w:semiHidden/>
    <w:qFormat/>
    <w:uiPriority w:val="0"/>
    <w:pPr>
      <w:snapToGrid w:val="0"/>
      <w:spacing w:line="400" w:lineRule="exact"/>
      <w:jc w:val="center"/>
    </w:pPr>
    <w:rPr>
      <w:rFonts w:eastAsia="Times New Roman" w:asciiTheme="minorHAnsi" w:hAnsiTheme="minorHAnsi" w:cstheme="minorBidi"/>
      <w:kern w:val="2"/>
      <w:sz w:val="24"/>
      <w:szCs w:val="24"/>
      <w:lang w:val="en-US" w:eastAsia="zh-CN" w:bidi="ar-SA"/>
    </w:rPr>
  </w:style>
  <w:style w:type="paragraph" w:customStyle="1" w:styleId="79">
    <w:name w:val="表内正文"/>
    <w:basedOn w:val="1"/>
    <w:qFormat/>
    <w:uiPriority w:val="0"/>
    <w:rPr>
      <w:rFonts w:ascii="仿宋_GB2312" w:hAnsi="宋体" w:eastAsia="仿宋_GB2312"/>
      <w:kern w:val="0"/>
      <w:sz w:val="20"/>
    </w:rPr>
  </w:style>
  <w:style w:type="paragraph" w:customStyle="1" w:styleId="80">
    <w:name w:val="表中"/>
    <w:basedOn w:val="1"/>
    <w:link w:val="81"/>
    <w:qFormat/>
    <w:uiPriority w:val="0"/>
    <w:pPr>
      <w:spacing w:line="360" w:lineRule="exact"/>
      <w:jc w:val="center"/>
    </w:pPr>
    <w:rPr>
      <w:szCs w:val="21"/>
      <w:lang w:val="de-DE"/>
    </w:rPr>
  </w:style>
  <w:style w:type="character" w:customStyle="1" w:styleId="81">
    <w:name w:val="表中 Char"/>
    <w:link w:val="80"/>
    <w:qFormat/>
    <w:uiPriority w:val="0"/>
    <w:rPr>
      <w:rFonts w:ascii="Times New Roman" w:hAnsi="Times New Roman" w:eastAsia="宋体" w:cs="Times New Roman"/>
      <w:szCs w:val="21"/>
      <w:lang w:val="de-DE"/>
    </w:rPr>
  </w:style>
  <w:style w:type="paragraph" w:customStyle="1" w:styleId="82">
    <w:name w:val="表头1-1"/>
    <w:basedOn w:val="1"/>
    <w:link w:val="83"/>
    <w:qFormat/>
    <w:uiPriority w:val="0"/>
    <w:pPr>
      <w:spacing w:line="360" w:lineRule="auto"/>
      <w:jc w:val="center"/>
    </w:pPr>
    <w:rPr>
      <w:b/>
      <w:szCs w:val="24"/>
    </w:rPr>
  </w:style>
  <w:style w:type="character" w:customStyle="1" w:styleId="83">
    <w:name w:val="表头1-1 字符"/>
    <w:link w:val="82"/>
    <w:qFormat/>
    <w:uiPriority w:val="0"/>
    <w:rPr>
      <w:rFonts w:ascii="Times New Roman" w:hAnsi="Times New Roman" w:eastAsia="宋体" w:cs="Times New Roman"/>
      <w:b/>
      <w:szCs w:val="24"/>
    </w:rPr>
  </w:style>
  <w:style w:type="paragraph" w:customStyle="1" w:styleId="84">
    <w:name w:val="Char Char Char Char Char Char Char Char Char Char"/>
    <w:basedOn w:val="1"/>
    <w:qFormat/>
    <w:uiPriority w:val="0"/>
  </w:style>
  <w:style w:type="paragraph" w:customStyle="1" w:styleId="85">
    <w:name w:val="正文1"/>
    <w:basedOn w:val="1"/>
    <w:link w:val="86"/>
    <w:qFormat/>
    <w:uiPriority w:val="0"/>
    <w:pPr>
      <w:spacing w:line="560" w:lineRule="exact"/>
      <w:ind w:firstLine="200" w:firstLineChars="200"/>
    </w:pPr>
    <w:rPr>
      <w:rFonts w:ascii="宋体" w:hAnsi="宋体" w:cs="宋体"/>
      <w:sz w:val="28"/>
      <w:szCs w:val="28"/>
    </w:rPr>
  </w:style>
  <w:style w:type="character" w:customStyle="1" w:styleId="86">
    <w:name w:val="正文1 Char"/>
    <w:link w:val="85"/>
    <w:qFormat/>
    <w:uiPriority w:val="0"/>
    <w:rPr>
      <w:rFonts w:ascii="宋体" w:hAnsi="宋体" w:eastAsia="宋体" w:cs="宋体"/>
      <w:sz w:val="28"/>
      <w:szCs w:val="28"/>
    </w:rPr>
  </w:style>
  <w:style w:type="character" w:customStyle="1" w:styleId="87">
    <w:name w:val="表格文字 Char Char"/>
    <w:link w:val="47"/>
    <w:qFormat/>
    <w:uiPriority w:val="0"/>
    <w:rPr>
      <w:rFonts w:ascii="Times New Roman" w:hAnsi="Times New Roman" w:eastAsia="宋体" w:cs="Times New Roman"/>
      <w:szCs w:val="21"/>
    </w:rPr>
  </w:style>
  <w:style w:type="paragraph" w:customStyle="1" w:styleId="88">
    <w:name w:val="表格文字 16磅"/>
    <w:basedOn w:val="12"/>
    <w:next w:val="1"/>
    <w:qFormat/>
    <w:uiPriority w:val="0"/>
    <w:pPr>
      <w:adjustRightInd w:val="0"/>
      <w:snapToGrid w:val="0"/>
      <w:spacing w:line="360" w:lineRule="exact"/>
      <w:jc w:val="center"/>
      <w:textAlignment w:val="baseline"/>
    </w:pPr>
    <w:rPr>
      <w:rFonts w:ascii="Times New Roman" w:hAnsi="Times New Roman" w:cs="宋体"/>
      <w:color w:val="000000"/>
      <w:kern w:val="21"/>
      <w:szCs w:val="21"/>
    </w:rPr>
  </w:style>
  <w:style w:type="paragraph" w:customStyle="1" w:styleId="89">
    <w:name w:val="正文五"/>
    <w:basedOn w:val="1"/>
    <w:qFormat/>
    <w:uiPriority w:val="0"/>
    <w:pPr>
      <w:widowControl/>
      <w:snapToGrid w:val="0"/>
      <w:jc w:val="center"/>
    </w:pPr>
    <w:rPr>
      <w:kern w:val="0"/>
      <w:sz w:val="20"/>
      <w:szCs w:val="28"/>
    </w:rPr>
  </w:style>
  <w:style w:type="character" w:customStyle="1" w:styleId="90">
    <w:name w:val="表格内容5号 Char Char"/>
    <w:semiHidden/>
    <w:qFormat/>
    <w:uiPriority w:val="0"/>
    <w:rPr>
      <w:sz w:val="21"/>
      <w:lang w:val="en-US" w:eastAsia="zh-CN" w:bidi="ar-SA"/>
    </w:rPr>
  </w:style>
  <w:style w:type="paragraph" w:customStyle="1" w:styleId="91">
    <w:name w:val="9图题"/>
    <w:basedOn w:val="1"/>
    <w:qFormat/>
    <w:uiPriority w:val="0"/>
    <w:pPr>
      <w:spacing w:line="360" w:lineRule="auto"/>
      <w:jc w:val="center"/>
    </w:pPr>
    <w:rPr>
      <w:rFonts w:eastAsia="黑体"/>
      <w:b/>
      <w:sz w:val="24"/>
      <w:szCs w:val="21"/>
    </w:rPr>
  </w:style>
  <w:style w:type="character" w:customStyle="1" w:styleId="92">
    <w:name w:val="6表头T Char"/>
    <w:link w:val="93"/>
    <w:qFormat/>
    <w:uiPriority w:val="0"/>
    <w:rPr>
      <w:b/>
      <w:sz w:val="24"/>
      <w:szCs w:val="24"/>
    </w:rPr>
  </w:style>
  <w:style w:type="paragraph" w:customStyle="1" w:styleId="93">
    <w:name w:val="6表头T"/>
    <w:basedOn w:val="12"/>
    <w:link w:val="92"/>
    <w:qFormat/>
    <w:uiPriority w:val="0"/>
    <w:pPr>
      <w:spacing w:line="360" w:lineRule="auto"/>
      <w:jc w:val="center"/>
    </w:pPr>
    <w:rPr>
      <w:rFonts w:asciiTheme="minorHAnsi" w:hAnsiTheme="minorHAnsi" w:eastAsiaTheme="minorEastAsia" w:cstheme="minorBidi"/>
      <w:b/>
      <w:sz w:val="24"/>
      <w:szCs w:val="24"/>
    </w:rPr>
  </w:style>
  <w:style w:type="character" w:customStyle="1" w:styleId="94">
    <w:name w:val="5标准正文 Char Char"/>
    <w:link w:val="95"/>
    <w:qFormat/>
    <w:uiPriority w:val="0"/>
    <w:rPr>
      <w:sz w:val="24"/>
    </w:rPr>
  </w:style>
  <w:style w:type="paragraph" w:customStyle="1" w:styleId="95">
    <w:name w:val="5标准正文"/>
    <w:basedOn w:val="1"/>
    <w:link w:val="94"/>
    <w:qFormat/>
    <w:uiPriority w:val="0"/>
    <w:pPr>
      <w:spacing w:line="460" w:lineRule="exact"/>
      <w:ind w:firstLine="200" w:firstLineChars="200"/>
    </w:pPr>
    <w:rPr>
      <w:rFonts w:asciiTheme="minorHAnsi" w:hAnsiTheme="minorHAnsi" w:eastAsiaTheme="minorEastAsia" w:cstheme="minorBidi"/>
      <w:sz w:val="24"/>
      <w:szCs w:val="22"/>
    </w:rPr>
  </w:style>
  <w:style w:type="paragraph" w:customStyle="1" w:styleId="96">
    <w:name w:val="7 表格内容"/>
    <w:basedOn w:val="54"/>
    <w:qFormat/>
    <w:uiPriority w:val="0"/>
    <w:pPr>
      <w:adjustRightInd w:val="0"/>
      <w:spacing w:line="320" w:lineRule="exact"/>
    </w:pPr>
  </w:style>
  <w:style w:type="paragraph" w:customStyle="1" w:styleId="97">
    <w:name w:val="zhengwen"/>
    <w:basedOn w:val="1"/>
    <w:link w:val="121"/>
    <w:semiHidden/>
    <w:qFormat/>
    <w:uiPriority w:val="0"/>
    <w:pPr>
      <w:spacing w:line="440" w:lineRule="exact"/>
      <w:ind w:firstLine="480" w:firstLineChars="200"/>
    </w:pPr>
    <w:rPr>
      <w:rFonts w:hAnsi="宋体"/>
      <w:sz w:val="24"/>
      <w:szCs w:val="24"/>
    </w:rPr>
  </w:style>
  <w:style w:type="character" w:customStyle="1" w:styleId="98">
    <w:name w:val="正文(首行缩进) Char"/>
    <w:link w:val="99"/>
    <w:qFormat/>
    <w:uiPriority w:val="0"/>
    <w:rPr>
      <w:rFonts w:eastAsia="宋体"/>
      <w:snapToGrid w:val="0"/>
      <w:color w:val="000000"/>
      <w:sz w:val="24"/>
      <w:szCs w:val="24"/>
    </w:rPr>
  </w:style>
  <w:style w:type="paragraph" w:customStyle="1" w:styleId="99">
    <w:name w:val="正文(首行缩进)"/>
    <w:basedOn w:val="1"/>
    <w:link w:val="98"/>
    <w:qFormat/>
    <w:uiPriority w:val="0"/>
    <w:pPr>
      <w:widowControl/>
      <w:spacing w:line="360" w:lineRule="auto"/>
      <w:ind w:firstLine="540" w:firstLineChars="225"/>
      <w:jc w:val="left"/>
    </w:pPr>
    <w:rPr>
      <w:rFonts w:asciiTheme="minorHAnsi" w:hAnsiTheme="minorHAnsi" w:cstheme="minorBidi"/>
      <w:snapToGrid w:val="0"/>
      <w:color w:val="000000"/>
      <w:sz w:val="24"/>
      <w:szCs w:val="24"/>
    </w:rPr>
  </w:style>
  <w:style w:type="character" w:customStyle="1" w:styleId="100">
    <w:name w:val="我的正文 Char Char"/>
    <w:link w:val="48"/>
    <w:qFormat/>
    <w:uiPriority w:val="0"/>
    <w:rPr>
      <w:rFonts w:ascii="Times New Roman" w:hAnsi="Times New Roman" w:eastAsia="宋体" w:cs="Times New Roman"/>
      <w:sz w:val="24"/>
      <w:szCs w:val="24"/>
    </w:rPr>
  </w:style>
  <w:style w:type="character" w:customStyle="1" w:styleId="101">
    <w:name w:val="正文小四首缩1.3行距 Char"/>
    <w:link w:val="102"/>
    <w:qFormat/>
    <w:uiPriority w:val="0"/>
    <w:rPr>
      <w:sz w:val="24"/>
      <w:szCs w:val="24"/>
    </w:rPr>
  </w:style>
  <w:style w:type="paragraph" w:customStyle="1" w:styleId="102">
    <w:name w:val="正文小四首缩1.3行距"/>
    <w:basedOn w:val="1"/>
    <w:link w:val="101"/>
    <w:qFormat/>
    <w:uiPriority w:val="0"/>
    <w:pPr>
      <w:spacing w:line="312" w:lineRule="auto"/>
      <w:ind w:firstLine="420" w:firstLineChars="200"/>
    </w:pPr>
    <w:rPr>
      <w:rFonts w:asciiTheme="minorHAnsi" w:hAnsiTheme="minorHAnsi" w:eastAsiaTheme="minorEastAsia" w:cstheme="minorBidi"/>
      <w:sz w:val="24"/>
      <w:szCs w:val="24"/>
    </w:rPr>
  </w:style>
  <w:style w:type="character" w:customStyle="1" w:styleId="103">
    <w:name w:val="正文文本 字符"/>
    <w:basedOn w:val="33"/>
    <w:link w:val="8"/>
    <w:semiHidden/>
    <w:qFormat/>
    <w:uiPriority w:val="99"/>
    <w:rPr>
      <w:rFonts w:ascii="Times New Roman" w:hAnsi="Times New Roman" w:eastAsia="宋体" w:cs="Times New Roman"/>
      <w:szCs w:val="20"/>
    </w:rPr>
  </w:style>
  <w:style w:type="paragraph" w:customStyle="1" w:styleId="104">
    <w:name w:val="Char1"/>
    <w:basedOn w:val="1"/>
    <w:qFormat/>
    <w:uiPriority w:val="0"/>
    <w:pPr>
      <w:snapToGrid w:val="0"/>
      <w:spacing w:line="360" w:lineRule="auto"/>
      <w:ind w:firstLine="529" w:firstLineChars="200"/>
    </w:pPr>
    <w:rPr>
      <w:rFonts w:ascii="宋体" w:hAnsi="宋体"/>
      <w:b/>
      <w:szCs w:val="24"/>
    </w:rPr>
  </w:style>
  <w:style w:type="paragraph" w:customStyle="1" w:styleId="105">
    <w:name w:val="样式1"/>
    <w:basedOn w:val="1"/>
    <w:qFormat/>
    <w:uiPriority w:val="0"/>
    <w:pPr>
      <w:adjustRightInd w:val="0"/>
      <w:snapToGrid w:val="0"/>
      <w:spacing w:line="360" w:lineRule="auto"/>
    </w:pPr>
    <w:rPr>
      <w:sz w:val="28"/>
      <w:szCs w:val="24"/>
    </w:rPr>
  </w:style>
  <w:style w:type="character" w:customStyle="1" w:styleId="106">
    <w:name w:val="正文文本缩进 2 字符"/>
    <w:basedOn w:val="33"/>
    <w:link w:val="15"/>
    <w:semiHidden/>
    <w:qFormat/>
    <w:uiPriority w:val="99"/>
    <w:rPr>
      <w:rFonts w:ascii="Times New Roman" w:hAnsi="Times New Roman" w:eastAsia="宋体" w:cs="Times New Roman"/>
      <w:szCs w:val="20"/>
    </w:rPr>
  </w:style>
  <w:style w:type="character" w:customStyle="1" w:styleId="107">
    <w:name w:val="5-正文 Char"/>
    <w:link w:val="108"/>
    <w:qFormat/>
    <w:uiPriority w:val="0"/>
    <w:rPr>
      <w:sz w:val="24"/>
    </w:rPr>
  </w:style>
  <w:style w:type="paragraph" w:customStyle="1" w:styleId="108">
    <w:name w:val="5-正文"/>
    <w:basedOn w:val="1"/>
    <w:link w:val="107"/>
    <w:qFormat/>
    <w:uiPriority w:val="0"/>
    <w:pPr>
      <w:snapToGrid w:val="0"/>
      <w:spacing w:line="480" w:lineRule="exact"/>
      <w:ind w:firstLine="200" w:firstLineChars="200"/>
    </w:pPr>
    <w:rPr>
      <w:rFonts w:asciiTheme="minorHAnsi" w:hAnsiTheme="minorHAnsi" w:eastAsiaTheme="minorEastAsia" w:cstheme="minorBidi"/>
      <w:sz w:val="24"/>
      <w:szCs w:val="22"/>
    </w:rPr>
  </w:style>
  <w:style w:type="character" w:customStyle="1" w:styleId="109">
    <w:name w:val="日期 字符"/>
    <w:basedOn w:val="33"/>
    <w:link w:val="14"/>
    <w:qFormat/>
    <w:uiPriority w:val="0"/>
    <w:rPr>
      <w:rFonts w:ascii="楷体_GB2312" w:hAnsi="Times New Roman" w:eastAsia="楷体_GB2312" w:cs="Times New Roman"/>
      <w:sz w:val="28"/>
      <w:szCs w:val="20"/>
    </w:rPr>
  </w:style>
  <w:style w:type="paragraph" w:customStyle="1" w:styleId="110">
    <w:name w:val="Char Char Char Char Char Char Char Char Char Char2"/>
    <w:basedOn w:val="1"/>
    <w:qFormat/>
    <w:uiPriority w:val="0"/>
  </w:style>
  <w:style w:type="character" w:customStyle="1" w:styleId="111">
    <w:name w:val="font31"/>
    <w:qFormat/>
    <w:uiPriority w:val="0"/>
    <w:rPr>
      <w:rFonts w:hint="default" w:ascii="Times New Roman" w:hAnsi="Times New Roman" w:cs="Times New Roman"/>
      <w:color w:val="000000"/>
      <w:sz w:val="22"/>
      <w:szCs w:val="22"/>
      <w:u w:val="none"/>
    </w:rPr>
  </w:style>
  <w:style w:type="paragraph" w:customStyle="1" w:styleId="112">
    <w:name w:val="Char Char Char Char Char Char Char Char Char Char1"/>
    <w:basedOn w:val="1"/>
    <w:qFormat/>
    <w:uiPriority w:val="0"/>
  </w:style>
  <w:style w:type="paragraph" w:customStyle="1" w:styleId="113">
    <w:name w:val="Char Char9"/>
    <w:basedOn w:val="1"/>
    <w:qFormat/>
    <w:uiPriority w:val="0"/>
  </w:style>
  <w:style w:type="character" w:customStyle="1" w:styleId="114">
    <w:name w:val="Char Char1"/>
    <w:basedOn w:val="33"/>
    <w:qFormat/>
    <w:locked/>
    <w:uiPriority w:val="0"/>
    <w:rPr>
      <w:rFonts w:ascii="宋体" w:hAnsi="Courier New" w:eastAsia="宋体"/>
      <w:kern w:val="2"/>
      <w:sz w:val="21"/>
      <w:lang w:val="en-US" w:eastAsia="zh-CN" w:bidi="ar-SA"/>
    </w:rPr>
  </w:style>
  <w:style w:type="paragraph" w:customStyle="1" w:styleId="115">
    <w:name w:val="样式 5号表格 + (符号) 宋体 行距: 最小值 0 磅"/>
    <w:basedOn w:val="1"/>
    <w:semiHidden/>
    <w:qFormat/>
    <w:uiPriority w:val="0"/>
    <w:pPr>
      <w:widowControl/>
      <w:snapToGrid w:val="0"/>
      <w:spacing w:line="0" w:lineRule="atLeast"/>
      <w:jc w:val="center"/>
    </w:pPr>
    <w:rPr>
      <w:rFonts w:hAnsi="宋体" w:cs="宋体"/>
    </w:rPr>
  </w:style>
  <w:style w:type="paragraph" w:customStyle="1" w:styleId="116">
    <w:name w:val="WPS Plain"/>
    <w:qFormat/>
    <w:uiPriority w:val="0"/>
    <w:rPr>
      <w:rFonts w:ascii="Times New Roman" w:hAnsi="Times New Roman" w:eastAsia="宋体" w:cs="Times New Roman"/>
      <w:kern w:val="0"/>
      <w:sz w:val="20"/>
      <w:szCs w:val="20"/>
      <w:lang w:val="en-US" w:eastAsia="zh-CN" w:bidi="ar-SA"/>
    </w:rPr>
  </w:style>
  <w:style w:type="paragraph" w:customStyle="1" w:styleId="117">
    <w:name w:val="Default"/>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118">
    <w:name w:val="表格文字L16"/>
    <w:basedOn w:val="1"/>
    <w:qFormat/>
    <w:uiPriority w:val="0"/>
    <w:pPr>
      <w:adjustRightInd w:val="0"/>
      <w:snapToGrid w:val="0"/>
      <w:spacing w:line="320" w:lineRule="exact"/>
      <w:jc w:val="center"/>
    </w:pPr>
    <w:rPr>
      <w:rFonts w:eastAsia="Times New Roman"/>
      <w:color w:val="000000"/>
      <w:kern w:val="32"/>
    </w:rPr>
  </w:style>
  <w:style w:type="paragraph" w:customStyle="1" w:styleId="119">
    <w:name w:val="表格"/>
    <w:basedOn w:val="1"/>
    <w:semiHidden/>
    <w:qFormat/>
    <w:uiPriority w:val="0"/>
    <w:pPr>
      <w:autoSpaceDE w:val="0"/>
      <w:autoSpaceDN w:val="0"/>
      <w:adjustRightInd w:val="0"/>
      <w:spacing w:line="320" w:lineRule="exact"/>
      <w:jc w:val="center"/>
    </w:pPr>
    <w:rPr>
      <w:rFonts w:ascii="宋体"/>
      <w:color w:val="000000"/>
      <w:spacing w:val="-20"/>
      <w:kern w:val="0"/>
      <w:sz w:val="24"/>
    </w:rPr>
  </w:style>
  <w:style w:type="character" w:customStyle="1" w:styleId="120">
    <w:name w:val="正文文本缩进 3 字符"/>
    <w:basedOn w:val="33"/>
    <w:link w:val="23"/>
    <w:semiHidden/>
    <w:qFormat/>
    <w:uiPriority w:val="99"/>
    <w:rPr>
      <w:rFonts w:ascii="Times New Roman" w:hAnsi="Times New Roman" w:eastAsia="宋体" w:cs="Times New Roman"/>
      <w:sz w:val="16"/>
      <w:szCs w:val="16"/>
    </w:rPr>
  </w:style>
  <w:style w:type="character" w:customStyle="1" w:styleId="121">
    <w:name w:val="zhengwen Char"/>
    <w:basedOn w:val="33"/>
    <w:link w:val="97"/>
    <w:semiHidden/>
    <w:qFormat/>
    <w:uiPriority w:val="0"/>
    <w:rPr>
      <w:rFonts w:ascii="Times New Roman" w:hAnsi="宋体" w:eastAsia="宋体" w:cs="Times New Roman"/>
      <w:sz w:val="24"/>
      <w:szCs w:val="24"/>
    </w:rPr>
  </w:style>
  <w:style w:type="paragraph" w:customStyle="1" w:styleId="122">
    <w:name w:val="【正文】"/>
    <w:basedOn w:val="1"/>
    <w:link w:val="130"/>
    <w:qFormat/>
    <w:uiPriority w:val="0"/>
    <w:pPr>
      <w:spacing w:line="440" w:lineRule="exact"/>
      <w:ind w:firstLine="544" w:firstLineChars="200"/>
    </w:pPr>
  </w:style>
  <w:style w:type="paragraph" w:customStyle="1" w:styleId="123">
    <w:name w:val="1"/>
    <w:basedOn w:val="1"/>
    <w:next w:val="9"/>
    <w:qFormat/>
    <w:uiPriority w:val="0"/>
    <w:pPr>
      <w:spacing w:line="440" w:lineRule="exact"/>
      <w:ind w:firstLine="539"/>
    </w:pPr>
    <w:rPr>
      <w:rFonts w:ascii="宋体"/>
      <w:b/>
      <w:spacing w:val="4"/>
      <w:kern w:val="0"/>
      <w:sz w:val="24"/>
    </w:rPr>
  </w:style>
  <w:style w:type="paragraph" w:customStyle="1" w:styleId="124">
    <w:name w:val="君邦正文"/>
    <w:basedOn w:val="1"/>
    <w:qFormat/>
    <w:uiPriority w:val="0"/>
    <w:pPr>
      <w:spacing w:after="60" w:line="360" w:lineRule="auto"/>
      <w:ind w:firstLine="200" w:firstLineChars="200"/>
    </w:pPr>
    <w:rPr>
      <w:rFonts w:hint="eastAsia" w:ascii="宋体"/>
      <w:kern w:val="0"/>
      <w:sz w:val="24"/>
    </w:rPr>
  </w:style>
  <w:style w:type="character" w:customStyle="1" w:styleId="125">
    <w:name w:val="批注文字 字符"/>
    <w:basedOn w:val="33"/>
    <w:link w:val="7"/>
    <w:qFormat/>
    <w:uiPriority w:val="0"/>
    <w:rPr>
      <w:rFonts w:ascii="Times New Roman" w:hAnsi="Times New Roman" w:eastAsia="宋体" w:cs="Times New Roman"/>
      <w:szCs w:val="20"/>
    </w:rPr>
  </w:style>
  <w:style w:type="character" w:customStyle="1" w:styleId="126">
    <w:name w:val="批注主题 字符"/>
    <w:basedOn w:val="125"/>
    <w:link w:val="29"/>
    <w:semiHidden/>
    <w:qFormat/>
    <w:uiPriority w:val="99"/>
    <w:rPr>
      <w:rFonts w:ascii="Times New Roman" w:hAnsi="Times New Roman" w:eastAsia="宋体" w:cs="Times New Roman"/>
      <w:b/>
      <w:bCs/>
      <w:szCs w:val="20"/>
    </w:rPr>
  </w:style>
  <w:style w:type="character" w:customStyle="1" w:styleId="127">
    <w:name w:val="【表中文字】 Char"/>
    <w:link w:val="128"/>
    <w:qFormat/>
    <w:locked/>
    <w:uiPriority w:val="0"/>
    <w:rPr>
      <w:lang w:val="zh-CN"/>
    </w:rPr>
  </w:style>
  <w:style w:type="paragraph" w:customStyle="1" w:styleId="128">
    <w:name w:val="【表中文字】"/>
    <w:basedOn w:val="1"/>
    <w:link w:val="127"/>
    <w:qFormat/>
    <w:uiPriority w:val="0"/>
    <w:pPr>
      <w:widowControl/>
      <w:jc w:val="center"/>
    </w:pPr>
    <w:rPr>
      <w:rFonts w:asciiTheme="minorHAnsi" w:hAnsiTheme="minorHAnsi" w:eastAsiaTheme="minorEastAsia" w:cstheme="minorBidi"/>
      <w:szCs w:val="22"/>
      <w:lang w:val="zh-CN"/>
    </w:rPr>
  </w:style>
  <w:style w:type="character" w:customStyle="1" w:styleId="129">
    <w:name w:val="副标题 字符"/>
    <w:basedOn w:val="33"/>
    <w:link w:val="21"/>
    <w:qFormat/>
    <w:uiPriority w:val="0"/>
    <w:rPr>
      <w:rFonts w:ascii="Calibri Light" w:hAnsi="Calibri Light" w:eastAsia="宋体" w:cs="宋体"/>
      <w:b/>
      <w:bCs/>
      <w:kern w:val="28"/>
      <w:sz w:val="32"/>
      <w:szCs w:val="32"/>
    </w:rPr>
  </w:style>
  <w:style w:type="character" w:customStyle="1" w:styleId="130">
    <w:name w:val="【正文】 Char"/>
    <w:link w:val="122"/>
    <w:qFormat/>
    <w:locked/>
    <w:uiPriority w:val="0"/>
    <w:rPr>
      <w:rFonts w:ascii="Times New Roman" w:hAnsi="Times New Roman" w:eastAsia="宋体" w:cs="Times New Roman"/>
      <w:szCs w:val="20"/>
    </w:rPr>
  </w:style>
  <w:style w:type="character" w:customStyle="1" w:styleId="131">
    <w:name w:val="【表头】 Char"/>
    <w:link w:val="132"/>
    <w:qFormat/>
    <w:locked/>
    <w:uiPriority w:val="0"/>
    <w:rPr>
      <w:rFonts w:ascii="黑体" w:hAnsi="黑体" w:eastAsia="黑体"/>
      <w:lang w:val="zh-CN"/>
    </w:rPr>
  </w:style>
  <w:style w:type="paragraph" w:customStyle="1" w:styleId="132">
    <w:name w:val="【表头】"/>
    <w:basedOn w:val="1"/>
    <w:link w:val="131"/>
    <w:qFormat/>
    <w:uiPriority w:val="0"/>
    <w:pPr>
      <w:widowControl/>
      <w:spacing w:line="500" w:lineRule="exact"/>
      <w:jc w:val="center"/>
    </w:pPr>
    <w:rPr>
      <w:rFonts w:ascii="黑体" w:hAnsi="黑体" w:eastAsia="黑体" w:cstheme="minorBidi"/>
      <w:szCs w:val="22"/>
      <w:lang w:val="zh-CN"/>
    </w:rPr>
  </w:style>
  <w:style w:type="character" w:customStyle="1" w:styleId="133">
    <w:name w:val="批注文字 字符2"/>
    <w:qFormat/>
    <w:uiPriority w:val="0"/>
    <w:rPr>
      <w:sz w:val="24"/>
      <w:szCs w:val="22"/>
    </w:rPr>
  </w:style>
  <w:style w:type="character" w:customStyle="1" w:styleId="134">
    <w:name w:val="【表中文字】- 字符"/>
    <w:link w:val="135"/>
    <w:qFormat/>
    <w:locked/>
    <w:uiPriority w:val="0"/>
    <w:rPr>
      <w:rFonts w:ascii="宋体" w:hAnsi="宋体" w:eastAsia="宋体" w:cs="宋体"/>
    </w:rPr>
  </w:style>
  <w:style w:type="paragraph" w:customStyle="1" w:styleId="135">
    <w:name w:val="【表中文字】-"/>
    <w:basedOn w:val="1"/>
    <w:link w:val="134"/>
    <w:qFormat/>
    <w:uiPriority w:val="0"/>
    <w:pPr>
      <w:widowControl/>
      <w:jc w:val="center"/>
    </w:pPr>
    <w:rPr>
      <w:rFonts w:ascii="宋体" w:hAnsi="宋体" w:cs="宋体"/>
      <w:szCs w:val="22"/>
    </w:rPr>
  </w:style>
  <w:style w:type="paragraph" w:customStyle="1" w:styleId="136">
    <w:name w:val="样式 正文文字-1 + 首行缩进:  2.1 字符1"/>
    <w:basedOn w:val="1"/>
    <w:qFormat/>
    <w:uiPriority w:val="0"/>
    <w:pPr>
      <w:spacing w:before="120" w:after="120" w:line="440" w:lineRule="exact"/>
      <w:ind w:firstLine="210" w:firstLineChars="210"/>
    </w:pPr>
    <w:rPr>
      <w:rFonts w:ascii="Calibri" w:hAnsi="Calibri" w:cs="宋体"/>
      <w:sz w:val="24"/>
    </w:rPr>
  </w:style>
  <w:style w:type="character" w:customStyle="1" w:styleId="137">
    <w:name w:val="页脚 Char1"/>
    <w:qFormat/>
    <w:locked/>
    <w:uiPriority w:val="99"/>
    <w:rPr>
      <w:rFonts w:ascii="Times New Roman" w:hAnsi="Times New Roman" w:eastAsia="仿宋_GB2312" w:cs="Times New Roman"/>
      <w:sz w:val="18"/>
      <w:szCs w:val="18"/>
    </w:rPr>
  </w:style>
  <w:style w:type="character" w:customStyle="1" w:styleId="138">
    <w:name w:val="标题 5 字符"/>
    <w:basedOn w:val="33"/>
    <w:link w:val="4"/>
    <w:semiHidden/>
    <w:qFormat/>
    <w:uiPriority w:val="9"/>
    <w:rPr>
      <w:rFonts w:ascii="Times New Roman" w:hAnsi="Times New Roman" w:eastAsia="宋体" w:cs="Times New Roman"/>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3.jpeg"/><Relationship Id="rId44" Type="http://schemas.openxmlformats.org/officeDocument/2006/relationships/image" Target="media/image22.emf"/><Relationship Id="rId43" Type="http://schemas.openxmlformats.org/officeDocument/2006/relationships/oleObject" Target="embeddings/oleObject6.bin"/><Relationship Id="rId42" Type="http://schemas.openxmlformats.org/officeDocument/2006/relationships/image" Target="media/image21.png"/><Relationship Id="rId41" Type="http://schemas.openxmlformats.org/officeDocument/2006/relationships/image" Target="media/image20.wmf"/><Relationship Id="rId40" Type="http://schemas.openxmlformats.org/officeDocument/2006/relationships/oleObject" Target="embeddings/oleObject5.bin"/><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w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wmf"/><Relationship Id="rId27" Type="http://schemas.openxmlformats.org/officeDocument/2006/relationships/image" Target="media/image8.wmf"/><Relationship Id="rId26" Type="http://schemas.openxmlformats.org/officeDocument/2006/relationships/image" Target="media/image7.wmf"/><Relationship Id="rId25" Type="http://schemas.openxmlformats.org/officeDocument/2006/relationships/image" Target="media/image6.png"/><Relationship Id="rId24" Type="http://schemas.openxmlformats.org/officeDocument/2006/relationships/image" Target="media/image5.emf"/><Relationship Id="rId23" Type="http://schemas.openxmlformats.org/officeDocument/2006/relationships/oleObject" Target="embeddings/oleObject3.bin"/><Relationship Id="rId22" Type="http://schemas.openxmlformats.org/officeDocument/2006/relationships/image" Target="media/image4.emf"/><Relationship Id="rId21" Type="http://schemas.openxmlformats.org/officeDocument/2006/relationships/oleObject" Target="embeddings/oleObject2.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26"/>
    <customShpInfo spid="_x0000_s1035"/>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3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F731CB-80C3-4C1C-A9DE-E4169C3BECB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174</Pages>
  <Words>100643</Words>
  <Characters>120423</Characters>
  <Lines>959</Lines>
  <Paragraphs>270</Paragraphs>
  <TotalTime>5630</TotalTime>
  <ScaleCrop>false</ScaleCrop>
  <LinksUpToDate>false</LinksUpToDate>
  <CharactersWithSpaces>121480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2019-03-04T15:19:00Z</dcterms:created>
  <dc:creator>Administrator</dc:creator>
  <cp:lastModifiedBy>武瑢</cp:lastModifiedBy>
  <cp:lastPrinted>2019-05-21T00:41:00Z</cp:lastPrinted>
  <dcterms:modified xsi:type="dcterms:W3CDTF">2023-10-10T02:12:37Z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AA9F9ED305264A208D8D629B29CFDB03</vt:lpwstr>
  </property>
</Properties>
</file>