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165E5C">
      <w:pPr>
        <w:keepNext w:val="0"/>
        <w:keepLines w:val="0"/>
        <w:pageBreakBefore w:val="0"/>
        <w:widowControl w:val="0"/>
        <w:tabs>
          <w:tab w:val="left" w:pos="3120"/>
        </w:tabs>
        <w:kinsoku/>
        <w:wordWrap/>
        <w:overflowPunct/>
        <w:topLinePunct w:val="0"/>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033AAFBB">
      <w:pPr>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outlineLvl w:val="9"/>
        <w:rPr>
          <w:rFonts w:hint="default" w:ascii="Times New Roman" w:hAnsi="Times New Roman" w:eastAsia="仿宋" w:cs="Times New Roman"/>
          <w:b/>
          <w:bCs w:val="0"/>
          <w:color w:val="000000"/>
          <w:sz w:val="48"/>
          <w:szCs w:val="48"/>
          <w:highlight w:val="none"/>
          <w:lang w:val="en-US" w:eastAsia="zh-CN"/>
        </w:rPr>
      </w:pPr>
      <w:bookmarkStart w:id="0" w:name="_Toc12187"/>
      <w:r>
        <w:rPr>
          <w:rFonts w:hint="eastAsia" w:cs="Times New Roman"/>
          <w:b/>
          <w:bCs w:val="0"/>
          <w:color w:val="000000"/>
          <w:sz w:val="48"/>
          <w:szCs w:val="48"/>
          <w:highlight w:val="none"/>
          <w:lang w:val="en-US" w:eastAsia="zh-CN"/>
        </w:rPr>
        <w:t>汾阳市石门沟集中供水水源地</w:t>
      </w:r>
    </w:p>
    <w:p w14:paraId="080560EE">
      <w:pPr>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outlineLvl w:val="9"/>
        <w:rPr>
          <w:rFonts w:hint="default" w:ascii="Times New Roman" w:hAnsi="Times New Roman" w:eastAsia="仿宋" w:cs="Times New Roman"/>
          <w:b/>
          <w:bCs w:val="0"/>
          <w:color w:val="000000"/>
          <w:sz w:val="52"/>
          <w:szCs w:val="52"/>
          <w:highlight w:val="none"/>
        </w:rPr>
      </w:pPr>
      <w:bookmarkStart w:id="1" w:name="_Toc27828"/>
      <w:bookmarkStart w:id="2" w:name="_Toc29212"/>
      <w:bookmarkStart w:id="3" w:name="_Toc21901"/>
      <w:bookmarkStart w:id="4" w:name="_Toc19132"/>
      <w:r>
        <w:rPr>
          <w:rFonts w:hint="default" w:ascii="Times New Roman" w:hAnsi="Times New Roman" w:eastAsia="仿宋" w:cs="Times New Roman"/>
          <w:b/>
          <w:bCs w:val="0"/>
          <w:color w:val="000000"/>
          <w:sz w:val="48"/>
          <w:szCs w:val="48"/>
          <w:highlight w:val="none"/>
        </w:rPr>
        <w:t>突发环境事件应急预案</w:t>
      </w:r>
      <w:bookmarkEnd w:id="0"/>
      <w:bookmarkEnd w:id="1"/>
      <w:bookmarkEnd w:id="2"/>
      <w:bookmarkEnd w:id="3"/>
      <w:bookmarkEnd w:id="4"/>
    </w:p>
    <w:p w14:paraId="1F4FB6AA">
      <w:pPr>
        <w:pStyle w:val="23"/>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color w:val="000000"/>
          <w:sz w:val="28"/>
          <w:szCs w:val="28"/>
          <w:highlight w:val="none"/>
          <w:lang w:eastAsia="zh-CN"/>
        </w:rPr>
      </w:pPr>
    </w:p>
    <w:p w14:paraId="75C29010">
      <w:pPr>
        <w:keepNext w:val="0"/>
        <w:keepLines w:val="0"/>
        <w:pageBreakBefore w:val="0"/>
        <w:widowControl w:val="0"/>
        <w:kinsoku/>
        <w:wordWrap/>
        <w:overflowPunct/>
        <w:topLinePunct w:val="0"/>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1EA2640A">
      <w:pPr>
        <w:keepNext w:val="0"/>
        <w:keepLines w:val="0"/>
        <w:pageBreakBefore w:val="0"/>
        <w:widowControl w:val="0"/>
        <w:kinsoku/>
        <w:wordWrap/>
        <w:overflowPunct/>
        <w:topLinePunct w:val="0"/>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45D4BAF4">
      <w:pPr>
        <w:keepNext w:val="0"/>
        <w:keepLines w:val="0"/>
        <w:pageBreakBefore w:val="0"/>
        <w:widowControl w:val="0"/>
        <w:kinsoku/>
        <w:wordWrap/>
        <w:overflowPunct/>
        <w:topLinePunct w:val="0"/>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r>
        <w:rPr>
          <w:rFonts w:hint="default" w:ascii="Times New Roman" w:hAnsi="Times New Roman" w:eastAsia="仿宋" w:cs="Times New Roman"/>
          <w:sz w:val="28"/>
          <w:szCs w:val="28"/>
          <w:highlight w:val="none"/>
        </w:rPr>
        <w:drawing>
          <wp:anchor distT="0" distB="0" distL="114300" distR="114300" simplePos="0" relativeHeight="251663360" behindDoc="0" locked="0" layoutInCell="1" allowOverlap="0">
            <wp:simplePos x="0" y="0"/>
            <wp:positionH relativeFrom="column">
              <wp:posOffset>1652905</wp:posOffset>
            </wp:positionH>
            <wp:positionV relativeFrom="paragraph">
              <wp:posOffset>509905</wp:posOffset>
            </wp:positionV>
            <wp:extent cx="1993900" cy="1896110"/>
            <wp:effectExtent l="0" t="0" r="6350" b="8890"/>
            <wp:wrapTopAndBottom/>
            <wp:docPr id="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2"/>
                    <pic:cNvPicPr>
                      <a:picLocks noChangeAspect="1"/>
                    </pic:cNvPicPr>
                  </pic:nvPicPr>
                  <pic:blipFill>
                    <a:blip r:embed="rId19"/>
                    <a:stretch>
                      <a:fillRect/>
                    </a:stretch>
                  </pic:blipFill>
                  <pic:spPr>
                    <a:xfrm>
                      <a:off x="0" y="0"/>
                      <a:ext cx="1993900" cy="1896110"/>
                    </a:xfrm>
                    <a:prstGeom prst="rect">
                      <a:avLst/>
                    </a:prstGeom>
                    <a:noFill/>
                    <a:ln>
                      <a:noFill/>
                    </a:ln>
                  </pic:spPr>
                </pic:pic>
              </a:graphicData>
            </a:graphic>
          </wp:anchor>
        </w:drawing>
      </w:r>
    </w:p>
    <w:p w14:paraId="17CC3687">
      <w:pPr>
        <w:pStyle w:val="23"/>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252A4421">
      <w:pPr>
        <w:pStyle w:val="23"/>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322D2667">
      <w:pPr>
        <w:pStyle w:val="23"/>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151B291A">
      <w:pPr>
        <w:pStyle w:val="23"/>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60CF38BA">
      <w:pPr>
        <w:pStyle w:val="23"/>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3E357F0A">
      <w:pPr>
        <w:pStyle w:val="23"/>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7B27BE3C">
      <w:pPr>
        <w:pStyle w:val="23"/>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b/>
          <w:color w:val="000000"/>
          <w:sz w:val="36"/>
          <w:szCs w:val="36"/>
          <w:highlight w:val="none"/>
        </w:rPr>
      </w:pPr>
    </w:p>
    <w:p w14:paraId="5EAD9ABF">
      <w:pPr>
        <w:pStyle w:val="23"/>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b/>
          <w:color w:val="000000"/>
          <w:spacing w:val="20"/>
          <w:sz w:val="36"/>
          <w:szCs w:val="36"/>
          <w:highlight w:val="none"/>
          <w:lang w:eastAsia="zh-CN"/>
        </w:rPr>
      </w:pPr>
      <w:r>
        <w:rPr>
          <w:rFonts w:hint="eastAsia" w:ascii="Times New Roman" w:hAnsi="Times New Roman" w:eastAsia="仿宋" w:cs="Times New Roman"/>
          <w:b/>
          <w:color w:val="000000"/>
          <w:spacing w:val="20"/>
          <w:sz w:val="36"/>
          <w:szCs w:val="36"/>
          <w:highlight w:val="none"/>
          <w:lang w:val="en-US" w:eastAsia="zh-CN"/>
        </w:rPr>
        <w:t>汾阳市</w:t>
      </w:r>
      <w:r>
        <w:rPr>
          <w:rFonts w:hint="default" w:ascii="Times New Roman" w:hAnsi="Times New Roman" w:eastAsia="仿宋" w:cs="Times New Roman"/>
          <w:b/>
          <w:color w:val="000000"/>
          <w:spacing w:val="20"/>
          <w:sz w:val="36"/>
          <w:szCs w:val="36"/>
          <w:highlight w:val="none"/>
          <w:lang w:eastAsia="zh-CN"/>
        </w:rPr>
        <w:t>人民政府</w:t>
      </w:r>
    </w:p>
    <w:p w14:paraId="40FB81A3">
      <w:pPr>
        <w:keepNext w:val="0"/>
        <w:keepLines w:val="0"/>
        <w:pageBreakBefore w:val="0"/>
        <w:widowControl w:val="0"/>
        <w:kinsoku/>
        <w:wordWrap/>
        <w:overflowPunct/>
        <w:topLinePunct w:val="0"/>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仿宋" w:cs="Times New Roman"/>
          <w:b/>
          <w:color w:val="000000"/>
          <w:sz w:val="36"/>
          <w:szCs w:val="36"/>
          <w:highlight w:val="none"/>
        </w:rPr>
      </w:pPr>
      <w:r>
        <w:rPr>
          <w:rFonts w:hint="eastAsia" w:cs="Times New Roman"/>
          <w:b/>
          <w:color w:val="000000"/>
          <w:sz w:val="36"/>
          <w:szCs w:val="36"/>
          <w:highlight w:val="none"/>
          <w:lang w:val="en-US" w:eastAsia="zh-CN"/>
        </w:rPr>
        <w:t>2025年11</w:t>
      </w:r>
      <w:r>
        <w:rPr>
          <w:rFonts w:hint="default" w:ascii="Times New Roman" w:hAnsi="Times New Roman" w:eastAsia="仿宋" w:cs="Times New Roman"/>
          <w:b/>
          <w:color w:val="000000"/>
          <w:sz w:val="36"/>
          <w:szCs w:val="36"/>
          <w:highlight w:val="none"/>
        </w:rPr>
        <w:t>月</w:t>
      </w:r>
    </w:p>
    <w:p w14:paraId="30146EC1">
      <w:pPr>
        <w:bidi w:val="0"/>
        <w:rPr>
          <w:rFonts w:hint="default"/>
        </w:rPr>
      </w:pPr>
      <w:r>
        <w:rPr>
          <w:rFonts w:hint="default"/>
        </w:rPr>
        <w:br w:type="page"/>
      </w:r>
    </w:p>
    <w:p w14:paraId="29139D00">
      <w:pPr>
        <w:pStyle w:val="13"/>
        <w:rPr>
          <w:rFonts w:hint="default"/>
        </w:rPr>
      </w:pPr>
    </w:p>
    <w:p w14:paraId="5E196D2B">
      <w:pPr>
        <w:keepNext w:val="0"/>
        <w:keepLines w:val="0"/>
        <w:pageBreakBefore w:val="0"/>
        <w:widowControl w:val="0"/>
        <w:kinsoku/>
        <w:wordWrap/>
        <w:overflowPunct/>
        <w:topLinePunct w:val="0"/>
        <w:autoSpaceDE/>
        <w:autoSpaceDN/>
        <w:bidi w:val="0"/>
        <w:adjustRightInd/>
        <w:snapToGrid/>
        <w:spacing w:after="0" w:line="360" w:lineRule="auto"/>
        <w:ind w:left="11" w:right="74" w:firstLine="0" w:firstLineChars="0"/>
        <w:jc w:val="center"/>
        <w:textAlignment w:val="auto"/>
        <w:rPr>
          <w:rFonts w:hint="eastAsia" w:ascii="仿宋" w:hAnsi="仿宋" w:eastAsia="仿宋" w:cs="仿宋"/>
          <w:b/>
          <w:bCs w:val="0"/>
          <w:caps w:val="0"/>
          <w:sz w:val="32"/>
          <w:szCs w:val="32"/>
          <w:lang w:val="en-US" w:eastAsia="zh-CN"/>
        </w:rPr>
      </w:pPr>
      <w:r>
        <w:rPr>
          <w:rFonts w:hint="eastAsia" w:ascii="仿宋" w:hAnsi="仿宋" w:cs="仿宋"/>
          <w:b/>
          <w:bCs w:val="0"/>
          <w:caps w:val="0"/>
          <w:sz w:val="32"/>
          <w:szCs w:val="32"/>
          <w:lang w:val="en-US" w:eastAsia="zh-CN"/>
        </w:rPr>
        <w:t>汾阳市石门沟集中供水水源地</w:t>
      </w:r>
    </w:p>
    <w:p w14:paraId="5C8629C0">
      <w:pPr>
        <w:keepNext w:val="0"/>
        <w:keepLines w:val="0"/>
        <w:pageBreakBefore w:val="0"/>
        <w:widowControl w:val="0"/>
        <w:kinsoku/>
        <w:wordWrap/>
        <w:overflowPunct/>
        <w:topLinePunct w:val="0"/>
        <w:autoSpaceDE/>
        <w:autoSpaceDN/>
        <w:bidi w:val="0"/>
        <w:adjustRightInd/>
        <w:snapToGrid/>
        <w:spacing w:after="0" w:line="360" w:lineRule="auto"/>
        <w:ind w:left="11" w:right="74" w:firstLine="0" w:firstLineChars="0"/>
        <w:jc w:val="center"/>
        <w:textAlignment w:val="auto"/>
        <w:rPr>
          <w:rFonts w:hint="default" w:ascii="仿宋" w:hAnsi="仿宋" w:eastAsia="仿宋" w:cs="仿宋"/>
          <w:b/>
          <w:color w:val="000000"/>
          <w:kern w:val="0"/>
          <w:sz w:val="32"/>
          <w:szCs w:val="32"/>
          <w:lang w:val="en-US" w:eastAsia="zh-CN" w:bidi="ar"/>
        </w:rPr>
      </w:pPr>
      <w:r>
        <w:rPr>
          <w:rFonts w:hint="eastAsia" w:ascii="仿宋" w:hAnsi="仿宋" w:eastAsia="仿宋" w:cs="仿宋"/>
          <w:b/>
          <w:bCs w:val="0"/>
          <w:caps w:val="0"/>
          <w:sz w:val="32"/>
          <w:szCs w:val="32"/>
          <w:lang w:val="en-US" w:eastAsia="zh-CN"/>
        </w:rPr>
        <w:t>突发环境事件应急预案</w:t>
      </w:r>
      <w:r>
        <w:rPr>
          <w:rFonts w:hint="eastAsia" w:ascii="仿宋" w:hAnsi="仿宋" w:cs="仿宋"/>
          <w:b/>
          <w:bCs w:val="0"/>
          <w:caps w:val="0"/>
          <w:sz w:val="32"/>
          <w:szCs w:val="32"/>
          <w:lang w:val="en-US" w:eastAsia="zh-CN"/>
        </w:rPr>
        <w:t>专家意见修改说明</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3244"/>
        <w:gridCol w:w="3086"/>
        <w:gridCol w:w="1298"/>
      </w:tblGrid>
      <w:tr w14:paraId="62D90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4" w:type="dxa"/>
            <w:vAlign w:val="center"/>
          </w:tcPr>
          <w:p w14:paraId="1947EE6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bCs w:val="0"/>
                <w:color w:val="000000"/>
                <w:kern w:val="0"/>
                <w:sz w:val="28"/>
                <w:szCs w:val="28"/>
                <w:vertAlign w:val="baseline"/>
                <w:lang w:val="en-US" w:eastAsia="zh-CN" w:bidi="ar"/>
              </w:rPr>
            </w:pPr>
            <w:r>
              <w:rPr>
                <w:rFonts w:hint="eastAsia" w:ascii="仿宋" w:hAnsi="仿宋" w:eastAsia="仿宋" w:cs="仿宋"/>
                <w:b/>
                <w:bCs w:val="0"/>
                <w:color w:val="000000"/>
                <w:kern w:val="0"/>
                <w:sz w:val="28"/>
                <w:szCs w:val="28"/>
                <w:vertAlign w:val="baseline"/>
                <w:lang w:val="en-US" w:eastAsia="zh-CN" w:bidi="ar"/>
              </w:rPr>
              <w:t>序号</w:t>
            </w:r>
          </w:p>
        </w:tc>
        <w:tc>
          <w:tcPr>
            <w:tcW w:w="3244" w:type="dxa"/>
            <w:vAlign w:val="center"/>
          </w:tcPr>
          <w:p w14:paraId="0CB58D0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bCs w:val="0"/>
                <w:color w:val="000000"/>
                <w:kern w:val="0"/>
                <w:sz w:val="28"/>
                <w:szCs w:val="28"/>
                <w:vertAlign w:val="baseline"/>
                <w:lang w:val="en-US" w:eastAsia="zh-CN" w:bidi="ar"/>
              </w:rPr>
            </w:pPr>
            <w:r>
              <w:rPr>
                <w:rFonts w:hint="eastAsia" w:ascii="仿宋" w:hAnsi="仿宋" w:eastAsia="仿宋" w:cs="仿宋"/>
                <w:b/>
                <w:bCs w:val="0"/>
                <w:color w:val="000000"/>
                <w:kern w:val="0"/>
                <w:sz w:val="28"/>
                <w:szCs w:val="28"/>
                <w:vertAlign w:val="baseline"/>
                <w:lang w:val="en-US" w:eastAsia="zh-CN" w:bidi="ar"/>
              </w:rPr>
              <w:t>专家意见</w:t>
            </w:r>
          </w:p>
        </w:tc>
        <w:tc>
          <w:tcPr>
            <w:tcW w:w="3086" w:type="dxa"/>
            <w:vAlign w:val="center"/>
          </w:tcPr>
          <w:p w14:paraId="3D2BF0E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bCs w:val="0"/>
                <w:color w:val="000000"/>
                <w:kern w:val="0"/>
                <w:sz w:val="28"/>
                <w:szCs w:val="28"/>
                <w:vertAlign w:val="baseline"/>
                <w:lang w:val="en-US" w:eastAsia="zh-CN" w:bidi="ar"/>
              </w:rPr>
            </w:pPr>
            <w:r>
              <w:rPr>
                <w:rFonts w:hint="eastAsia" w:ascii="仿宋" w:hAnsi="仿宋" w:eastAsia="仿宋" w:cs="仿宋"/>
                <w:b/>
                <w:bCs w:val="0"/>
                <w:color w:val="000000"/>
                <w:kern w:val="0"/>
                <w:sz w:val="28"/>
                <w:szCs w:val="28"/>
                <w:vertAlign w:val="baseline"/>
                <w:lang w:val="en-US" w:eastAsia="zh-CN" w:bidi="ar"/>
              </w:rPr>
              <w:t>修改说明</w:t>
            </w:r>
          </w:p>
        </w:tc>
        <w:tc>
          <w:tcPr>
            <w:tcW w:w="1298" w:type="dxa"/>
            <w:vAlign w:val="center"/>
          </w:tcPr>
          <w:p w14:paraId="52FA254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bCs w:val="0"/>
                <w:color w:val="000000"/>
                <w:kern w:val="0"/>
                <w:sz w:val="28"/>
                <w:szCs w:val="28"/>
                <w:vertAlign w:val="baseline"/>
                <w:lang w:val="en-US" w:eastAsia="zh-CN" w:bidi="ar"/>
              </w:rPr>
            </w:pPr>
            <w:r>
              <w:rPr>
                <w:rFonts w:hint="eastAsia" w:ascii="仿宋" w:hAnsi="仿宋" w:eastAsia="仿宋" w:cs="仿宋"/>
                <w:b/>
                <w:bCs w:val="0"/>
                <w:color w:val="000000"/>
                <w:kern w:val="0"/>
                <w:sz w:val="28"/>
                <w:szCs w:val="28"/>
                <w:vertAlign w:val="baseline"/>
                <w:lang w:val="en-US" w:eastAsia="zh-CN" w:bidi="ar"/>
              </w:rPr>
              <w:t>页码</w:t>
            </w:r>
          </w:p>
        </w:tc>
      </w:tr>
      <w:tr w14:paraId="760DC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4" w:type="dxa"/>
            <w:vAlign w:val="center"/>
          </w:tcPr>
          <w:p w14:paraId="167C1D1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b w:val="0"/>
                <w:bCs/>
                <w:color w:val="000000"/>
                <w:kern w:val="0"/>
                <w:sz w:val="28"/>
                <w:szCs w:val="28"/>
                <w:vertAlign w:val="baseline"/>
                <w:lang w:val="en-US" w:eastAsia="zh-CN" w:bidi="ar"/>
              </w:rPr>
              <w:t>1</w:t>
            </w:r>
          </w:p>
        </w:tc>
        <w:tc>
          <w:tcPr>
            <w:tcW w:w="3244" w:type="dxa"/>
            <w:vAlign w:val="center"/>
          </w:tcPr>
          <w:p w14:paraId="12C99C4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sz w:val="28"/>
                <w:szCs w:val="28"/>
                <w:lang w:val="en-US" w:eastAsia="zh-CN"/>
              </w:rPr>
              <w:t>完善与汾阳市人民政府、吕梁市生态环境局汾阳分局等相关预案的衔接内容</w:t>
            </w:r>
          </w:p>
        </w:tc>
        <w:tc>
          <w:tcPr>
            <w:tcW w:w="3086" w:type="dxa"/>
            <w:vAlign w:val="center"/>
          </w:tcPr>
          <w:p w14:paraId="53765B7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cs="仿宋"/>
                <w:sz w:val="28"/>
                <w:szCs w:val="28"/>
                <w:lang w:val="en-US" w:eastAsia="zh-CN"/>
              </w:rPr>
              <w:t>已</w:t>
            </w:r>
            <w:r>
              <w:rPr>
                <w:rFonts w:hint="eastAsia" w:ascii="仿宋" w:hAnsi="仿宋" w:eastAsia="仿宋" w:cs="仿宋"/>
                <w:sz w:val="28"/>
                <w:szCs w:val="28"/>
                <w:lang w:val="en-US" w:eastAsia="zh-CN"/>
              </w:rPr>
              <w:t>完善与汾阳市人民政府、吕梁市生态环境局汾阳分局等相关预案的衔接内容</w:t>
            </w:r>
          </w:p>
        </w:tc>
        <w:tc>
          <w:tcPr>
            <w:tcW w:w="1298" w:type="dxa"/>
            <w:vAlign w:val="center"/>
          </w:tcPr>
          <w:p w14:paraId="290747E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 w:hAnsi="仿宋" w:eastAsia="仿宋" w:cs="仿宋"/>
                <w:b w:val="0"/>
                <w:bCs/>
                <w:color w:val="000000"/>
                <w:kern w:val="0"/>
                <w:sz w:val="28"/>
                <w:szCs w:val="28"/>
                <w:vertAlign w:val="baseline"/>
                <w:lang w:val="en-US" w:eastAsia="zh-CN" w:bidi="ar"/>
              </w:rPr>
            </w:pPr>
            <w:r>
              <w:rPr>
                <w:rFonts w:hint="eastAsia" w:ascii="仿宋" w:hAnsi="仿宋" w:cs="仿宋"/>
                <w:b w:val="0"/>
                <w:bCs/>
                <w:color w:val="000000"/>
                <w:kern w:val="0"/>
                <w:sz w:val="28"/>
                <w:szCs w:val="28"/>
                <w:vertAlign w:val="baseline"/>
                <w:lang w:val="en-US" w:eastAsia="zh-CN" w:bidi="ar"/>
              </w:rPr>
              <w:t>见预案P3</w:t>
            </w:r>
          </w:p>
        </w:tc>
      </w:tr>
      <w:tr w14:paraId="320EF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4" w:type="dxa"/>
            <w:vAlign w:val="center"/>
          </w:tcPr>
          <w:p w14:paraId="3A0D590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b w:val="0"/>
                <w:bCs/>
                <w:color w:val="000000"/>
                <w:kern w:val="0"/>
                <w:sz w:val="28"/>
                <w:szCs w:val="28"/>
                <w:vertAlign w:val="baseline"/>
                <w:lang w:val="en-US" w:eastAsia="zh-CN" w:bidi="ar"/>
              </w:rPr>
              <w:t>2</w:t>
            </w:r>
          </w:p>
        </w:tc>
        <w:tc>
          <w:tcPr>
            <w:tcW w:w="3244" w:type="dxa"/>
            <w:vAlign w:val="center"/>
          </w:tcPr>
          <w:p w14:paraId="4C9DD9B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sz w:val="28"/>
                <w:szCs w:val="28"/>
              </w:rPr>
              <w:t>按</w:t>
            </w:r>
            <w:r>
              <w:rPr>
                <w:rFonts w:hint="eastAsia" w:ascii="仿宋" w:hAnsi="仿宋" w:eastAsia="仿宋" w:cs="仿宋"/>
                <w:sz w:val="28"/>
                <w:szCs w:val="28"/>
                <w:lang w:val="en-US" w:eastAsia="zh-CN"/>
              </w:rPr>
              <w:t>汾阳市</w:t>
            </w:r>
            <w:r>
              <w:rPr>
                <w:rFonts w:hint="eastAsia" w:ascii="仿宋" w:hAnsi="仿宋" w:eastAsia="仿宋" w:cs="仿宋"/>
                <w:sz w:val="28"/>
                <w:szCs w:val="28"/>
              </w:rPr>
              <w:t>应急领导机构、工作机构</w:t>
            </w:r>
            <w:r>
              <w:rPr>
                <w:rFonts w:hint="eastAsia" w:ascii="仿宋" w:hAnsi="仿宋" w:eastAsia="仿宋" w:cs="仿宋"/>
                <w:sz w:val="28"/>
                <w:szCs w:val="28"/>
                <w:lang w:val="en-US" w:eastAsia="zh-CN"/>
              </w:rPr>
              <w:t>实际</w:t>
            </w:r>
            <w:r>
              <w:rPr>
                <w:rFonts w:hint="eastAsia" w:ascii="仿宋" w:hAnsi="仿宋" w:eastAsia="仿宋" w:cs="仿宋"/>
                <w:sz w:val="28"/>
                <w:szCs w:val="28"/>
              </w:rPr>
              <w:t>工作内容</w:t>
            </w:r>
            <w:r>
              <w:rPr>
                <w:rFonts w:hint="eastAsia" w:ascii="仿宋" w:hAnsi="仿宋" w:eastAsia="仿宋" w:cs="仿宋"/>
                <w:sz w:val="28"/>
                <w:szCs w:val="28"/>
                <w:lang w:eastAsia="zh-CN"/>
              </w:rPr>
              <w:t>，</w:t>
            </w:r>
            <w:r>
              <w:rPr>
                <w:rFonts w:hint="eastAsia" w:ascii="仿宋" w:hAnsi="仿宋" w:eastAsia="仿宋" w:cs="仿宋"/>
                <w:sz w:val="28"/>
                <w:szCs w:val="28"/>
              </w:rPr>
              <w:t>完善应急组织机构体系和相应</w:t>
            </w:r>
            <w:r>
              <w:rPr>
                <w:rFonts w:hint="eastAsia" w:ascii="仿宋" w:hAnsi="仿宋" w:eastAsia="仿宋" w:cs="仿宋"/>
                <w:sz w:val="28"/>
                <w:szCs w:val="28"/>
                <w:lang w:eastAsia="zh-CN"/>
              </w:rPr>
              <w:t>工作</w:t>
            </w:r>
            <w:r>
              <w:rPr>
                <w:rFonts w:hint="eastAsia" w:ascii="仿宋" w:hAnsi="仿宋" w:eastAsia="仿宋" w:cs="仿宋"/>
                <w:sz w:val="28"/>
                <w:szCs w:val="28"/>
              </w:rPr>
              <w:t>职责</w:t>
            </w:r>
            <w:r>
              <w:rPr>
                <w:rFonts w:hint="eastAsia" w:ascii="仿宋" w:hAnsi="仿宋" w:eastAsia="仿宋" w:cs="仿宋"/>
                <w:sz w:val="28"/>
                <w:szCs w:val="28"/>
                <w:lang w:eastAsia="zh-CN"/>
              </w:rPr>
              <w:t>、任务分工</w:t>
            </w:r>
          </w:p>
        </w:tc>
        <w:tc>
          <w:tcPr>
            <w:tcW w:w="3086" w:type="dxa"/>
            <w:vAlign w:val="center"/>
          </w:tcPr>
          <w:p w14:paraId="55B7923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cs="仿宋"/>
                <w:sz w:val="28"/>
                <w:szCs w:val="28"/>
                <w:lang w:val="en-US" w:eastAsia="zh-CN"/>
              </w:rPr>
              <w:t>已</w:t>
            </w:r>
            <w:r>
              <w:rPr>
                <w:rFonts w:hint="eastAsia" w:ascii="仿宋" w:hAnsi="仿宋" w:eastAsia="仿宋" w:cs="仿宋"/>
                <w:sz w:val="28"/>
                <w:szCs w:val="28"/>
              </w:rPr>
              <w:t>按</w:t>
            </w:r>
            <w:r>
              <w:rPr>
                <w:rFonts w:hint="eastAsia" w:ascii="仿宋" w:hAnsi="仿宋" w:eastAsia="仿宋" w:cs="仿宋"/>
                <w:sz w:val="28"/>
                <w:szCs w:val="28"/>
                <w:lang w:val="en-US" w:eastAsia="zh-CN"/>
              </w:rPr>
              <w:t>汾阳市</w:t>
            </w:r>
            <w:r>
              <w:rPr>
                <w:rFonts w:hint="eastAsia" w:ascii="仿宋" w:hAnsi="仿宋" w:eastAsia="仿宋" w:cs="仿宋"/>
                <w:sz w:val="28"/>
                <w:szCs w:val="28"/>
              </w:rPr>
              <w:t>应急领导机构、工作机构</w:t>
            </w:r>
            <w:r>
              <w:rPr>
                <w:rFonts w:hint="eastAsia" w:ascii="仿宋" w:hAnsi="仿宋" w:eastAsia="仿宋" w:cs="仿宋"/>
                <w:sz w:val="28"/>
                <w:szCs w:val="28"/>
                <w:lang w:val="en-US" w:eastAsia="zh-CN"/>
              </w:rPr>
              <w:t>实际</w:t>
            </w:r>
            <w:r>
              <w:rPr>
                <w:rFonts w:hint="eastAsia" w:ascii="仿宋" w:hAnsi="仿宋" w:eastAsia="仿宋" w:cs="仿宋"/>
                <w:sz w:val="28"/>
                <w:szCs w:val="28"/>
              </w:rPr>
              <w:t>工作内容</w:t>
            </w:r>
            <w:r>
              <w:rPr>
                <w:rFonts w:hint="eastAsia" w:ascii="仿宋" w:hAnsi="仿宋" w:eastAsia="仿宋" w:cs="仿宋"/>
                <w:sz w:val="28"/>
                <w:szCs w:val="28"/>
                <w:lang w:eastAsia="zh-CN"/>
              </w:rPr>
              <w:t>，</w:t>
            </w:r>
            <w:r>
              <w:rPr>
                <w:rFonts w:hint="eastAsia" w:ascii="仿宋" w:hAnsi="仿宋" w:eastAsia="仿宋" w:cs="仿宋"/>
                <w:sz w:val="28"/>
                <w:szCs w:val="28"/>
              </w:rPr>
              <w:t>完善</w:t>
            </w:r>
            <w:r>
              <w:rPr>
                <w:rFonts w:hint="eastAsia" w:ascii="仿宋" w:hAnsi="仿宋" w:cs="仿宋"/>
                <w:sz w:val="28"/>
                <w:szCs w:val="28"/>
                <w:lang w:val="en-US" w:eastAsia="zh-CN"/>
              </w:rPr>
              <w:t>了</w:t>
            </w:r>
            <w:r>
              <w:rPr>
                <w:rFonts w:hint="eastAsia" w:ascii="仿宋" w:hAnsi="仿宋" w:eastAsia="仿宋" w:cs="仿宋"/>
                <w:sz w:val="28"/>
                <w:szCs w:val="28"/>
              </w:rPr>
              <w:t>应急组织机构体系和相应</w:t>
            </w:r>
            <w:r>
              <w:rPr>
                <w:rFonts w:hint="eastAsia" w:ascii="仿宋" w:hAnsi="仿宋" w:eastAsia="仿宋" w:cs="仿宋"/>
                <w:sz w:val="28"/>
                <w:szCs w:val="28"/>
                <w:lang w:eastAsia="zh-CN"/>
              </w:rPr>
              <w:t>工作</w:t>
            </w:r>
            <w:r>
              <w:rPr>
                <w:rFonts w:hint="eastAsia" w:ascii="仿宋" w:hAnsi="仿宋" w:eastAsia="仿宋" w:cs="仿宋"/>
                <w:sz w:val="28"/>
                <w:szCs w:val="28"/>
              </w:rPr>
              <w:t>职责</w:t>
            </w:r>
            <w:r>
              <w:rPr>
                <w:rFonts w:hint="eastAsia" w:ascii="仿宋" w:hAnsi="仿宋" w:eastAsia="仿宋" w:cs="仿宋"/>
                <w:sz w:val="28"/>
                <w:szCs w:val="28"/>
                <w:lang w:eastAsia="zh-CN"/>
              </w:rPr>
              <w:t>、任务分工</w:t>
            </w:r>
          </w:p>
        </w:tc>
        <w:tc>
          <w:tcPr>
            <w:tcW w:w="1298" w:type="dxa"/>
            <w:vAlign w:val="center"/>
          </w:tcPr>
          <w:p w14:paraId="58C85FF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 w:hAnsi="仿宋" w:eastAsia="仿宋" w:cs="仿宋"/>
                <w:b w:val="0"/>
                <w:bCs/>
                <w:color w:val="000000"/>
                <w:kern w:val="0"/>
                <w:sz w:val="28"/>
                <w:szCs w:val="28"/>
                <w:vertAlign w:val="baseline"/>
                <w:lang w:val="en-US" w:eastAsia="zh-CN" w:bidi="ar"/>
              </w:rPr>
            </w:pPr>
            <w:r>
              <w:rPr>
                <w:rFonts w:hint="eastAsia" w:ascii="仿宋" w:hAnsi="仿宋" w:cs="仿宋"/>
                <w:b w:val="0"/>
                <w:bCs/>
                <w:color w:val="000000"/>
                <w:kern w:val="0"/>
                <w:sz w:val="28"/>
                <w:szCs w:val="28"/>
                <w:vertAlign w:val="baseline"/>
                <w:lang w:val="en-US" w:eastAsia="zh-CN" w:bidi="ar"/>
              </w:rPr>
              <w:t>见预案P9-P17</w:t>
            </w:r>
          </w:p>
        </w:tc>
      </w:tr>
      <w:tr w14:paraId="6DBA1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4" w:type="dxa"/>
            <w:vAlign w:val="center"/>
          </w:tcPr>
          <w:p w14:paraId="373DEA3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b w:val="0"/>
                <w:bCs/>
                <w:color w:val="000000"/>
                <w:kern w:val="0"/>
                <w:sz w:val="28"/>
                <w:szCs w:val="28"/>
                <w:vertAlign w:val="baseline"/>
                <w:lang w:val="en-US" w:eastAsia="zh-CN" w:bidi="ar"/>
              </w:rPr>
              <w:t>3</w:t>
            </w:r>
          </w:p>
        </w:tc>
        <w:tc>
          <w:tcPr>
            <w:tcW w:w="3244" w:type="dxa"/>
            <w:vAlign w:val="center"/>
          </w:tcPr>
          <w:p w14:paraId="5125FD6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sz w:val="28"/>
                <w:szCs w:val="28"/>
                <w:lang w:val="en-US" w:eastAsia="zh-CN"/>
              </w:rPr>
              <w:t>完善</w:t>
            </w:r>
            <w:r>
              <w:rPr>
                <w:rFonts w:hint="eastAsia" w:ascii="仿宋" w:hAnsi="仿宋" w:eastAsia="仿宋" w:cs="仿宋"/>
                <w:sz w:val="28"/>
                <w:szCs w:val="28"/>
              </w:rPr>
              <w:t>应急监测</w:t>
            </w:r>
            <w:r>
              <w:rPr>
                <w:rFonts w:hint="eastAsia" w:ascii="仿宋" w:hAnsi="仿宋" w:eastAsia="仿宋" w:cs="仿宋"/>
                <w:sz w:val="28"/>
                <w:szCs w:val="28"/>
                <w:lang w:val="en-US" w:eastAsia="zh-CN"/>
              </w:rPr>
              <w:t>内容</w:t>
            </w:r>
            <w:r>
              <w:rPr>
                <w:rFonts w:hint="eastAsia" w:ascii="仿宋" w:hAnsi="仿宋" w:eastAsia="仿宋" w:cs="仿宋"/>
                <w:sz w:val="28"/>
                <w:szCs w:val="28"/>
              </w:rPr>
              <w:t>，</w:t>
            </w:r>
            <w:r>
              <w:rPr>
                <w:rFonts w:hint="eastAsia" w:ascii="仿宋" w:hAnsi="仿宋" w:eastAsia="仿宋" w:cs="仿宋"/>
                <w:sz w:val="28"/>
                <w:szCs w:val="28"/>
                <w:lang w:val="en-US" w:eastAsia="zh-CN"/>
              </w:rPr>
              <w:t>包括监测位置与频次、监测项目、分析方法等，明确应急监测数据的报告范围</w:t>
            </w:r>
          </w:p>
        </w:tc>
        <w:tc>
          <w:tcPr>
            <w:tcW w:w="3086" w:type="dxa"/>
            <w:vAlign w:val="center"/>
          </w:tcPr>
          <w:p w14:paraId="288387E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cs="仿宋"/>
                <w:sz w:val="28"/>
                <w:szCs w:val="28"/>
                <w:lang w:val="en-US" w:eastAsia="zh-CN"/>
              </w:rPr>
              <w:t>已</w:t>
            </w:r>
            <w:r>
              <w:rPr>
                <w:rFonts w:hint="eastAsia" w:ascii="仿宋" w:hAnsi="仿宋" w:eastAsia="仿宋" w:cs="仿宋"/>
                <w:sz w:val="28"/>
                <w:szCs w:val="28"/>
                <w:lang w:val="en-US" w:eastAsia="zh-CN"/>
              </w:rPr>
              <w:t>完善</w:t>
            </w:r>
            <w:r>
              <w:rPr>
                <w:rFonts w:hint="eastAsia" w:ascii="仿宋" w:hAnsi="仿宋" w:eastAsia="仿宋" w:cs="仿宋"/>
                <w:sz w:val="28"/>
                <w:szCs w:val="28"/>
              </w:rPr>
              <w:t>应急监测</w:t>
            </w:r>
            <w:r>
              <w:rPr>
                <w:rFonts w:hint="eastAsia" w:ascii="仿宋" w:hAnsi="仿宋" w:eastAsia="仿宋" w:cs="仿宋"/>
                <w:sz w:val="28"/>
                <w:szCs w:val="28"/>
                <w:lang w:val="en-US" w:eastAsia="zh-CN"/>
              </w:rPr>
              <w:t>内容</w:t>
            </w:r>
            <w:r>
              <w:rPr>
                <w:rFonts w:hint="eastAsia" w:ascii="仿宋" w:hAnsi="仿宋" w:eastAsia="仿宋" w:cs="仿宋"/>
                <w:sz w:val="28"/>
                <w:szCs w:val="28"/>
              </w:rPr>
              <w:t>，</w:t>
            </w:r>
            <w:r>
              <w:rPr>
                <w:rFonts w:hint="eastAsia" w:ascii="仿宋" w:hAnsi="仿宋" w:eastAsia="仿宋" w:cs="仿宋"/>
                <w:sz w:val="28"/>
                <w:szCs w:val="28"/>
                <w:lang w:val="en-US" w:eastAsia="zh-CN"/>
              </w:rPr>
              <w:t>包括监测位置与频次、监测项目、分析方法等，明确</w:t>
            </w:r>
            <w:r>
              <w:rPr>
                <w:rFonts w:hint="eastAsia" w:ascii="仿宋" w:hAnsi="仿宋" w:cs="仿宋"/>
                <w:sz w:val="28"/>
                <w:szCs w:val="28"/>
                <w:lang w:val="en-US" w:eastAsia="zh-CN"/>
              </w:rPr>
              <w:t>了</w:t>
            </w:r>
            <w:r>
              <w:rPr>
                <w:rFonts w:hint="eastAsia" w:ascii="仿宋" w:hAnsi="仿宋" w:eastAsia="仿宋" w:cs="仿宋"/>
                <w:sz w:val="28"/>
                <w:szCs w:val="28"/>
                <w:lang w:val="en-US" w:eastAsia="zh-CN"/>
              </w:rPr>
              <w:t>应急监测数据的报告范围</w:t>
            </w:r>
          </w:p>
        </w:tc>
        <w:tc>
          <w:tcPr>
            <w:tcW w:w="1298" w:type="dxa"/>
            <w:vAlign w:val="center"/>
          </w:tcPr>
          <w:p w14:paraId="2636C52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 w:hAnsi="仿宋" w:eastAsia="仿宋" w:cs="仿宋"/>
                <w:b w:val="0"/>
                <w:bCs/>
                <w:color w:val="000000"/>
                <w:kern w:val="0"/>
                <w:sz w:val="28"/>
                <w:szCs w:val="28"/>
                <w:vertAlign w:val="baseline"/>
                <w:lang w:val="en-US" w:eastAsia="zh-CN" w:bidi="ar"/>
              </w:rPr>
            </w:pPr>
            <w:r>
              <w:rPr>
                <w:rFonts w:hint="eastAsia" w:ascii="仿宋" w:hAnsi="仿宋" w:cs="仿宋"/>
                <w:b w:val="0"/>
                <w:bCs/>
                <w:color w:val="000000"/>
                <w:kern w:val="0"/>
                <w:sz w:val="28"/>
                <w:szCs w:val="28"/>
                <w:vertAlign w:val="baseline"/>
                <w:lang w:val="en-US" w:eastAsia="zh-CN" w:bidi="ar"/>
              </w:rPr>
              <w:t>见预案P32-P34</w:t>
            </w:r>
          </w:p>
        </w:tc>
      </w:tr>
      <w:tr w14:paraId="15A13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4" w:type="dxa"/>
            <w:vAlign w:val="center"/>
          </w:tcPr>
          <w:p w14:paraId="07663D4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b w:val="0"/>
                <w:bCs/>
                <w:color w:val="000000"/>
                <w:kern w:val="0"/>
                <w:sz w:val="28"/>
                <w:szCs w:val="28"/>
                <w:vertAlign w:val="baseline"/>
                <w:lang w:val="en-US" w:eastAsia="zh-CN" w:bidi="ar"/>
              </w:rPr>
              <w:t>4</w:t>
            </w:r>
          </w:p>
        </w:tc>
        <w:tc>
          <w:tcPr>
            <w:tcW w:w="3244" w:type="dxa"/>
            <w:vAlign w:val="center"/>
          </w:tcPr>
          <w:p w14:paraId="5AC011D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sz w:val="28"/>
                <w:szCs w:val="28"/>
              </w:rPr>
              <w:t>完善应急设备、物资的储备</w:t>
            </w:r>
            <w:r>
              <w:rPr>
                <w:rFonts w:hint="eastAsia" w:ascii="仿宋" w:hAnsi="仿宋" w:eastAsia="仿宋" w:cs="仿宋"/>
                <w:sz w:val="28"/>
                <w:szCs w:val="28"/>
                <w:lang w:val="en-US" w:eastAsia="zh-CN"/>
              </w:rPr>
              <w:t>情况调查</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明确物资储存位置，</w:t>
            </w:r>
            <w:r>
              <w:rPr>
                <w:rFonts w:hint="eastAsia" w:ascii="仿宋" w:hAnsi="仿宋" w:eastAsia="仿宋" w:cs="仿宋"/>
                <w:sz w:val="28"/>
                <w:szCs w:val="28"/>
              </w:rPr>
              <w:t>细化物资调集及应急设施启用</w:t>
            </w:r>
            <w:r>
              <w:rPr>
                <w:rFonts w:hint="eastAsia" w:ascii="仿宋" w:hAnsi="仿宋" w:eastAsia="仿宋" w:cs="仿宋"/>
                <w:sz w:val="28"/>
                <w:szCs w:val="28"/>
                <w:lang w:val="en-US" w:eastAsia="zh-CN"/>
              </w:rPr>
              <w:t>流程</w:t>
            </w:r>
          </w:p>
        </w:tc>
        <w:tc>
          <w:tcPr>
            <w:tcW w:w="3086" w:type="dxa"/>
            <w:vAlign w:val="center"/>
          </w:tcPr>
          <w:p w14:paraId="465E44B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cs="仿宋"/>
                <w:sz w:val="28"/>
                <w:szCs w:val="28"/>
                <w:lang w:val="en-US" w:eastAsia="zh-CN"/>
              </w:rPr>
              <w:t>已</w:t>
            </w:r>
            <w:r>
              <w:rPr>
                <w:rFonts w:hint="eastAsia" w:ascii="仿宋" w:hAnsi="仿宋" w:eastAsia="仿宋" w:cs="仿宋"/>
                <w:sz w:val="28"/>
                <w:szCs w:val="28"/>
              </w:rPr>
              <w:t>完善应急设备、物资的储备</w:t>
            </w:r>
            <w:r>
              <w:rPr>
                <w:rFonts w:hint="eastAsia" w:ascii="仿宋" w:hAnsi="仿宋" w:eastAsia="仿宋" w:cs="仿宋"/>
                <w:sz w:val="28"/>
                <w:szCs w:val="28"/>
                <w:lang w:val="en-US" w:eastAsia="zh-CN"/>
              </w:rPr>
              <w:t>情况调查</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明确物资储存位置，</w:t>
            </w:r>
            <w:r>
              <w:rPr>
                <w:rFonts w:hint="eastAsia" w:ascii="仿宋" w:hAnsi="仿宋" w:eastAsia="仿宋" w:cs="仿宋"/>
                <w:sz w:val="28"/>
                <w:szCs w:val="28"/>
              </w:rPr>
              <w:t>细化物资调集及应急设施启用</w:t>
            </w:r>
            <w:r>
              <w:rPr>
                <w:rFonts w:hint="eastAsia" w:ascii="仿宋" w:hAnsi="仿宋" w:eastAsia="仿宋" w:cs="仿宋"/>
                <w:sz w:val="28"/>
                <w:szCs w:val="28"/>
                <w:lang w:val="en-US" w:eastAsia="zh-CN"/>
              </w:rPr>
              <w:t>流程</w:t>
            </w:r>
          </w:p>
        </w:tc>
        <w:tc>
          <w:tcPr>
            <w:tcW w:w="1298" w:type="dxa"/>
            <w:vAlign w:val="center"/>
          </w:tcPr>
          <w:p w14:paraId="7C398E8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 w:hAnsi="仿宋" w:eastAsia="仿宋" w:cs="仿宋"/>
                <w:b w:val="0"/>
                <w:bCs/>
                <w:color w:val="000000"/>
                <w:kern w:val="0"/>
                <w:sz w:val="28"/>
                <w:szCs w:val="28"/>
                <w:vertAlign w:val="baseline"/>
                <w:lang w:val="en-US" w:eastAsia="zh-CN" w:bidi="ar"/>
              </w:rPr>
            </w:pPr>
            <w:r>
              <w:rPr>
                <w:rFonts w:hint="eastAsia" w:ascii="仿宋" w:hAnsi="仿宋" w:cs="仿宋"/>
                <w:b w:val="0"/>
                <w:bCs/>
                <w:color w:val="000000"/>
                <w:kern w:val="0"/>
                <w:sz w:val="28"/>
                <w:szCs w:val="28"/>
                <w:vertAlign w:val="baseline"/>
                <w:lang w:val="en-US" w:eastAsia="zh-CN" w:bidi="ar"/>
              </w:rPr>
              <w:t>见评估P46-P47</w:t>
            </w:r>
          </w:p>
        </w:tc>
      </w:tr>
      <w:tr w14:paraId="08764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4" w:type="dxa"/>
            <w:vAlign w:val="center"/>
          </w:tcPr>
          <w:p w14:paraId="0582F0B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b w:val="0"/>
                <w:bCs/>
                <w:color w:val="000000"/>
                <w:kern w:val="0"/>
                <w:sz w:val="28"/>
                <w:szCs w:val="28"/>
                <w:vertAlign w:val="baseline"/>
                <w:lang w:val="en-US" w:eastAsia="zh-CN" w:bidi="ar"/>
              </w:rPr>
              <w:t>5</w:t>
            </w:r>
          </w:p>
        </w:tc>
        <w:tc>
          <w:tcPr>
            <w:tcW w:w="3244" w:type="dxa"/>
            <w:vAlign w:val="center"/>
          </w:tcPr>
          <w:p w14:paraId="5B5640B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sz w:val="28"/>
                <w:szCs w:val="28"/>
                <w:lang w:val="en-US" w:eastAsia="zh-CN"/>
              </w:rPr>
              <w:t>明确信息上报的时限和内容；补充应急演练的相关内容</w:t>
            </w:r>
          </w:p>
        </w:tc>
        <w:tc>
          <w:tcPr>
            <w:tcW w:w="3086" w:type="dxa"/>
            <w:vAlign w:val="center"/>
          </w:tcPr>
          <w:p w14:paraId="270B6B0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cs="仿宋"/>
                <w:sz w:val="28"/>
                <w:szCs w:val="28"/>
                <w:lang w:val="en-US" w:eastAsia="zh-CN"/>
              </w:rPr>
              <w:t>已</w:t>
            </w:r>
            <w:r>
              <w:rPr>
                <w:rFonts w:hint="eastAsia" w:ascii="仿宋" w:hAnsi="仿宋" w:eastAsia="仿宋" w:cs="仿宋"/>
                <w:sz w:val="28"/>
                <w:szCs w:val="28"/>
                <w:lang w:val="en-US" w:eastAsia="zh-CN"/>
              </w:rPr>
              <w:t>明确信息上报的时限和内容；</w:t>
            </w:r>
            <w:r>
              <w:rPr>
                <w:rFonts w:hint="eastAsia" w:ascii="仿宋" w:hAnsi="仿宋" w:cs="仿宋"/>
                <w:sz w:val="28"/>
                <w:szCs w:val="28"/>
                <w:lang w:val="en-US" w:eastAsia="zh-CN"/>
              </w:rPr>
              <w:t>已</w:t>
            </w:r>
            <w:r>
              <w:rPr>
                <w:rFonts w:hint="eastAsia" w:ascii="仿宋" w:hAnsi="仿宋" w:eastAsia="仿宋" w:cs="仿宋"/>
                <w:sz w:val="28"/>
                <w:szCs w:val="28"/>
                <w:lang w:val="en-US" w:eastAsia="zh-CN"/>
              </w:rPr>
              <w:t>补充应急演练的相关内容</w:t>
            </w:r>
          </w:p>
        </w:tc>
        <w:tc>
          <w:tcPr>
            <w:tcW w:w="1298" w:type="dxa"/>
            <w:vAlign w:val="center"/>
          </w:tcPr>
          <w:p w14:paraId="798F074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 w:hAnsi="仿宋" w:cs="仿宋"/>
                <w:b w:val="0"/>
                <w:bCs/>
                <w:color w:val="000000"/>
                <w:kern w:val="0"/>
                <w:sz w:val="28"/>
                <w:szCs w:val="28"/>
                <w:vertAlign w:val="baseline"/>
                <w:lang w:val="en-US" w:eastAsia="zh-CN" w:bidi="ar"/>
              </w:rPr>
            </w:pPr>
            <w:r>
              <w:rPr>
                <w:rFonts w:hint="eastAsia" w:ascii="仿宋" w:hAnsi="仿宋" w:cs="仿宋"/>
                <w:b w:val="0"/>
                <w:bCs/>
                <w:color w:val="000000"/>
                <w:kern w:val="0"/>
                <w:sz w:val="28"/>
                <w:szCs w:val="28"/>
                <w:vertAlign w:val="baseline"/>
                <w:lang w:val="en-US" w:eastAsia="zh-CN" w:bidi="ar"/>
              </w:rPr>
              <w:t>预案P30</w:t>
            </w:r>
          </w:p>
          <w:p w14:paraId="6E32DA2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 w:hAnsi="仿宋" w:cs="仿宋"/>
                <w:b w:val="0"/>
                <w:bCs/>
                <w:color w:val="000000"/>
                <w:kern w:val="0"/>
                <w:sz w:val="28"/>
                <w:szCs w:val="28"/>
                <w:vertAlign w:val="baseline"/>
                <w:lang w:val="en-US" w:eastAsia="zh-CN" w:bidi="ar"/>
              </w:rPr>
            </w:pPr>
            <w:r>
              <w:rPr>
                <w:rFonts w:hint="eastAsia" w:ascii="仿宋" w:hAnsi="仿宋" w:cs="仿宋"/>
                <w:b w:val="0"/>
                <w:bCs/>
                <w:color w:val="000000"/>
                <w:kern w:val="0"/>
                <w:sz w:val="28"/>
                <w:szCs w:val="28"/>
                <w:vertAlign w:val="baseline"/>
                <w:lang w:val="en-US" w:eastAsia="zh-CN" w:bidi="ar"/>
              </w:rPr>
              <w:t>预案P48-P50</w:t>
            </w:r>
          </w:p>
        </w:tc>
      </w:tr>
      <w:tr w14:paraId="28A68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4" w:type="dxa"/>
            <w:vAlign w:val="center"/>
          </w:tcPr>
          <w:p w14:paraId="42EE5C6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b w:val="0"/>
                <w:bCs/>
                <w:color w:val="000000"/>
                <w:kern w:val="0"/>
                <w:sz w:val="28"/>
                <w:szCs w:val="28"/>
                <w:vertAlign w:val="baseline"/>
                <w:lang w:val="en-US" w:eastAsia="zh-CN" w:bidi="ar"/>
              </w:rPr>
              <w:t>6</w:t>
            </w:r>
          </w:p>
        </w:tc>
        <w:tc>
          <w:tcPr>
            <w:tcW w:w="3244" w:type="dxa"/>
            <w:vAlign w:val="center"/>
          </w:tcPr>
          <w:p w14:paraId="5B3DB24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sz w:val="28"/>
                <w:szCs w:val="28"/>
              </w:rPr>
              <w:t>完善</w:t>
            </w:r>
            <w:r>
              <w:rPr>
                <w:rFonts w:hint="eastAsia" w:ascii="仿宋" w:hAnsi="仿宋" w:eastAsia="仿宋" w:cs="仿宋"/>
                <w:sz w:val="28"/>
                <w:szCs w:val="28"/>
                <w:lang w:val="en-US" w:eastAsia="zh-CN"/>
              </w:rPr>
              <w:t>相关</w:t>
            </w:r>
            <w:r>
              <w:rPr>
                <w:rFonts w:hint="eastAsia" w:ascii="仿宋" w:hAnsi="仿宋" w:eastAsia="仿宋" w:cs="仿宋"/>
                <w:sz w:val="28"/>
                <w:szCs w:val="28"/>
              </w:rPr>
              <w:t>附图与附件</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规范文本编辑</w:t>
            </w:r>
          </w:p>
        </w:tc>
        <w:tc>
          <w:tcPr>
            <w:tcW w:w="3086" w:type="dxa"/>
            <w:vAlign w:val="center"/>
          </w:tcPr>
          <w:p w14:paraId="32D01CC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cs="仿宋"/>
                <w:sz w:val="28"/>
                <w:szCs w:val="28"/>
                <w:lang w:val="en-US" w:eastAsia="zh-CN"/>
              </w:rPr>
              <w:t>已</w:t>
            </w:r>
            <w:r>
              <w:rPr>
                <w:rFonts w:hint="eastAsia" w:ascii="仿宋" w:hAnsi="仿宋" w:eastAsia="仿宋" w:cs="仿宋"/>
                <w:sz w:val="28"/>
                <w:szCs w:val="28"/>
              </w:rPr>
              <w:t>完善</w:t>
            </w:r>
            <w:r>
              <w:rPr>
                <w:rFonts w:hint="eastAsia" w:ascii="仿宋" w:hAnsi="仿宋" w:eastAsia="仿宋" w:cs="仿宋"/>
                <w:sz w:val="28"/>
                <w:szCs w:val="28"/>
                <w:lang w:val="en-US" w:eastAsia="zh-CN"/>
              </w:rPr>
              <w:t>相关</w:t>
            </w:r>
            <w:r>
              <w:rPr>
                <w:rFonts w:hint="eastAsia" w:ascii="仿宋" w:hAnsi="仿宋" w:eastAsia="仿宋" w:cs="仿宋"/>
                <w:sz w:val="28"/>
                <w:szCs w:val="28"/>
              </w:rPr>
              <w:t>附图与附件</w:t>
            </w:r>
            <w:r>
              <w:rPr>
                <w:rFonts w:hint="eastAsia" w:ascii="仿宋" w:hAnsi="仿宋" w:eastAsia="仿宋" w:cs="仿宋"/>
                <w:sz w:val="28"/>
                <w:szCs w:val="28"/>
                <w:lang w:eastAsia="zh-CN"/>
              </w:rPr>
              <w:t>；</w:t>
            </w:r>
            <w:r>
              <w:rPr>
                <w:rFonts w:hint="eastAsia" w:ascii="仿宋" w:hAnsi="仿宋" w:cs="仿宋"/>
                <w:sz w:val="28"/>
                <w:szCs w:val="28"/>
                <w:lang w:val="en-US" w:eastAsia="zh-CN"/>
              </w:rPr>
              <w:t>已</w:t>
            </w:r>
            <w:r>
              <w:rPr>
                <w:rFonts w:hint="eastAsia" w:ascii="仿宋" w:hAnsi="仿宋" w:eastAsia="仿宋" w:cs="仿宋"/>
                <w:sz w:val="28"/>
                <w:szCs w:val="28"/>
                <w:lang w:val="en-US" w:eastAsia="zh-CN"/>
              </w:rPr>
              <w:t>规范文本编辑</w:t>
            </w:r>
          </w:p>
        </w:tc>
        <w:tc>
          <w:tcPr>
            <w:tcW w:w="1298" w:type="dxa"/>
            <w:vAlign w:val="center"/>
          </w:tcPr>
          <w:p w14:paraId="31BC757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 w:hAnsi="仿宋" w:eastAsia="仿宋" w:cs="仿宋"/>
                <w:b w:val="0"/>
                <w:bCs/>
                <w:color w:val="000000"/>
                <w:kern w:val="0"/>
                <w:sz w:val="28"/>
                <w:szCs w:val="28"/>
                <w:vertAlign w:val="baseline"/>
                <w:lang w:val="en-US" w:eastAsia="zh-CN" w:bidi="ar"/>
              </w:rPr>
            </w:pPr>
            <w:r>
              <w:rPr>
                <w:rFonts w:hint="eastAsia" w:ascii="仿宋" w:hAnsi="仿宋" w:cs="仿宋"/>
                <w:b w:val="0"/>
                <w:bCs/>
                <w:color w:val="000000"/>
                <w:kern w:val="0"/>
                <w:sz w:val="28"/>
                <w:szCs w:val="28"/>
                <w:vertAlign w:val="baseline"/>
                <w:lang w:val="en-US" w:eastAsia="zh-CN" w:bidi="ar"/>
              </w:rPr>
              <w:t>见评估、预案全文及附图附件</w:t>
            </w:r>
          </w:p>
        </w:tc>
      </w:tr>
    </w:tbl>
    <w:p w14:paraId="5C8C8A90">
      <w:pPr>
        <w:keepNext w:val="0"/>
        <w:keepLines w:val="0"/>
        <w:pageBreakBefore w:val="0"/>
        <w:widowControl/>
        <w:suppressLineNumbers w:val="0"/>
        <w:kinsoku/>
        <w:wordWrap/>
        <w:overflowPunct/>
        <w:topLinePunct w:val="0"/>
        <w:autoSpaceDE/>
        <w:autoSpaceDN/>
        <w:bidi w:val="0"/>
        <w:adjustRightInd w:val="0"/>
        <w:snapToGrid w:val="0"/>
        <w:spacing w:after="0" w:line="480" w:lineRule="auto"/>
        <w:ind w:right="0" w:firstLine="0" w:firstLineChars="0"/>
        <w:jc w:val="both"/>
        <w:textAlignment w:val="auto"/>
        <w:rPr>
          <w:rFonts w:hint="eastAsia" w:ascii="仿宋" w:hAnsi="仿宋" w:eastAsia="仿宋" w:cs="仿宋"/>
          <w:sz w:val="36"/>
          <w:szCs w:val="36"/>
          <w:lang w:val="en-US"/>
        </w:rPr>
      </w:pPr>
      <w:r>
        <w:rPr>
          <w:rFonts w:hint="eastAsia" w:ascii="仿宋" w:hAnsi="仿宋" w:cs="仿宋"/>
          <w:b/>
          <w:color w:val="000000"/>
          <w:kern w:val="0"/>
          <w:sz w:val="36"/>
          <w:szCs w:val="36"/>
          <w:lang w:val="en-US" w:eastAsia="zh-CN" w:bidi="ar"/>
        </w:rPr>
        <w:t xml:space="preserve"> </w:t>
      </w:r>
      <w:r>
        <w:rPr>
          <w:rFonts w:hint="eastAsia" w:ascii="仿宋" w:hAnsi="仿宋" w:eastAsia="仿宋" w:cs="仿宋"/>
          <w:color w:val="000000"/>
          <w:kern w:val="0"/>
          <w:sz w:val="36"/>
          <w:szCs w:val="36"/>
          <w:lang w:val="en-US" w:eastAsia="zh-CN" w:bidi="ar"/>
        </w:rPr>
        <w:t xml:space="preserve">  </w:t>
      </w:r>
    </w:p>
    <w:p w14:paraId="05379FCA">
      <w:pPr>
        <w:rPr>
          <w:rFonts w:hint="eastAsia" w:ascii="仿宋" w:hAnsi="仿宋" w:eastAsia="仿宋" w:cs="仿宋"/>
          <w:b/>
          <w:bCs/>
          <w:color w:val="auto"/>
          <w:sz w:val="36"/>
          <w:szCs w:val="32"/>
          <w:lang w:val="en-US" w:eastAsia="zh-CN"/>
        </w:rPr>
      </w:pPr>
      <w:r>
        <w:rPr>
          <w:rFonts w:hint="eastAsia" w:ascii="仿宋" w:hAnsi="仿宋" w:eastAsia="仿宋" w:cs="仿宋"/>
          <w:b/>
          <w:bCs/>
          <w:color w:val="auto"/>
          <w:sz w:val="36"/>
          <w:szCs w:val="32"/>
          <w:lang w:val="en-US" w:eastAsia="zh-CN"/>
        </w:rPr>
        <w:br w:type="page"/>
      </w:r>
    </w:p>
    <w:sdt>
      <w:sdtPr>
        <w:rPr>
          <w:rFonts w:hint="eastAsia" w:ascii="仿宋" w:hAnsi="仿宋" w:eastAsia="仿宋" w:cs="仿宋"/>
          <w:b/>
          <w:bCs/>
          <w:color w:val="000000"/>
          <w:kern w:val="2"/>
          <w:sz w:val="30"/>
          <w:szCs w:val="30"/>
          <w:lang w:val="zh-CN" w:eastAsia="zh-CN" w:bidi="zh-CN"/>
        </w:rPr>
        <w:id w:val="147474797"/>
        <w15:color w:val="DBDBDB"/>
        <w:docPartObj>
          <w:docPartGallery w:val="Table of Contents"/>
          <w:docPartUnique/>
        </w:docPartObj>
      </w:sdtPr>
      <w:sdtEndPr>
        <w:rPr>
          <w:rFonts w:hint="default" w:ascii="Times New Roman" w:hAnsi="Times New Roman" w:eastAsia="仿宋" w:cs="微软雅黑"/>
          <w:b/>
          <w:bCs/>
          <w:color w:val="000000"/>
          <w:kern w:val="2"/>
          <w:sz w:val="36"/>
          <w:szCs w:val="24"/>
          <w:lang w:val="en-US" w:eastAsia="zh-CN" w:bidi="ar-SA"/>
        </w:rPr>
      </w:sdtEndPr>
      <w:sdtContent>
        <w:p w14:paraId="011840A0">
          <w:pPr>
            <w:spacing w:before="0" w:beforeLines="0" w:after="0" w:afterLines="0" w:line="240" w:lineRule="auto"/>
            <w:ind w:left="0" w:leftChars="0" w:right="0" w:rightChars="0" w:firstLine="0" w:firstLineChars="0"/>
            <w:jc w:val="center"/>
            <w:rPr>
              <w:rFonts w:hint="eastAsia" w:ascii="仿宋" w:hAnsi="仿宋" w:eastAsia="仿宋" w:cs="仿宋"/>
              <w:b/>
              <w:bCs/>
              <w:sz w:val="30"/>
              <w:szCs w:val="30"/>
            </w:rPr>
          </w:pPr>
          <w:r>
            <w:rPr>
              <w:rFonts w:hint="eastAsia" w:ascii="仿宋" w:hAnsi="仿宋" w:eastAsia="仿宋" w:cs="仿宋"/>
              <w:b/>
              <w:bCs/>
              <w:sz w:val="30"/>
              <w:szCs w:val="30"/>
            </w:rPr>
            <w:t>目录</w:t>
          </w:r>
        </w:p>
        <w:p w14:paraId="2FF427CD">
          <w:pPr>
            <w:pStyle w:val="14"/>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TOC \o "1-3" \h \u </w:instrText>
          </w:r>
          <w:r>
            <w:rPr>
              <w:rFonts w:hint="default"/>
            </w:rPr>
            <w:fldChar w:fldCharType="separate"/>
          </w:r>
          <w:r>
            <w:rPr>
              <w:rFonts w:hint="default"/>
            </w:rPr>
            <w:fldChar w:fldCharType="begin"/>
          </w:r>
          <w:r>
            <w:rPr>
              <w:rFonts w:hint="default"/>
            </w:rPr>
            <w:instrText xml:space="preserve"> HYPERLINK \l _Toc5558 </w:instrText>
          </w:r>
          <w:r>
            <w:rPr>
              <w:rFonts w:hint="default"/>
            </w:rPr>
            <w:fldChar w:fldCharType="separate"/>
          </w:r>
          <w:r>
            <w:rPr>
              <w:rFonts w:hint="default"/>
            </w:rPr>
            <w:t>第一章</w:t>
          </w:r>
          <w:r>
            <w:rPr>
              <w:rFonts w:hint="default"/>
              <w:lang w:val="en-US" w:eastAsia="zh-CN"/>
            </w:rPr>
            <w:t xml:space="preserve"> </w:t>
          </w:r>
          <w:r>
            <w:rPr>
              <w:rFonts w:hint="default"/>
            </w:rPr>
            <w:t>总则</w:t>
          </w:r>
          <w:r>
            <w:tab/>
          </w:r>
          <w:r>
            <w:fldChar w:fldCharType="begin"/>
          </w:r>
          <w:r>
            <w:instrText xml:space="preserve"> PAGEREF _Toc5558 \h </w:instrText>
          </w:r>
          <w:r>
            <w:fldChar w:fldCharType="separate"/>
          </w:r>
          <w:r>
            <w:t>1</w:t>
          </w:r>
          <w:r>
            <w:fldChar w:fldCharType="end"/>
          </w:r>
          <w:r>
            <w:rPr>
              <w:rFonts w:hint="default"/>
            </w:rPr>
            <w:fldChar w:fldCharType="end"/>
          </w:r>
        </w:p>
        <w:p w14:paraId="1930DB1E">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_Toc21870 </w:instrText>
          </w:r>
          <w:r>
            <w:rPr>
              <w:rFonts w:hint="default"/>
            </w:rPr>
            <w:fldChar w:fldCharType="separate"/>
          </w:r>
          <w:r>
            <w:rPr>
              <w:rFonts w:hint="default"/>
            </w:rPr>
            <w:t>1.1 编制目的</w:t>
          </w:r>
          <w:r>
            <w:tab/>
          </w:r>
          <w:r>
            <w:fldChar w:fldCharType="begin"/>
          </w:r>
          <w:r>
            <w:instrText xml:space="preserve"> PAGEREF _Toc21870 \h </w:instrText>
          </w:r>
          <w:r>
            <w:fldChar w:fldCharType="separate"/>
          </w:r>
          <w:r>
            <w:t>1</w:t>
          </w:r>
          <w:r>
            <w:fldChar w:fldCharType="end"/>
          </w:r>
          <w:r>
            <w:rPr>
              <w:rFonts w:hint="default"/>
            </w:rPr>
            <w:fldChar w:fldCharType="end"/>
          </w:r>
        </w:p>
        <w:p w14:paraId="2645098F">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_Toc3512 </w:instrText>
          </w:r>
          <w:r>
            <w:rPr>
              <w:rFonts w:hint="default"/>
            </w:rPr>
            <w:fldChar w:fldCharType="separate"/>
          </w:r>
          <w:r>
            <w:rPr>
              <w:rFonts w:hint="default"/>
            </w:rPr>
            <w:t>1.2 编制依据</w:t>
          </w:r>
          <w:r>
            <w:tab/>
          </w:r>
          <w:r>
            <w:fldChar w:fldCharType="begin"/>
          </w:r>
          <w:r>
            <w:instrText xml:space="preserve"> PAGEREF _Toc3512 \h </w:instrText>
          </w:r>
          <w:r>
            <w:fldChar w:fldCharType="separate"/>
          </w:r>
          <w:r>
            <w:t>1</w:t>
          </w:r>
          <w:r>
            <w:fldChar w:fldCharType="end"/>
          </w:r>
          <w:r>
            <w:rPr>
              <w:rFonts w:hint="default"/>
            </w:rPr>
            <w:fldChar w:fldCharType="end"/>
          </w:r>
        </w:p>
        <w:p w14:paraId="2A23676D">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_Toc24054 </w:instrText>
          </w:r>
          <w:r>
            <w:rPr>
              <w:rFonts w:hint="default"/>
            </w:rPr>
            <w:fldChar w:fldCharType="separate"/>
          </w:r>
          <w:r>
            <w:rPr>
              <w:rFonts w:hint="default"/>
            </w:rPr>
            <w:t>1.2.1 相关法律法规</w:t>
          </w:r>
          <w:r>
            <w:tab/>
          </w:r>
          <w:r>
            <w:fldChar w:fldCharType="begin"/>
          </w:r>
          <w:r>
            <w:instrText xml:space="preserve"> PAGEREF _Toc24054 \h </w:instrText>
          </w:r>
          <w:r>
            <w:fldChar w:fldCharType="separate"/>
          </w:r>
          <w:r>
            <w:t>1</w:t>
          </w:r>
          <w:r>
            <w:fldChar w:fldCharType="end"/>
          </w:r>
          <w:r>
            <w:rPr>
              <w:rFonts w:hint="default"/>
            </w:rPr>
            <w:fldChar w:fldCharType="end"/>
          </w:r>
        </w:p>
        <w:p w14:paraId="43D0B04B">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_Toc9112 </w:instrText>
          </w:r>
          <w:r>
            <w:rPr>
              <w:rFonts w:hint="default"/>
            </w:rPr>
            <w:fldChar w:fldCharType="separate"/>
          </w:r>
          <w:r>
            <w:rPr>
              <w:rFonts w:hint="default"/>
              <w:lang w:val="en-US" w:eastAsia="zh-CN"/>
            </w:rPr>
            <w:t>1.2.2相关标准规范和文件</w:t>
          </w:r>
          <w:r>
            <w:tab/>
          </w:r>
          <w:r>
            <w:fldChar w:fldCharType="begin"/>
          </w:r>
          <w:r>
            <w:instrText xml:space="preserve"> PAGEREF _Toc9112 \h </w:instrText>
          </w:r>
          <w:r>
            <w:fldChar w:fldCharType="separate"/>
          </w:r>
          <w:r>
            <w:t>2</w:t>
          </w:r>
          <w:r>
            <w:fldChar w:fldCharType="end"/>
          </w:r>
          <w:r>
            <w:rPr>
              <w:rFonts w:hint="default"/>
            </w:rPr>
            <w:fldChar w:fldCharType="end"/>
          </w:r>
        </w:p>
        <w:p w14:paraId="420702CB">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_Toc2709 </w:instrText>
          </w:r>
          <w:r>
            <w:rPr>
              <w:rFonts w:hint="default"/>
            </w:rPr>
            <w:fldChar w:fldCharType="separate"/>
          </w:r>
          <w:r>
            <w:rPr>
              <w:rFonts w:hint="default"/>
              <w:lang w:val="en-US" w:eastAsia="zh-CN"/>
            </w:rPr>
            <w:t>1.2.3 其他技术资料</w:t>
          </w:r>
          <w:r>
            <w:tab/>
          </w:r>
          <w:r>
            <w:fldChar w:fldCharType="begin"/>
          </w:r>
          <w:r>
            <w:instrText xml:space="preserve"> PAGEREF _Toc2709 \h </w:instrText>
          </w:r>
          <w:r>
            <w:fldChar w:fldCharType="separate"/>
          </w:r>
          <w:r>
            <w:t>3</w:t>
          </w:r>
          <w:r>
            <w:fldChar w:fldCharType="end"/>
          </w:r>
          <w:r>
            <w:rPr>
              <w:rFonts w:hint="default"/>
            </w:rPr>
            <w:fldChar w:fldCharType="end"/>
          </w:r>
        </w:p>
        <w:p w14:paraId="16F35506">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_Toc23847 </w:instrText>
          </w:r>
          <w:r>
            <w:rPr>
              <w:rFonts w:hint="default"/>
            </w:rPr>
            <w:fldChar w:fldCharType="separate"/>
          </w:r>
          <w:r>
            <w:rPr>
              <w:rFonts w:hint="default"/>
              <w:lang w:val="en-US" w:eastAsia="zh-CN"/>
            </w:rPr>
            <w:t>1.3 预案衔接</w:t>
          </w:r>
          <w:r>
            <w:tab/>
          </w:r>
          <w:r>
            <w:fldChar w:fldCharType="begin"/>
          </w:r>
          <w:r>
            <w:instrText xml:space="preserve"> PAGEREF _Toc23847 \h </w:instrText>
          </w:r>
          <w:r>
            <w:fldChar w:fldCharType="separate"/>
          </w:r>
          <w:r>
            <w:t>3</w:t>
          </w:r>
          <w:r>
            <w:fldChar w:fldCharType="end"/>
          </w:r>
          <w:r>
            <w:rPr>
              <w:rFonts w:hint="default"/>
            </w:rPr>
            <w:fldChar w:fldCharType="end"/>
          </w:r>
        </w:p>
        <w:p w14:paraId="13EDED19">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_Toc323 </w:instrText>
          </w:r>
          <w:r>
            <w:rPr>
              <w:rFonts w:hint="default"/>
            </w:rPr>
            <w:fldChar w:fldCharType="separate"/>
          </w:r>
          <w:r>
            <w:rPr>
              <w:rFonts w:hint="default"/>
              <w:lang w:val="en-US" w:eastAsia="zh-CN"/>
            </w:rPr>
            <w:t>1.4适用范围</w:t>
          </w:r>
          <w:r>
            <w:tab/>
          </w:r>
          <w:r>
            <w:fldChar w:fldCharType="begin"/>
          </w:r>
          <w:r>
            <w:instrText xml:space="preserve"> PAGEREF _Toc323 \h </w:instrText>
          </w:r>
          <w:r>
            <w:fldChar w:fldCharType="separate"/>
          </w:r>
          <w:r>
            <w:t>4</w:t>
          </w:r>
          <w:r>
            <w:fldChar w:fldCharType="end"/>
          </w:r>
          <w:r>
            <w:rPr>
              <w:rFonts w:hint="default"/>
            </w:rPr>
            <w:fldChar w:fldCharType="end"/>
          </w:r>
        </w:p>
        <w:p w14:paraId="36FE0BEB">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_Toc27175 </w:instrText>
          </w:r>
          <w:r>
            <w:rPr>
              <w:rFonts w:hint="default"/>
            </w:rPr>
            <w:fldChar w:fldCharType="separate"/>
          </w:r>
          <w:r>
            <w:rPr>
              <w:rFonts w:hint="default"/>
            </w:rPr>
            <w:t>1.</w:t>
          </w:r>
          <w:r>
            <w:rPr>
              <w:rFonts w:hint="default"/>
              <w:lang w:val="en-US" w:eastAsia="zh-CN"/>
            </w:rPr>
            <w:t>5</w:t>
          </w:r>
          <w:r>
            <w:rPr>
              <w:rFonts w:hint="default"/>
            </w:rPr>
            <w:t xml:space="preserve"> 工作原则</w:t>
          </w:r>
          <w:r>
            <w:tab/>
          </w:r>
          <w:r>
            <w:fldChar w:fldCharType="begin"/>
          </w:r>
          <w:r>
            <w:instrText xml:space="preserve"> PAGEREF _Toc27175 \h </w:instrText>
          </w:r>
          <w:r>
            <w:fldChar w:fldCharType="separate"/>
          </w:r>
          <w:r>
            <w:t>4</w:t>
          </w:r>
          <w:r>
            <w:fldChar w:fldCharType="end"/>
          </w:r>
          <w:r>
            <w:rPr>
              <w:rFonts w:hint="default"/>
            </w:rPr>
            <w:fldChar w:fldCharType="end"/>
          </w:r>
        </w:p>
        <w:p w14:paraId="103951E3">
          <w:pPr>
            <w:pStyle w:val="14"/>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_Toc30144 </w:instrText>
          </w:r>
          <w:r>
            <w:rPr>
              <w:rFonts w:hint="default"/>
            </w:rPr>
            <w:fldChar w:fldCharType="separate"/>
          </w:r>
          <w:r>
            <w:rPr>
              <w:rFonts w:hint="default"/>
            </w:rPr>
            <w:t>第二章 饮用水水源概况</w:t>
          </w:r>
          <w:r>
            <w:tab/>
          </w:r>
          <w:r>
            <w:fldChar w:fldCharType="begin"/>
          </w:r>
          <w:r>
            <w:instrText xml:space="preserve"> PAGEREF _Toc30144 \h </w:instrText>
          </w:r>
          <w:r>
            <w:fldChar w:fldCharType="separate"/>
          </w:r>
          <w:r>
            <w:t>6</w:t>
          </w:r>
          <w:r>
            <w:fldChar w:fldCharType="end"/>
          </w:r>
          <w:r>
            <w:rPr>
              <w:rFonts w:hint="default"/>
            </w:rPr>
            <w:fldChar w:fldCharType="end"/>
          </w:r>
        </w:p>
        <w:p w14:paraId="672A5DE3">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_Toc28245 </w:instrText>
          </w:r>
          <w:r>
            <w:rPr>
              <w:rFonts w:hint="default"/>
            </w:rPr>
            <w:fldChar w:fldCharType="separate"/>
          </w:r>
          <w:r>
            <w:rPr>
              <w:rFonts w:hint="default"/>
            </w:rPr>
            <w:t>2.1 水源建设工程概况</w:t>
          </w:r>
          <w:r>
            <w:tab/>
          </w:r>
          <w:r>
            <w:fldChar w:fldCharType="begin"/>
          </w:r>
          <w:r>
            <w:instrText xml:space="preserve"> PAGEREF _Toc28245 \h </w:instrText>
          </w:r>
          <w:r>
            <w:fldChar w:fldCharType="separate"/>
          </w:r>
          <w:r>
            <w:t>6</w:t>
          </w:r>
          <w:r>
            <w:fldChar w:fldCharType="end"/>
          </w:r>
          <w:r>
            <w:rPr>
              <w:rFonts w:hint="default"/>
            </w:rPr>
            <w:fldChar w:fldCharType="end"/>
          </w:r>
        </w:p>
        <w:p w14:paraId="0A8FF87F">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_Toc10219 </w:instrText>
          </w:r>
          <w:r>
            <w:rPr>
              <w:rFonts w:hint="default"/>
            </w:rPr>
            <w:fldChar w:fldCharType="separate"/>
          </w:r>
          <w:r>
            <w:rPr>
              <w:rFonts w:hint="default"/>
            </w:rPr>
            <w:t>2.2 水源保护区划分结果</w:t>
          </w:r>
          <w:r>
            <w:tab/>
          </w:r>
          <w:r>
            <w:fldChar w:fldCharType="begin"/>
          </w:r>
          <w:r>
            <w:instrText xml:space="preserve"> PAGEREF _Toc10219 \h </w:instrText>
          </w:r>
          <w:r>
            <w:fldChar w:fldCharType="separate"/>
          </w:r>
          <w:r>
            <w:t>7</w:t>
          </w:r>
          <w:r>
            <w:fldChar w:fldCharType="end"/>
          </w:r>
          <w:r>
            <w:rPr>
              <w:rFonts w:hint="default"/>
            </w:rPr>
            <w:fldChar w:fldCharType="end"/>
          </w:r>
        </w:p>
        <w:p w14:paraId="0CAE1E19">
          <w:pPr>
            <w:pStyle w:val="14"/>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_Toc28891 </w:instrText>
          </w:r>
          <w:r>
            <w:rPr>
              <w:rFonts w:hint="default"/>
            </w:rPr>
            <w:fldChar w:fldCharType="separate"/>
          </w:r>
          <w:r>
            <w:rPr>
              <w:rFonts w:hint="default"/>
            </w:rPr>
            <w:t>第三章</w:t>
          </w:r>
          <w:r>
            <w:rPr>
              <w:rFonts w:hint="default"/>
              <w:lang w:val="en-US" w:eastAsia="zh-CN"/>
            </w:rPr>
            <w:t xml:space="preserve"> </w:t>
          </w:r>
          <w:r>
            <w:rPr>
              <w:rFonts w:hint="default"/>
            </w:rPr>
            <w:t>应急组织指挥体系</w:t>
          </w:r>
          <w:r>
            <w:tab/>
          </w:r>
          <w:r>
            <w:fldChar w:fldCharType="begin"/>
          </w:r>
          <w:r>
            <w:instrText xml:space="preserve"> PAGEREF _Toc28891 \h </w:instrText>
          </w:r>
          <w:r>
            <w:fldChar w:fldCharType="separate"/>
          </w:r>
          <w:r>
            <w:t>9</w:t>
          </w:r>
          <w:r>
            <w:fldChar w:fldCharType="end"/>
          </w:r>
          <w:r>
            <w:rPr>
              <w:rFonts w:hint="default"/>
            </w:rPr>
            <w:fldChar w:fldCharType="end"/>
          </w:r>
        </w:p>
        <w:p w14:paraId="18B5A6A0">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_Toc21985 </w:instrText>
          </w:r>
          <w:r>
            <w:rPr>
              <w:rFonts w:hint="default"/>
            </w:rPr>
            <w:fldChar w:fldCharType="separate"/>
          </w:r>
          <w:r>
            <w:rPr>
              <w:rFonts w:hint="default"/>
            </w:rPr>
            <w:t>3.1 应急组织指挥体系</w:t>
          </w:r>
          <w:r>
            <w:tab/>
          </w:r>
          <w:r>
            <w:fldChar w:fldCharType="begin"/>
          </w:r>
          <w:r>
            <w:instrText xml:space="preserve"> PAGEREF _Toc21985 \h </w:instrText>
          </w:r>
          <w:r>
            <w:fldChar w:fldCharType="separate"/>
          </w:r>
          <w:r>
            <w:t>9</w:t>
          </w:r>
          <w:r>
            <w:fldChar w:fldCharType="end"/>
          </w:r>
          <w:r>
            <w:rPr>
              <w:rFonts w:hint="default"/>
            </w:rPr>
            <w:fldChar w:fldCharType="end"/>
          </w:r>
        </w:p>
        <w:p w14:paraId="747301AB">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_Toc17535 </w:instrText>
          </w:r>
          <w:r>
            <w:rPr>
              <w:rFonts w:hint="default"/>
            </w:rPr>
            <w:fldChar w:fldCharType="separate"/>
          </w:r>
          <w:r>
            <w:rPr>
              <w:rFonts w:hint="default"/>
            </w:rPr>
            <w:t>3.2 应急组织指挥部</w:t>
          </w:r>
          <w:r>
            <w:tab/>
          </w:r>
          <w:r>
            <w:fldChar w:fldCharType="begin"/>
          </w:r>
          <w:r>
            <w:instrText xml:space="preserve"> PAGEREF _Toc17535 \h </w:instrText>
          </w:r>
          <w:r>
            <w:fldChar w:fldCharType="separate"/>
          </w:r>
          <w:r>
            <w:t>9</w:t>
          </w:r>
          <w:r>
            <w:fldChar w:fldCharType="end"/>
          </w:r>
          <w:r>
            <w:rPr>
              <w:rFonts w:hint="default"/>
            </w:rPr>
            <w:fldChar w:fldCharType="end"/>
          </w:r>
        </w:p>
        <w:p w14:paraId="09D29720">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_Toc18437 </w:instrText>
          </w:r>
          <w:r>
            <w:rPr>
              <w:rFonts w:hint="default"/>
            </w:rPr>
            <w:fldChar w:fldCharType="separate"/>
          </w:r>
          <w:r>
            <w:rPr>
              <w:rFonts w:hint="eastAsia"/>
              <w:lang w:val="en-US" w:eastAsia="zh-CN"/>
            </w:rPr>
            <w:t>3.2.1总指挥主要职责</w:t>
          </w:r>
          <w:r>
            <w:tab/>
          </w:r>
          <w:r>
            <w:fldChar w:fldCharType="begin"/>
          </w:r>
          <w:r>
            <w:instrText xml:space="preserve"> PAGEREF _Toc18437 \h </w:instrText>
          </w:r>
          <w:r>
            <w:fldChar w:fldCharType="separate"/>
          </w:r>
          <w:r>
            <w:t>9</w:t>
          </w:r>
          <w:r>
            <w:fldChar w:fldCharType="end"/>
          </w:r>
          <w:r>
            <w:rPr>
              <w:rFonts w:hint="default"/>
            </w:rPr>
            <w:fldChar w:fldCharType="end"/>
          </w:r>
        </w:p>
        <w:p w14:paraId="73EA5A8C">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_Toc5630 </w:instrText>
          </w:r>
          <w:r>
            <w:rPr>
              <w:rFonts w:hint="default"/>
            </w:rPr>
            <w:fldChar w:fldCharType="separate"/>
          </w:r>
          <w:r>
            <w:rPr>
              <w:rFonts w:hint="default"/>
              <w:highlight w:val="none"/>
              <w:lang w:val="en-US" w:eastAsia="zh-CN"/>
            </w:rPr>
            <w:t>3.2.2副总指挥主要职责</w:t>
          </w:r>
          <w:r>
            <w:tab/>
          </w:r>
          <w:r>
            <w:fldChar w:fldCharType="begin"/>
          </w:r>
          <w:r>
            <w:instrText xml:space="preserve"> PAGEREF _Toc5630 \h </w:instrText>
          </w:r>
          <w:r>
            <w:fldChar w:fldCharType="separate"/>
          </w:r>
          <w:r>
            <w:t>10</w:t>
          </w:r>
          <w:r>
            <w:fldChar w:fldCharType="end"/>
          </w:r>
          <w:r>
            <w:rPr>
              <w:rFonts w:hint="default"/>
            </w:rPr>
            <w:fldChar w:fldCharType="end"/>
          </w:r>
        </w:p>
        <w:p w14:paraId="0776C759">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_Toc3685 </w:instrText>
          </w:r>
          <w:r>
            <w:rPr>
              <w:rFonts w:hint="default"/>
            </w:rPr>
            <w:fldChar w:fldCharType="separate"/>
          </w:r>
          <w:r>
            <w:rPr>
              <w:rFonts w:hint="default"/>
              <w:highlight w:val="none"/>
              <w:lang w:val="en-US" w:eastAsia="zh-CN"/>
            </w:rPr>
            <w:t>3.2.3应急协调办公室主要职责</w:t>
          </w:r>
          <w:r>
            <w:tab/>
          </w:r>
          <w:r>
            <w:fldChar w:fldCharType="begin"/>
          </w:r>
          <w:r>
            <w:instrText xml:space="preserve"> PAGEREF _Toc3685 \h </w:instrText>
          </w:r>
          <w:r>
            <w:fldChar w:fldCharType="separate"/>
          </w:r>
          <w:r>
            <w:t>10</w:t>
          </w:r>
          <w:r>
            <w:fldChar w:fldCharType="end"/>
          </w:r>
          <w:r>
            <w:rPr>
              <w:rFonts w:hint="default"/>
            </w:rPr>
            <w:fldChar w:fldCharType="end"/>
          </w:r>
        </w:p>
        <w:p w14:paraId="1C590D8F">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_Toc31341 </w:instrText>
          </w:r>
          <w:r>
            <w:rPr>
              <w:rFonts w:hint="default"/>
            </w:rPr>
            <w:fldChar w:fldCharType="separate"/>
          </w:r>
          <w:r>
            <w:rPr>
              <w:rFonts w:hint="default"/>
              <w:highlight w:val="none"/>
              <w:lang w:val="en-US" w:eastAsia="zh-CN"/>
            </w:rPr>
            <w:t>3.2.4成员单位主要职责</w:t>
          </w:r>
          <w:r>
            <w:tab/>
          </w:r>
          <w:r>
            <w:fldChar w:fldCharType="begin"/>
          </w:r>
          <w:r>
            <w:instrText xml:space="preserve"> PAGEREF _Toc31341 \h </w:instrText>
          </w:r>
          <w:r>
            <w:fldChar w:fldCharType="separate"/>
          </w:r>
          <w:r>
            <w:t>11</w:t>
          </w:r>
          <w:r>
            <w:fldChar w:fldCharType="end"/>
          </w:r>
          <w:r>
            <w:rPr>
              <w:rFonts w:hint="default"/>
            </w:rPr>
            <w:fldChar w:fldCharType="end"/>
          </w:r>
        </w:p>
        <w:p w14:paraId="4BCC04B9">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_Toc527 </w:instrText>
          </w:r>
          <w:r>
            <w:rPr>
              <w:rFonts w:hint="default"/>
            </w:rPr>
            <w:fldChar w:fldCharType="separate"/>
          </w:r>
          <w:r>
            <w:rPr>
              <w:rFonts w:hint="default"/>
            </w:rPr>
            <w:t>3.3 现场应急指挥部</w:t>
          </w:r>
          <w:r>
            <w:tab/>
          </w:r>
          <w:r>
            <w:fldChar w:fldCharType="begin"/>
          </w:r>
          <w:r>
            <w:instrText xml:space="preserve"> PAGEREF _Toc527 \h </w:instrText>
          </w:r>
          <w:r>
            <w:fldChar w:fldCharType="separate"/>
          </w:r>
          <w:r>
            <w:t>18</w:t>
          </w:r>
          <w:r>
            <w:fldChar w:fldCharType="end"/>
          </w:r>
          <w:r>
            <w:rPr>
              <w:rFonts w:hint="default"/>
            </w:rPr>
            <w:fldChar w:fldCharType="end"/>
          </w:r>
        </w:p>
        <w:p w14:paraId="6C6BAAE1">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_Toc26022 </w:instrText>
          </w:r>
          <w:r>
            <w:rPr>
              <w:rFonts w:hint="default"/>
            </w:rPr>
            <w:fldChar w:fldCharType="separate"/>
          </w:r>
          <w:r>
            <w:rPr>
              <w:rFonts w:hint="default"/>
            </w:rPr>
            <w:t>3.4 现场应急工作组</w:t>
          </w:r>
          <w:r>
            <w:tab/>
          </w:r>
          <w:r>
            <w:fldChar w:fldCharType="begin"/>
          </w:r>
          <w:r>
            <w:instrText xml:space="preserve"> PAGEREF _Toc26022 \h </w:instrText>
          </w:r>
          <w:r>
            <w:fldChar w:fldCharType="separate"/>
          </w:r>
          <w:r>
            <w:t>19</w:t>
          </w:r>
          <w:r>
            <w:fldChar w:fldCharType="end"/>
          </w:r>
          <w:r>
            <w:rPr>
              <w:rFonts w:hint="default"/>
            </w:rPr>
            <w:fldChar w:fldCharType="end"/>
          </w:r>
        </w:p>
        <w:p w14:paraId="6B185369">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_Toc29275 </w:instrText>
          </w:r>
          <w:r>
            <w:rPr>
              <w:rFonts w:hint="default"/>
            </w:rPr>
            <w:fldChar w:fldCharType="separate"/>
          </w:r>
          <w:r>
            <w:rPr>
              <w:rFonts w:hint="eastAsia"/>
              <w:highlight w:val="none"/>
              <w:lang w:val="en-US" w:eastAsia="zh-CN"/>
            </w:rPr>
            <w:t>3.4.1应急处置组</w:t>
          </w:r>
          <w:r>
            <w:tab/>
          </w:r>
          <w:r>
            <w:fldChar w:fldCharType="begin"/>
          </w:r>
          <w:r>
            <w:instrText xml:space="preserve"> PAGEREF _Toc29275 \h </w:instrText>
          </w:r>
          <w:r>
            <w:fldChar w:fldCharType="separate"/>
          </w:r>
          <w:r>
            <w:t>19</w:t>
          </w:r>
          <w:r>
            <w:fldChar w:fldCharType="end"/>
          </w:r>
          <w:r>
            <w:rPr>
              <w:rFonts w:hint="default"/>
            </w:rPr>
            <w:fldChar w:fldCharType="end"/>
          </w:r>
        </w:p>
        <w:p w14:paraId="61CBD717">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_Toc28928 </w:instrText>
          </w:r>
          <w:r>
            <w:rPr>
              <w:rFonts w:hint="default"/>
            </w:rPr>
            <w:fldChar w:fldCharType="separate"/>
          </w:r>
          <w:r>
            <w:rPr>
              <w:rFonts w:hint="eastAsia"/>
              <w:highlight w:val="none"/>
              <w:lang w:val="en-US" w:eastAsia="zh-CN"/>
            </w:rPr>
            <w:t>3.4.2应急监测组</w:t>
          </w:r>
          <w:r>
            <w:tab/>
          </w:r>
          <w:r>
            <w:fldChar w:fldCharType="begin"/>
          </w:r>
          <w:r>
            <w:instrText xml:space="preserve"> PAGEREF _Toc28928 \h </w:instrText>
          </w:r>
          <w:r>
            <w:fldChar w:fldCharType="separate"/>
          </w:r>
          <w:r>
            <w:t>19</w:t>
          </w:r>
          <w:r>
            <w:fldChar w:fldCharType="end"/>
          </w:r>
          <w:r>
            <w:rPr>
              <w:rFonts w:hint="default"/>
            </w:rPr>
            <w:fldChar w:fldCharType="end"/>
          </w:r>
        </w:p>
        <w:p w14:paraId="3D814884">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_Toc25907 </w:instrText>
          </w:r>
          <w:r>
            <w:rPr>
              <w:rFonts w:hint="default"/>
            </w:rPr>
            <w:fldChar w:fldCharType="separate"/>
          </w:r>
          <w:r>
            <w:rPr>
              <w:rFonts w:hint="eastAsia"/>
              <w:highlight w:val="none"/>
              <w:lang w:val="en-US" w:eastAsia="zh-CN"/>
            </w:rPr>
            <w:t>3.4.3应急供水保障组</w:t>
          </w:r>
          <w:r>
            <w:tab/>
          </w:r>
          <w:r>
            <w:fldChar w:fldCharType="begin"/>
          </w:r>
          <w:r>
            <w:instrText xml:space="preserve"> PAGEREF _Toc25907 \h </w:instrText>
          </w:r>
          <w:r>
            <w:fldChar w:fldCharType="separate"/>
          </w:r>
          <w:r>
            <w:t>20</w:t>
          </w:r>
          <w:r>
            <w:fldChar w:fldCharType="end"/>
          </w:r>
          <w:r>
            <w:rPr>
              <w:rFonts w:hint="default"/>
            </w:rPr>
            <w:fldChar w:fldCharType="end"/>
          </w:r>
        </w:p>
        <w:p w14:paraId="4D488706">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_Toc23782 </w:instrText>
          </w:r>
          <w:r>
            <w:rPr>
              <w:rFonts w:hint="default"/>
            </w:rPr>
            <w:fldChar w:fldCharType="separate"/>
          </w:r>
          <w:r>
            <w:rPr>
              <w:rFonts w:hint="eastAsia"/>
              <w:highlight w:val="none"/>
              <w:lang w:val="en-US" w:eastAsia="zh-CN"/>
            </w:rPr>
            <w:t>3.4.4应急物资保障组</w:t>
          </w:r>
          <w:r>
            <w:tab/>
          </w:r>
          <w:r>
            <w:fldChar w:fldCharType="begin"/>
          </w:r>
          <w:r>
            <w:instrText xml:space="preserve"> PAGEREF _Toc23782 \h </w:instrText>
          </w:r>
          <w:r>
            <w:fldChar w:fldCharType="separate"/>
          </w:r>
          <w:r>
            <w:t>20</w:t>
          </w:r>
          <w:r>
            <w:fldChar w:fldCharType="end"/>
          </w:r>
          <w:r>
            <w:rPr>
              <w:rFonts w:hint="default"/>
            </w:rPr>
            <w:fldChar w:fldCharType="end"/>
          </w:r>
        </w:p>
        <w:p w14:paraId="0F019026">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_Toc19161 </w:instrText>
          </w:r>
          <w:r>
            <w:rPr>
              <w:rFonts w:hint="default"/>
            </w:rPr>
            <w:fldChar w:fldCharType="separate"/>
          </w:r>
          <w:r>
            <w:rPr>
              <w:rFonts w:hint="eastAsia"/>
              <w:highlight w:val="none"/>
              <w:lang w:val="en-US" w:eastAsia="zh-CN"/>
            </w:rPr>
            <w:t>3.4.5医疗救治组</w:t>
          </w:r>
          <w:r>
            <w:tab/>
          </w:r>
          <w:r>
            <w:fldChar w:fldCharType="begin"/>
          </w:r>
          <w:r>
            <w:instrText xml:space="preserve"> PAGEREF _Toc19161 \h </w:instrText>
          </w:r>
          <w:r>
            <w:fldChar w:fldCharType="separate"/>
          </w:r>
          <w:r>
            <w:t>20</w:t>
          </w:r>
          <w:r>
            <w:fldChar w:fldCharType="end"/>
          </w:r>
          <w:r>
            <w:rPr>
              <w:rFonts w:hint="default"/>
            </w:rPr>
            <w:fldChar w:fldCharType="end"/>
          </w:r>
        </w:p>
        <w:p w14:paraId="43E50769">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_Toc19467 </w:instrText>
          </w:r>
          <w:r>
            <w:rPr>
              <w:rFonts w:hint="default"/>
            </w:rPr>
            <w:fldChar w:fldCharType="separate"/>
          </w:r>
          <w:r>
            <w:rPr>
              <w:rFonts w:hint="eastAsia"/>
              <w:highlight w:val="none"/>
              <w:lang w:val="en-US" w:eastAsia="zh-CN"/>
            </w:rPr>
            <w:t>3.4.6宣传报道组</w:t>
          </w:r>
          <w:r>
            <w:tab/>
          </w:r>
          <w:r>
            <w:fldChar w:fldCharType="begin"/>
          </w:r>
          <w:r>
            <w:instrText xml:space="preserve"> PAGEREF _Toc19467 \h </w:instrText>
          </w:r>
          <w:r>
            <w:fldChar w:fldCharType="separate"/>
          </w:r>
          <w:r>
            <w:t>21</w:t>
          </w:r>
          <w:r>
            <w:fldChar w:fldCharType="end"/>
          </w:r>
          <w:r>
            <w:rPr>
              <w:rFonts w:hint="default"/>
            </w:rPr>
            <w:fldChar w:fldCharType="end"/>
          </w:r>
        </w:p>
        <w:p w14:paraId="50C5CD9C">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_Toc18632 </w:instrText>
          </w:r>
          <w:r>
            <w:rPr>
              <w:rFonts w:hint="default"/>
            </w:rPr>
            <w:fldChar w:fldCharType="separate"/>
          </w:r>
          <w:r>
            <w:rPr>
              <w:rFonts w:hint="eastAsia"/>
              <w:highlight w:val="none"/>
              <w:lang w:val="en-US" w:eastAsia="zh-CN"/>
            </w:rPr>
            <w:t>3.4.7应急专家组</w:t>
          </w:r>
          <w:r>
            <w:tab/>
          </w:r>
          <w:r>
            <w:fldChar w:fldCharType="begin"/>
          </w:r>
          <w:r>
            <w:instrText xml:space="preserve"> PAGEREF _Toc18632 \h </w:instrText>
          </w:r>
          <w:r>
            <w:fldChar w:fldCharType="separate"/>
          </w:r>
          <w:r>
            <w:t>21</w:t>
          </w:r>
          <w:r>
            <w:fldChar w:fldCharType="end"/>
          </w:r>
          <w:r>
            <w:rPr>
              <w:rFonts w:hint="default"/>
            </w:rPr>
            <w:fldChar w:fldCharType="end"/>
          </w:r>
        </w:p>
        <w:p w14:paraId="59C24CA9">
          <w:pPr>
            <w:pStyle w:val="14"/>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_Toc27973 </w:instrText>
          </w:r>
          <w:r>
            <w:rPr>
              <w:rFonts w:hint="default"/>
            </w:rPr>
            <w:fldChar w:fldCharType="separate"/>
          </w:r>
          <w:r>
            <w:rPr>
              <w:rFonts w:hint="default"/>
            </w:rPr>
            <w:t>第</w:t>
          </w:r>
          <w:r>
            <w:rPr>
              <w:rFonts w:hint="default"/>
              <w:lang w:val="en-US" w:eastAsia="zh-CN"/>
            </w:rPr>
            <w:t>四</w:t>
          </w:r>
          <w:r>
            <w:rPr>
              <w:rFonts w:hint="default"/>
            </w:rPr>
            <w:t>章</w:t>
          </w:r>
          <w:r>
            <w:rPr>
              <w:rFonts w:hint="default"/>
              <w:lang w:val="en-US" w:eastAsia="zh-CN"/>
            </w:rPr>
            <w:t xml:space="preserve"> </w:t>
          </w:r>
          <w:r>
            <w:rPr>
              <w:rFonts w:hint="default"/>
            </w:rPr>
            <w:t>应急响应</w:t>
          </w:r>
          <w:r>
            <w:tab/>
          </w:r>
          <w:r>
            <w:fldChar w:fldCharType="begin"/>
          </w:r>
          <w:r>
            <w:instrText xml:space="preserve"> PAGEREF _Toc27973 \h </w:instrText>
          </w:r>
          <w:r>
            <w:fldChar w:fldCharType="separate"/>
          </w:r>
          <w:r>
            <w:t>24</w:t>
          </w:r>
          <w:r>
            <w:fldChar w:fldCharType="end"/>
          </w:r>
          <w:r>
            <w:rPr>
              <w:rFonts w:hint="default"/>
            </w:rPr>
            <w:fldChar w:fldCharType="end"/>
          </w:r>
        </w:p>
        <w:p w14:paraId="0EF7D6EE">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_Toc7323 </w:instrText>
          </w:r>
          <w:r>
            <w:rPr>
              <w:rFonts w:hint="default"/>
            </w:rPr>
            <w:fldChar w:fldCharType="separate"/>
          </w:r>
          <w:r>
            <w:rPr>
              <w:rFonts w:hint="default"/>
            </w:rPr>
            <w:t>4.1 预防</w:t>
          </w:r>
          <w:r>
            <w:tab/>
          </w:r>
          <w:r>
            <w:fldChar w:fldCharType="begin"/>
          </w:r>
          <w:r>
            <w:instrText xml:space="preserve"> PAGEREF _Toc7323 \h </w:instrText>
          </w:r>
          <w:r>
            <w:fldChar w:fldCharType="separate"/>
          </w:r>
          <w:r>
            <w:t>24</w:t>
          </w:r>
          <w:r>
            <w:fldChar w:fldCharType="end"/>
          </w:r>
          <w:r>
            <w:rPr>
              <w:rFonts w:hint="default"/>
            </w:rPr>
            <w:fldChar w:fldCharType="end"/>
          </w:r>
        </w:p>
        <w:p w14:paraId="39D53B52">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_Toc12643 </w:instrText>
          </w:r>
          <w:r>
            <w:rPr>
              <w:rFonts w:hint="default"/>
            </w:rPr>
            <w:fldChar w:fldCharType="separate"/>
          </w:r>
          <w:r>
            <w:rPr>
              <w:rFonts w:hint="default"/>
              <w:lang w:val="en-US" w:eastAsia="zh-CN"/>
            </w:rPr>
            <w:t>4.2</w:t>
          </w:r>
          <w:r>
            <w:rPr>
              <w:rFonts w:hint="default"/>
            </w:rPr>
            <w:t>应急响应工作路线</w:t>
          </w:r>
          <w:r>
            <w:tab/>
          </w:r>
          <w:r>
            <w:fldChar w:fldCharType="begin"/>
          </w:r>
          <w:r>
            <w:instrText xml:space="preserve"> PAGEREF _Toc12643 \h </w:instrText>
          </w:r>
          <w:r>
            <w:fldChar w:fldCharType="separate"/>
          </w:r>
          <w:r>
            <w:t>25</w:t>
          </w:r>
          <w:r>
            <w:fldChar w:fldCharType="end"/>
          </w:r>
          <w:r>
            <w:rPr>
              <w:rFonts w:hint="default"/>
            </w:rPr>
            <w:fldChar w:fldCharType="end"/>
          </w:r>
        </w:p>
        <w:p w14:paraId="430D314D">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_Toc24348 </w:instrText>
          </w:r>
          <w:r>
            <w:rPr>
              <w:rFonts w:hint="default"/>
            </w:rPr>
            <w:fldChar w:fldCharType="separate"/>
          </w:r>
          <w:r>
            <w:rPr>
              <w:rFonts w:hint="default"/>
              <w:lang w:val="en-US" w:eastAsia="zh-CN"/>
            </w:rPr>
            <w:t>4.3</w:t>
          </w:r>
          <w:r>
            <w:rPr>
              <w:rFonts w:hint="default"/>
            </w:rPr>
            <w:t>信息收集和研判</w:t>
          </w:r>
          <w:r>
            <w:tab/>
          </w:r>
          <w:r>
            <w:fldChar w:fldCharType="begin"/>
          </w:r>
          <w:r>
            <w:instrText xml:space="preserve"> PAGEREF _Toc24348 \h </w:instrText>
          </w:r>
          <w:r>
            <w:fldChar w:fldCharType="separate"/>
          </w:r>
          <w:r>
            <w:t>26</w:t>
          </w:r>
          <w:r>
            <w:fldChar w:fldCharType="end"/>
          </w:r>
          <w:r>
            <w:rPr>
              <w:rFonts w:hint="default"/>
            </w:rPr>
            <w:fldChar w:fldCharType="end"/>
          </w:r>
        </w:p>
        <w:p w14:paraId="2062F4C0">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_Toc21615 </w:instrText>
          </w:r>
          <w:r>
            <w:rPr>
              <w:rFonts w:hint="default"/>
            </w:rPr>
            <w:fldChar w:fldCharType="separate"/>
          </w:r>
          <w:r>
            <w:rPr>
              <w:rFonts w:hint="default"/>
            </w:rPr>
            <w:t>4.3.1 信息收集</w:t>
          </w:r>
          <w:r>
            <w:tab/>
          </w:r>
          <w:r>
            <w:fldChar w:fldCharType="begin"/>
          </w:r>
          <w:r>
            <w:instrText xml:space="preserve"> PAGEREF _Toc21615 \h </w:instrText>
          </w:r>
          <w:r>
            <w:fldChar w:fldCharType="separate"/>
          </w:r>
          <w:r>
            <w:t>26</w:t>
          </w:r>
          <w:r>
            <w:fldChar w:fldCharType="end"/>
          </w:r>
          <w:r>
            <w:rPr>
              <w:rFonts w:hint="default"/>
            </w:rPr>
            <w:fldChar w:fldCharType="end"/>
          </w:r>
        </w:p>
        <w:p w14:paraId="2D75B705">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_Toc28910 </w:instrText>
          </w:r>
          <w:r>
            <w:rPr>
              <w:rFonts w:hint="default"/>
            </w:rPr>
            <w:fldChar w:fldCharType="separate"/>
          </w:r>
          <w:r>
            <w:rPr>
              <w:rFonts w:hint="default"/>
              <w:lang w:val="en-US" w:eastAsia="zh-CN"/>
            </w:rPr>
            <w:t>4.3.2 信息初次研判</w:t>
          </w:r>
          <w:r>
            <w:tab/>
          </w:r>
          <w:r>
            <w:fldChar w:fldCharType="begin"/>
          </w:r>
          <w:r>
            <w:instrText xml:space="preserve"> PAGEREF _Toc28910 \h </w:instrText>
          </w:r>
          <w:r>
            <w:fldChar w:fldCharType="separate"/>
          </w:r>
          <w:r>
            <w:t>27</w:t>
          </w:r>
          <w:r>
            <w:fldChar w:fldCharType="end"/>
          </w:r>
          <w:r>
            <w:rPr>
              <w:rFonts w:hint="default"/>
            </w:rPr>
            <w:fldChar w:fldCharType="end"/>
          </w:r>
        </w:p>
        <w:p w14:paraId="5F97EE98">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_Toc32314 </w:instrText>
          </w:r>
          <w:r>
            <w:rPr>
              <w:rFonts w:hint="default"/>
            </w:rPr>
            <w:fldChar w:fldCharType="separate"/>
          </w:r>
          <w:r>
            <w:rPr>
              <w:rFonts w:hint="default"/>
              <w:lang w:val="en-US" w:eastAsia="zh-CN"/>
            </w:rPr>
            <w:t>4.4 发布预警和预警行动</w:t>
          </w:r>
          <w:r>
            <w:tab/>
          </w:r>
          <w:r>
            <w:fldChar w:fldCharType="begin"/>
          </w:r>
          <w:r>
            <w:instrText xml:space="preserve"> PAGEREF _Toc32314 \h </w:instrText>
          </w:r>
          <w:r>
            <w:fldChar w:fldCharType="separate"/>
          </w:r>
          <w:r>
            <w:t>28</w:t>
          </w:r>
          <w:r>
            <w:fldChar w:fldCharType="end"/>
          </w:r>
          <w:r>
            <w:rPr>
              <w:rFonts w:hint="default"/>
            </w:rPr>
            <w:fldChar w:fldCharType="end"/>
          </w:r>
        </w:p>
        <w:p w14:paraId="1033AEE5">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_Toc25969 </w:instrText>
          </w:r>
          <w:r>
            <w:rPr>
              <w:rFonts w:hint="default"/>
            </w:rPr>
            <w:fldChar w:fldCharType="separate"/>
          </w:r>
          <w:r>
            <w:rPr>
              <w:rFonts w:hint="default"/>
            </w:rPr>
            <w:t>4.4.1 预警分级</w:t>
          </w:r>
          <w:r>
            <w:tab/>
          </w:r>
          <w:r>
            <w:fldChar w:fldCharType="begin"/>
          </w:r>
          <w:r>
            <w:instrText xml:space="preserve"> PAGEREF _Toc25969 \h </w:instrText>
          </w:r>
          <w:r>
            <w:fldChar w:fldCharType="separate"/>
          </w:r>
          <w:r>
            <w:t>28</w:t>
          </w:r>
          <w:r>
            <w:fldChar w:fldCharType="end"/>
          </w:r>
          <w:r>
            <w:rPr>
              <w:rFonts w:hint="default"/>
            </w:rPr>
            <w:fldChar w:fldCharType="end"/>
          </w:r>
        </w:p>
        <w:p w14:paraId="6CB89152">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_Toc7211 </w:instrText>
          </w:r>
          <w:r>
            <w:rPr>
              <w:rFonts w:hint="default"/>
            </w:rPr>
            <w:fldChar w:fldCharType="separate"/>
          </w:r>
          <w:r>
            <w:rPr>
              <w:rFonts w:hint="default"/>
            </w:rPr>
            <w:t>4.4.</w:t>
          </w:r>
          <w:r>
            <w:rPr>
              <w:rFonts w:hint="default"/>
              <w:lang w:val="en-US" w:eastAsia="zh-CN"/>
            </w:rPr>
            <w:t>2</w:t>
          </w:r>
          <w:r>
            <w:rPr>
              <w:rFonts w:hint="default"/>
            </w:rPr>
            <w:t xml:space="preserve"> 发布预警和预警级别调整</w:t>
          </w:r>
          <w:r>
            <w:tab/>
          </w:r>
          <w:r>
            <w:fldChar w:fldCharType="begin"/>
          </w:r>
          <w:r>
            <w:instrText xml:space="preserve"> PAGEREF _Toc7211 \h </w:instrText>
          </w:r>
          <w:r>
            <w:fldChar w:fldCharType="separate"/>
          </w:r>
          <w:r>
            <w:t>28</w:t>
          </w:r>
          <w:r>
            <w:fldChar w:fldCharType="end"/>
          </w:r>
          <w:r>
            <w:rPr>
              <w:rFonts w:hint="default"/>
            </w:rPr>
            <w:fldChar w:fldCharType="end"/>
          </w:r>
        </w:p>
        <w:p w14:paraId="3684A854">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_Toc9676 </w:instrText>
          </w:r>
          <w:r>
            <w:rPr>
              <w:rFonts w:hint="default"/>
            </w:rPr>
            <w:fldChar w:fldCharType="separate"/>
          </w:r>
          <w:r>
            <w:rPr>
              <w:rFonts w:hint="default"/>
            </w:rPr>
            <w:t>4.4.</w:t>
          </w:r>
          <w:r>
            <w:rPr>
              <w:rFonts w:hint="default"/>
              <w:lang w:val="en-US" w:eastAsia="zh-CN"/>
            </w:rPr>
            <w:t>3</w:t>
          </w:r>
          <w:r>
            <w:rPr>
              <w:rFonts w:hint="default"/>
            </w:rPr>
            <w:t xml:space="preserve"> 预警发布内容</w:t>
          </w:r>
          <w:r>
            <w:tab/>
          </w:r>
          <w:r>
            <w:fldChar w:fldCharType="begin"/>
          </w:r>
          <w:r>
            <w:instrText xml:space="preserve"> PAGEREF _Toc9676 \h </w:instrText>
          </w:r>
          <w:r>
            <w:fldChar w:fldCharType="separate"/>
          </w:r>
          <w:r>
            <w:t>29</w:t>
          </w:r>
          <w:r>
            <w:fldChar w:fldCharType="end"/>
          </w:r>
          <w:r>
            <w:rPr>
              <w:rFonts w:hint="default"/>
            </w:rPr>
            <w:fldChar w:fldCharType="end"/>
          </w:r>
        </w:p>
        <w:p w14:paraId="6D36E79D">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_Toc26280 </w:instrText>
          </w:r>
          <w:r>
            <w:rPr>
              <w:rFonts w:hint="default"/>
            </w:rPr>
            <w:fldChar w:fldCharType="separate"/>
          </w:r>
          <w:r>
            <w:rPr>
              <w:rFonts w:hint="default"/>
            </w:rPr>
            <w:t>4.4.</w:t>
          </w:r>
          <w:r>
            <w:rPr>
              <w:rFonts w:hint="default"/>
              <w:lang w:val="en-US" w:eastAsia="zh-CN"/>
            </w:rPr>
            <w:t>4</w:t>
          </w:r>
          <w:r>
            <w:rPr>
              <w:rFonts w:hint="default"/>
            </w:rPr>
            <w:t xml:space="preserve"> 预警行动</w:t>
          </w:r>
          <w:r>
            <w:tab/>
          </w:r>
          <w:r>
            <w:fldChar w:fldCharType="begin"/>
          </w:r>
          <w:r>
            <w:instrText xml:space="preserve"> PAGEREF _Toc26280 \h </w:instrText>
          </w:r>
          <w:r>
            <w:fldChar w:fldCharType="separate"/>
          </w:r>
          <w:r>
            <w:t>29</w:t>
          </w:r>
          <w:r>
            <w:fldChar w:fldCharType="end"/>
          </w:r>
          <w:r>
            <w:rPr>
              <w:rFonts w:hint="default"/>
            </w:rPr>
            <w:fldChar w:fldCharType="end"/>
          </w:r>
        </w:p>
        <w:p w14:paraId="26BEB9CD">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_Toc5445 </w:instrText>
          </w:r>
          <w:r>
            <w:rPr>
              <w:rFonts w:hint="default"/>
            </w:rPr>
            <w:fldChar w:fldCharType="separate"/>
          </w:r>
          <w:r>
            <w:rPr>
              <w:rFonts w:hint="default"/>
              <w:lang w:val="en-US" w:eastAsia="zh-CN"/>
            </w:rPr>
            <w:t>4.5 预警解除</w:t>
          </w:r>
          <w:r>
            <w:tab/>
          </w:r>
          <w:r>
            <w:fldChar w:fldCharType="begin"/>
          </w:r>
          <w:r>
            <w:instrText xml:space="preserve"> PAGEREF _Toc5445 \h </w:instrText>
          </w:r>
          <w:r>
            <w:fldChar w:fldCharType="separate"/>
          </w:r>
          <w:r>
            <w:t>30</w:t>
          </w:r>
          <w:r>
            <w:fldChar w:fldCharType="end"/>
          </w:r>
          <w:r>
            <w:rPr>
              <w:rFonts w:hint="default"/>
            </w:rPr>
            <w:fldChar w:fldCharType="end"/>
          </w:r>
        </w:p>
        <w:p w14:paraId="06E7C3F7">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_Toc22157 </w:instrText>
          </w:r>
          <w:r>
            <w:rPr>
              <w:rFonts w:hint="default"/>
            </w:rPr>
            <w:fldChar w:fldCharType="separate"/>
          </w:r>
          <w:r>
            <w:rPr>
              <w:rFonts w:hint="default"/>
              <w:lang w:val="en-US" w:eastAsia="zh-CN"/>
            </w:rPr>
            <w:t>4.6 信息报告与通报</w:t>
          </w:r>
          <w:r>
            <w:tab/>
          </w:r>
          <w:r>
            <w:fldChar w:fldCharType="begin"/>
          </w:r>
          <w:r>
            <w:instrText xml:space="preserve"> PAGEREF _Toc22157 \h </w:instrText>
          </w:r>
          <w:r>
            <w:fldChar w:fldCharType="separate"/>
          </w:r>
          <w:r>
            <w:t>30</w:t>
          </w:r>
          <w:r>
            <w:fldChar w:fldCharType="end"/>
          </w:r>
          <w:r>
            <w:rPr>
              <w:rFonts w:hint="default"/>
            </w:rPr>
            <w:fldChar w:fldCharType="end"/>
          </w:r>
        </w:p>
        <w:p w14:paraId="5A876C29">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_Toc2377 </w:instrText>
          </w:r>
          <w:r>
            <w:rPr>
              <w:rFonts w:hint="default"/>
            </w:rPr>
            <w:fldChar w:fldCharType="separate"/>
          </w:r>
          <w:r>
            <w:rPr>
              <w:rFonts w:hint="default"/>
            </w:rPr>
            <w:t>4.</w:t>
          </w:r>
          <w:r>
            <w:rPr>
              <w:rFonts w:hint="default"/>
              <w:lang w:val="en-US" w:eastAsia="zh-CN"/>
            </w:rPr>
            <w:t>6</w:t>
          </w:r>
          <w:r>
            <w:rPr>
              <w:rFonts w:hint="default"/>
            </w:rPr>
            <w:t>.1 信息报告程序</w:t>
          </w:r>
          <w:r>
            <w:tab/>
          </w:r>
          <w:r>
            <w:fldChar w:fldCharType="begin"/>
          </w:r>
          <w:r>
            <w:instrText xml:space="preserve"> PAGEREF _Toc2377 \h </w:instrText>
          </w:r>
          <w:r>
            <w:fldChar w:fldCharType="separate"/>
          </w:r>
          <w:r>
            <w:t>30</w:t>
          </w:r>
          <w:r>
            <w:fldChar w:fldCharType="end"/>
          </w:r>
          <w:r>
            <w:rPr>
              <w:rFonts w:hint="default"/>
            </w:rPr>
            <w:fldChar w:fldCharType="end"/>
          </w:r>
        </w:p>
        <w:p w14:paraId="16F5945B">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_Toc13195 </w:instrText>
          </w:r>
          <w:r>
            <w:rPr>
              <w:rFonts w:hint="default"/>
            </w:rPr>
            <w:fldChar w:fldCharType="separate"/>
          </w:r>
          <w:r>
            <w:rPr>
              <w:rFonts w:hint="default"/>
              <w:lang w:val="en-US" w:eastAsia="zh-CN"/>
            </w:rPr>
            <w:t>4.6.2 信息通报程序</w:t>
          </w:r>
          <w:r>
            <w:tab/>
          </w:r>
          <w:r>
            <w:fldChar w:fldCharType="begin"/>
          </w:r>
          <w:r>
            <w:instrText xml:space="preserve"> PAGEREF _Toc13195 \h </w:instrText>
          </w:r>
          <w:r>
            <w:fldChar w:fldCharType="separate"/>
          </w:r>
          <w:r>
            <w:t>31</w:t>
          </w:r>
          <w:r>
            <w:fldChar w:fldCharType="end"/>
          </w:r>
          <w:r>
            <w:rPr>
              <w:rFonts w:hint="default"/>
            </w:rPr>
            <w:fldChar w:fldCharType="end"/>
          </w:r>
        </w:p>
        <w:p w14:paraId="779F5669">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_Toc15063 </w:instrText>
          </w:r>
          <w:r>
            <w:rPr>
              <w:rFonts w:hint="default"/>
            </w:rPr>
            <w:fldChar w:fldCharType="separate"/>
          </w:r>
          <w:r>
            <w:rPr>
              <w:rFonts w:hint="default"/>
            </w:rPr>
            <w:t>4.</w:t>
          </w:r>
          <w:r>
            <w:rPr>
              <w:rFonts w:hint="default"/>
              <w:lang w:val="en-US" w:eastAsia="zh-CN"/>
            </w:rPr>
            <w:t>6</w:t>
          </w:r>
          <w:r>
            <w:rPr>
              <w:rFonts w:hint="default"/>
            </w:rPr>
            <w:t>.3 信息报告和通报内容</w:t>
          </w:r>
          <w:r>
            <w:tab/>
          </w:r>
          <w:r>
            <w:fldChar w:fldCharType="begin"/>
          </w:r>
          <w:r>
            <w:instrText xml:space="preserve"> PAGEREF _Toc15063 \h </w:instrText>
          </w:r>
          <w:r>
            <w:fldChar w:fldCharType="separate"/>
          </w:r>
          <w:r>
            <w:t>31</w:t>
          </w:r>
          <w:r>
            <w:fldChar w:fldCharType="end"/>
          </w:r>
          <w:r>
            <w:rPr>
              <w:rFonts w:hint="default"/>
            </w:rPr>
            <w:fldChar w:fldCharType="end"/>
          </w:r>
        </w:p>
        <w:p w14:paraId="5D926E16">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_Toc27245 </w:instrText>
          </w:r>
          <w:r>
            <w:rPr>
              <w:rFonts w:hint="default"/>
            </w:rPr>
            <w:fldChar w:fldCharType="separate"/>
          </w:r>
          <w:r>
            <w:rPr>
              <w:rFonts w:hint="default"/>
              <w:lang w:val="en-US" w:eastAsia="zh-CN"/>
            </w:rPr>
            <w:t>4.7应急监测</w:t>
          </w:r>
          <w:r>
            <w:tab/>
          </w:r>
          <w:r>
            <w:fldChar w:fldCharType="begin"/>
          </w:r>
          <w:r>
            <w:instrText xml:space="preserve"> PAGEREF _Toc27245 \h </w:instrText>
          </w:r>
          <w:r>
            <w:fldChar w:fldCharType="separate"/>
          </w:r>
          <w:r>
            <w:t>32</w:t>
          </w:r>
          <w:r>
            <w:fldChar w:fldCharType="end"/>
          </w:r>
          <w:r>
            <w:rPr>
              <w:rFonts w:hint="default"/>
            </w:rPr>
            <w:fldChar w:fldCharType="end"/>
          </w:r>
        </w:p>
        <w:p w14:paraId="3194242F">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_Toc17454 </w:instrText>
          </w:r>
          <w:r>
            <w:rPr>
              <w:rFonts w:hint="default"/>
            </w:rPr>
            <w:fldChar w:fldCharType="separate"/>
          </w:r>
          <w:r>
            <w:rPr>
              <w:rFonts w:hint="default"/>
              <w:lang w:val="en-US" w:eastAsia="zh-CN"/>
            </w:rPr>
            <w:t>4.7.1</w:t>
          </w:r>
          <w:r>
            <w:rPr>
              <w:rFonts w:hint="default"/>
            </w:rPr>
            <w:t>开展应急监测程序</w:t>
          </w:r>
          <w:r>
            <w:tab/>
          </w:r>
          <w:r>
            <w:fldChar w:fldCharType="begin"/>
          </w:r>
          <w:r>
            <w:instrText xml:space="preserve"> PAGEREF _Toc17454 \h </w:instrText>
          </w:r>
          <w:r>
            <w:fldChar w:fldCharType="separate"/>
          </w:r>
          <w:r>
            <w:t>32</w:t>
          </w:r>
          <w:r>
            <w:fldChar w:fldCharType="end"/>
          </w:r>
          <w:r>
            <w:rPr>
              <w:rFonts w:hint="default"/>
            </w:rPr>
            <w:fldChar w:fldCharType="end"/>
          </w:r>
        </w:p>
        <w:p w14:paraId="7D754824">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_Toc4753 </w:instrText>
          </w:r>
          <w:r>
            <w:rPr>
              <w:rFonts w:hint="default"/>
            </w:rPr>
            <w:fldChar w:fldCharType="separate"/>
          </w:r>
          <w:r>
            <w:rPr>
              <w:rFonts w:hint="default"/>
              <w:lang w:val="en-US" w:eastAsia="zh-CN"/>
            </w:rPr>
            <w:t>4.7.2制定应急监测方案</w:t>
          </w:r>
          <w:r>
            <w:tab/>
          </w:r>
          <w:r>
            <w:fldChar w:fldCharType="begin"/>
          </w:r>
          <w:r>
            <w:instrText xml:space="preserve"> PAGEREF _Toc4753 \h </w:instrText>
          </w:r>
          <w:r>
            <w:fldChar w:fldCharType="separate"/>
          </w:r>
          <w:r>
            <w:t>33</w:t>
          </w:r>
          <w:r>
            <w:fldChar w:fldCharType="end"/>
          </w:r>
          <w:r>
            <w:rPr>
              <w:rFonts w:hint="default"/>
            </w:rPr>
            <w:fldChar w:fldCharType="end"/>
          </w:r>
        </w:p>
        <w:p w14:paraId="41C755D9">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_Toc5350 </w:instrText>
          </w:r>
          <w:r>
            <w:rPr>
              <w:rFonts w:hint="default"/>
            </w:rPr>
            <w:fldChar w:fldCharType="separate"/>
          </w:r>
          <w:r>
            <w:rPr>
              <w:rFonts w:hint="default"/>
              <w:lang w:val="en-US" w:eastAsia="zh-CN"/>
            </w:rPr>
            <w:t>4.8 溯源分析</w:t>
          </w:r>
          <w:r>
            <w:tab/>
          </w:r>
          <w:r>
            <w:fldChar w:fldCharType="begin"/>
          </w:r>
          <w:r>
            <w:instrText xml:space="preserve"> PAGEREF _Toc5350 \h </w:instrText>
          </w:r>
          <w:r>
            <w:fldChar w:fldCharType="separate"/>
          </w:r>
          <w:r>
            <w:t>35</w:t>
          </w:r>
          <w:r>
            <w:fldChar w:fldCharType="end"/>
          </w:r>
          <w:r>
            <w:rPr>
              <w:rFonts w:hint="default"/>
            </w:rPr>
            <w:fldChar w:fldCharType="end"/>
          </w:r>
        </w:p>
        <w:p w14:paraId="1536F3E1">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_Toc1048 </w:instrText>
          </w:r>
          <w:r>
            <w:rPr>
              <w:rFonts w:hint="default"/>
            </w:rPr>
            <w:fldChar w:fldCharType="separate"/>
          </w:r>
          <w:r>
            <w:rPr>
              <w:rFonts w:hint="default"/>
              <w:lang w:val="en-US" w:eastAsia="zh-CN"/>
            </w:rPr>
            <w:t>4.9先期处置</w:t>
          </w:r>
          <w:r>
            <w:tab/>
          </w:r>
          <w:r>
            <w:fldChar w:fldCharType="begin"/>
          </w:r>
          <w:r>
            <w:instrText xml:space="preserve"> PAGEREF _Toc1048 \h </w:instrText>
          </w:r>
          <w:r>
            <w:fldChar w:fldCharType="separate"/>
          </w:r>
          <w:r>
            <w:t>35</w:t>
          </w:r>
          <w:r>
            <w:fldChar w:fldCharType="end"/>
          </w:r>
          <w:r>
            <w:rPr>
              <w:rFonts w:hint="default"/>
            </w:rPr>
            <w:fldChar w:fldCharType="end"/>
          </w:r>
        </w:p>
        <w:p w14:paraId="0329D96A">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_Toc22499 </w:instrText>
          </w:r>
          <w:r>
            <w:rPr>
              <w:rFonts w:hint="default"/>
            </w:rPr>
            <w:fldChar w:fldCharType="separate"/>
          </w:r>
          <w:r>
            <w:rPr>
              <w:rFonts w:hint="default"/>
              <w:lang w:val="en-US" w:eastAsia="zh-CN"/>
            </w:rPr>
            <w:t>4.10 物资调集及应急设施启用</w:t>
          </w:r>
          <w:r>
            <w:tab/>
          </w:r>
          <w:r>
            <w:fldChar w:fldCharType="begin"/>
          </w:r>
          <w:r>
            <w:instrText xml:space="preserve"> PAGEREF _Toc22499 \h </w:instrText>
          </w:r>
          <w:r>
            <w:fldChar w:fldCharType="separate"/>
          </w:r>
          <w:r>
            <w:t>36</w:t>
          </w:r>
          <w:r>
            <w:fldChar w:fldCharType="end"/>
          </w:r>
          <w:r>
            <w:rPr>
              <w:rFonts w:hint="default"/>
            </w:rPr>
            <w:fldChar w:fldCharType="end"/>
          </w:r>
        </w:p>
        <w:p w14:paraId="4CCB7ABF">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_Toc11411 </w:instrText>
          </w:r>
          <w:r>
            <w:rPr>
              <w:rFonts w:hint="default"/>
            </w:rPr>
            <w:fldChar w:fldCharType="separate"/>
          </w:r>
          <w:r>
            <w:rPr>
              <w:rFonts w:hint="default"/>
              <w:lang w:val="en-US" w:eastAsia="zh-CN"/>
            </w:rPr>
            <w:t>4.11 应急处置</w:t>
          </w:r>
          <w:r>
            <w:tab/>
          </w:r>
          <w:r>
            <w:fldChar w:fldCharType="begin"/>
          </w:r>
          <w:r>
            <w:instrText xml:space="preserve"> PAGEREF _Toc11411 \h </w:instrText>
          </w:r>
          <w:r>
            <w:fldChar w:fldCharType="separate"/>
          </w:r>
          <w:r>
            <w:t>37</w:t>
          </w:r>
          <w:r>
            <w:fldChar w:fldCharType="end"/>
          </w:r>
          <w:r>
            <w:rPr>
              <w:rFonts w:hint="default"/>
            </w:rPr>
            <w:fldChar w:fldCharType="end"/>
          </w:r>
        </w:p>
        <w:p w14:paraId="3B2B7361">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_Toc25020 </w:instrText>
          </w:r>
          <w:r>
            <w:rPr>
              <w:rFonts w:hint="default"/>
            </w:rPr>
            <w:fldChar w:fldCharType="separate"/>
          </w:r>
          <w:r>
            <w:rPr>
              <w:rFonts w:hint="default"/>
              <w:highlight w:val="none"/>
              <w:lang w:val="en-US" w:eastAsia="zh-CN"/>
            </w:rPr>
            <w:t>4.1</w:t>
          </w:r>
          <w:r>
            <w:rPr>
              <w:rFonts w:hint="eastAsia"/>
              <w:highlight w:val="none"/>
              <w:lang w:val="en-US" w:eastAsia="zh-CN"/>
            </w:rPr>
            <w:t>1</w:t>
          </w:r>
          <w:r>
            <w:rPr>
              <w:rFonts w:hint="default"/>
              <w:highlight w:val="none"/>
              <w:lang w:val="en-US" w:eastAsia="zh-CN"/>
            </w:rPr>
            <w:t>.1</w:t>
          </w:r>
          <w:r>
            <w:rPr>
              <w:rFonts w:hint="eastAsia"/>
              <w:highlight w:val="none"/>
              <w:lang w:val="en-US" w:eastAsia="zh-CN"/>
            </w:rPr>
            <w:t>现场应急处置原则</w:t>
          </w:r>
          <w:r>
            <w:tab/>
          </w:r>
          <w:r>
            <w:fldChar w:fldCharType="begin"/>
          </w:r>
          <w:r>
            <w:instrText xml:space="preserve"> PAGEREF _Toc25020 \h </w:instrText>
          </w:r>
          <w:r>
            <w:fldChar w:fldCharType="separate"/>
          </w:r>
          <w:r>
            <w:t>37</w:t>
          </w:r>
          <w:r>
            <w:fldChar w:fldCharType="end"/>
          </w:r>
          <w:r>
            <w:rPr>
              <w:rFonts w:hint="default"/>
            </w:rPr>
            <w:fldChar w:fldCharType="end"/>
          </w:r>
        </w:p>
        <w:p w14:paraId="047A592B">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_Toc32324 </w:instrText>
          </w:r>
          <w:r>
            <w:rPr>
              <w:rFonts w:hint="default"/>
            </w:rPr>
            <w:fldChar w:fldCharType="separate"/>
          </w:r>
          <w:r>
            <w:rPr>
              <w:rFonts w:hint="default"/>
              <w:highlight w:val="none"/>
              <w:lang w:val="en-US" w:eastAsia="zh-CN"/>
            </w:rPr>
            <w:t>4.1</w:t>
          </w:r>
          <w:r>
            <w:rPr>
              <w:rFonts w:hint="eastAsia"/>
              <w:highlight w:val="none"/>
              <w:lang w:val="en-US" w:eastAsia="zh-CN"/>
            </w:rPr>
            <w:t>1</w:t>
          </w:r>
          <w:r>
            <w:rPr>
              <w:rFonts w:hint="default"/>
              <w:highlight w:val="none"/>
              <w:lang w:val="en-US" w:eastAsia="zh-CN"/>
            </w:rPr>
            <w:t>.</w:t>
          </w:r>
          <w:r>
            <w:rPr>
              <w:rFonts w:hint="eastAsia"/>
              <w:highlight w:val="none"/>
              <w:lang w:val="en-US" w:eastAsia="zh-CN"/>
            </w:rPr>
            <w:t>2</w:t>
          </w:r>
          <w:r>
            <w:rPr>
              <w:rFonts w:hint="default"/>
              <w:highlight w:val="none"/>
              <w:lang w:val="en-US" w:eastAsia="zh-CN"/>
            </w:rPr>
            <w:t>现场处置方案</w:t>
          </w:r>
          <w:r>
            <w:tab/>
          </w:r>
          <w:r>
            <w:fldChar w:fldCharType="begin"/>
          </w:r>
          <w:r>
            <w:instrText xml:space="preserve"> PAGEREF _Toc32324 \h </w:instrText>
          </w:r>
          <w:r>
            <w:fldChar w:fldCharType="separate"/>
          </w:r>
          <w:r>
            <w:t>37</w:t>
          </w:r>
          <w:r>
            <w:fldChar w:fldCharType="end"/>
          </w:r>
          <w:r>
            <w:rPr>
              <w:rFonts w:hint="default"/>
            </w:rPr>
            <w:fldChar w:fldCharType="end"/>
          </w:r>
        </w:p>
        <w:p w14:paraId="72763DD1">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_Toc13202 </w:instrText>
          </w:r>
          <w:r>
            <w:rPr>
              <w:rFonts w:hint="default"/>
            </w:rPr>
            <w:fldChar w:fldCharType="separate"/>
          </w:r>
          <w:r>
            <w:rPr>
              <w:rFonts w:hint="default"/>
              <w:lang w:val="en-US" w:eastAsia="zh-CN"/>
            </w:rPr>
            <w:t>4.12 信息公开与发布</w:t>
          </w:r>
          <w:r>
            <w:tab/>
          </w:r>
          <w:r>
            <w:fldChar w:fldCharType="begin"/>
          </w:r>
          <w:r>
            <w:instrText xml:space="preserve"> PAGEREF _Toc13202 \h </w:instrText>
          </w:r>
          <w:r>
            <w:fldChar w:fldCharType="separate"/>
          </w:r>
          <w:r>
            <w:t>39</w:t>
          </w:r>
          <w:r>
            <w:fldChar w:fldCharType="end"/>
          </w:r>
          <w:r>
            <w:rPr>
              <w:rFonts w:hint="default"/>
            </w:rPr>
            <w:fldChar w:fldCharType="end"/>
          </w:r>
        </w:p>
        <w:p w14:paraId="06695CCB">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_Toc30245 </w:instrText>
          </w:r>
          <w:r>
            <w:rPr>
              <w:rFonts w:hint="default"/>
            </w:rPr>
            <w:fldChar w:fldCharType="separate"/>
          </w:r>
          <w:r>
            <w:rPr>
              <w:rFonts w:hint="default"/>
              <w:lang w:val="en-US" w:eastAsia="zh-CN"/>
            </w:rPr>
            <w:t>4.12.1舆情监测</w:t>
          </w:r>
          <w:r>
            <w:tab/>
          </w:r>
          <w:r>
            <w:fldChar w:fldCharType="begin"/>
          </w:r>
          <w:r>
            <w:instrText xml:space="preserve"> PAGEREF _Toc30245 \h </w:instrText>
          </w:r>
          <w:r>
            <w:fldChar w:fldCharType="separate"/>
          </w:r>
          <w:r>
            <w:t>39</w:t>
          </w:r>
          <w:r>
            <w:fldChar w:fldCharType="end"/>
          </w:r>
          <w:r>
            <w:rPr>
              <w:rFonts w:hint="default"/>
            </w:rPr>
            <w:fldChar w:fldCharType="end"/>
          </w:r>
        </w:p>
        <w:p w14:paraId="6BE0C73E">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_Toc15723 </w:instrText>
          </w:r>
          <w:r>
            <w:rPr>
              <w:rFonts w:hint="default"/>
            </w:rPr>
            <w:fldChar w:fldCharType="separate"/>
          </w:r>
          <w:r>
            <w:rPr>
              <w:rFonts w:hint="default"/>
              <w:lang w:val="en-US" w:eastAsia="zh-CN"/>
            </w:rPr>
            <w:t>4.12.2公开方式</w:t>
          </w:r>
          <w:r>
            <w:tab/>
          </w:r>
          <w:r>
            <w:fldChar w:fldCharType="begin"/>
          </w:r>
          <w:r>
            <w:instrText xml:space="preserve"> PAGEREF _Toc15723 \h </w:instrText>
          </w:r>
          <w:r>
            <w:fldChar w:fldCharType="separate"/>
          </w:r>
          <w:r>
            <w:t>40</w:t>
          </w:r>
          <w:r>
            <w:fldChar w:fldCharType="end"/>
          </w:r>
          <w:r>
            <w:rPr>
              <w:rFonts w:hint="default"/>
            </w:rPr>
            <w:fldChar w:fldCharType="end"/>
          </w:r>
        </w:p>
        <w:p w14:paraId="0547D93D">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_Toc22346 </w:instrText>
          </w:r>
          <w:r>
            <w:rPr>
              <w:rFonts w:hint="default"/>
            </w:rPr>
            <w:fldChar w:fldCharType="separate"/>
          </w:r>
          <w:r>
            <w:rPr>
              <w:rFonts w:hint="default"/>
              <w:lang w:val="en-US" w:eastAsia="zh-CN"/>
            </w:rPr>
            <w:t>4.12.3发布的主要内容</w:t>
          </w:r>
          <w:r>
            <w:tab/>
          </w:r>
          <w:r>
            <w:fldChar w:fldCharType="begin"/>
          </w:r>
          <w:r>
            <w:instrText xml:space="preserve"> PAGEREF _Toc22346 \h </w:instrText>
          </w:r>
          <w:r>
            <w:fldChar w:fldCharType="separate"/>
          </w:r>
          <w:r>
            <w:t>40</w:t>
          </w:r>
          <w:r>
            <w:fldChar w:fldCharType="end"/>
          </w:r>
          <w:r>
            <w:rPr>
              <w:rFonts w:hint="default"/>
            </w:rPr>
            <w:fldChar w:fldCharType="end"/>
          </w:r>
        </w:p>
        <w:p w14:paraId="7E8E764E">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_Toc9353 </w:instrText>
          </w:r>
          <w:r>
            <w:rPr>
              <w:rFonts w:hint="default"/>
            </w:rPr>
            <w:fldChar w:fldCharType="separate"/>
          </w:r>
          <w:r>
            <w:rPr>
              <w:rFonts w:hint="default"/>
              <w:lang w:val="en-US" w:eastAsia="zh-CN"/>
            </w:rPr>
            <w:t>4.</w:t>
          </w:r>
          <w:r>
            <w:rPr>
              <w:rFonts w:hint="eastAsia"/>
              <w:lang w:val="en-US" w:eastAsia="zh-CN"/>
            </w:rPr>
            <w:t>13</w:t>
          </w:r>
          <w:r>
            <w:rPr>
              <w:rFonts w:hint="default"/>
              <w:lang w:val="en-US" w:eastAsia="zh-CN"/>
            </w:rPr>
            <w:t>响应终止</w:t>
          </w:r>
          <w:r>
            <w:tab/>
          </w:r>
          <w:r>
            <w:fldChar w:fldCharType="begin"/>
          </w:r>
          <w:r>
            <w:instrText xml:space="preserve"> PAGEREF _Toc9353 \h </w:instrText>
          </w:r>
          <w:r>
            <w:fldChar w:fldCharType="separate"/>
          </w:r>
          <w:r>
            <w:t>40</w:t>
          </w:r>
          <w:r>
            <w:fldChar w:fldCharType="end"/>
          </w:r>
          <w:r>
            <w:rPr>
              <w:rFonts w:hint="default"/>
            </w:rPr>
            <w:fldChar w:fldCharType="end"/>
          </w:r>
        </w:p>
        <w:p w14:paraId="2626B296">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_Toc28267 </w:instrText>
          </w:r>
          <w:r>
            <w:rPr>
              <w:rFonts w:hint="default"/>
            </w:rPr>
            <w:fldChar w:fldCharType="separate"/>
          </w:r>
          <w:r>
            <w:rPr>
              <w:rFonts w:hint="default"/>
              <w:lang w:val="en-US" w:eastAsia="zh-CN"/>
            </w:rPr>
            <w:t>4.</w:t>
          </w:r>
          <w:r>
            <w:rPr>
              <w:rFonts w:hint="eastAsia"/>
              <w:lang w:val="en-US" w:eastAsia="zh-CN"/>
            </w:rPr>
            <w:t>13</w:t>
          </w:r>
          <w:r>
            <w:rPr>
              <w:rFonts w:hint="default"/>
              <w:lang w:val="en-US" w:eastAsia="zh-CN"/>
            </w:rPr>
            <w:t>.1 应急响应终止条件</w:t>
          </w:r>
          <w:r>
            <w:tab/>
          </w:r>
          <w:r>
            <w:fldChar w:fldCharType="begin"/>
          </w:r>
          <w:r>
            <w:instrText xml:space="preserve"> PAGEREF _Toc28267 \h </w:instrText>
          </w:r>
          <w:r>
            <w:fldChar w:fldCharType="separate"/>
          </w:r>
          <w:r>
            <w:t>40</w:t>
          </w:r>
          <w:r>
            <w:fldChar w:fldCharType="end"/>
          </w:r>
          <w:r>
            <w:rPr>
              <w:rFonts w:hint="default"/>
            </w:rPr>
            <w:fldChar w:fldCharType="end"/>
          </w:r>
        </w:p>
        <w:p w14:paraId="202AC242">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_Toc13655 </w:instrText>
          </w:r>
          <w:r>
            <w:rPr>
              <w:rFonts w:hint="default"/>
            </w:rPr>
            <w:fldChar w:fldCharType="separate"/>
          </w:r>
          <w:r>
            <w:rPr>
              <w:rFonts w:hint="default"/>
              <w:lang w:val="en-US" w:eastAsia="zh-CN"/>
            </w:rPr>
            <w:t>4.</w:t>
          </w:r>
          <w:r>
            <w:rPr>
              <w:rFonts w:hint="eastAsia"/>
              <w:lang w:val="en-US" w:eastAsia="zh-CN"/>
            </w:rPr>
            <w:t>13</w:t>
          </w:r>
          <w:r>
            <w:rPr>
              <w:rFonts w:hint="default"/>
              <w:lang w:val="en-US" w:eastAsia="zh-CN"/>
            </w:rPr>
            <w:t>.2 应急响应终止程序</w:t>
          </w:r>
          <w:r>
            <w:tab/>
          </w:r>
          <w:r>
            <w:fldChar w:fldCharType="begin"/>
          </w:r>
          <w:r>
            <w:instrText xml:space="preserve"> PAGEREF _Toc13655 \h </w:instrText>
          </w:r>
          <w:r>
            <w:fldChar w:fldCharType="separate"/>
          </w:r>
          <w:r>
            <w:t>41</w:t>
          </w:r>
          <w:r>
            <w:fldChar w:fldCharType="end"/>
          </w:r>
          <w:r>
            <w:rPr>
              <w:rFonts w:hint="default"/>
            </w:rPr>
            <w:fldChar w:fldCharType="end"/>
          </w:r>
        </w:p>
        <w:p w14:paraId="56C11A6D">
          <w:pPr>
            <w:pStyle w:val="14"/>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_Toc1679 </w:instrText>
          </w:r>
          <w:r>
            <w:rPr>
              <w:rFonts w:hint="default"/>
            </w:rPr>
            <w:fldChar w:fldCharType="separate"/>
          </w:r>
          <w:r>
            <w:rPr>
              <w:rFonts w:hint="default"/>
            </w:rPr>
            <w:t>第五章</w:t>
          </w:r>
          <w:r>
            <w:rPr>
              <w:rFonts w:hint="default"/>
              <w:lang w:val="en-US" w:eastAsia="zh-CN"/>
            </w:rPr>
            <w:t xml:space="preserve"> </w:t>
          </w:r>
          <w:r>
            <w:rPr>
              <w:rFonts w:hint="default"/>
            </w:rPr>
            <w:t>后期工作</w:t>
          </w:r>
          <w:r>
            <w:tab/>
          </w:r>
          <w:r>
            <w:fldChar w:fldCharType="begin"/>
          </w:r>
          <w:r>
            <w:instrText xml:space="preserve"> PAGEREF _Toc1679 \h </w:instrText>
          </w:r>
          <w:r>
            <w:fldChar w:fldCharType="separate"/>
          </w:r>
          <w:r>
            <w:t>42</w:t>
          </w:r>
          <w:r>
            <w:fldChar w:fldCharType="end"/>
          </w:r>
          <w:r>
            <w:rPr>
              <w:rFonts w:hint="default"/>
            </w:rPr>
            <w:fldChar w:fldCharType="end"/>
          </w:r>
        </w:p>
        <w:p w14:paraId="78B45DB4">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_Toc9696 </w:instrText>
          </w:r>
          <w:r>
            <w:rPr>
              <w:rFonts w:hint="default"/>
            </w:rPr>
            <w:fldChar w:fldCharType="separate"/>
          </w:r>
          <w:r>
            <w:rPr>
              <w:rFonts w:hint="default"/>
              <w:lang w:val="en-US" w:eastAsia="zh-CN"/>
            </w:rPr>
            <w:t>5.1后期防控</w:t>
          </w:r>
          <w:r>
            <w:tab/>
          </w:r>
          <w:r>
            <w:fldChar w:fldCharType="begin"/>
          </w:r>
          <w:r>
            <w:instrText xml:space="preserve"> PAGEREF _Toc9696 \h </w:instrText>
          </w:r>
          <w:r>
            <w:fldChar w:fldCharType="separate"/>
          </w:r>
          <w:r>
            <w:t>42</w:t>
          </w:r>
          <w:r>
            <w:fldChar w:fldCharType="end"/>
          </w:r>
          <w:r>
            <w:rPr>
              <w:rFonts w:hint="default"/>
            </w:rPr>
            <w:fldChar w:fldCharType="end"/>
          </w:r>
        </w:p>
        <w:p w14:paraId="15EAE9BC">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_Toc16430 </w:instrText>
          </w:r>
          <w:r>
            <w:rPr>
              <w:rFonts w:hint="default"/>
            </w:rPr>
            <w:fldChar w:fldCharType="separate"/>
          </w:r>
          <w:r>
            <w:rPr>
              <w:rFonts w:hint="default"/>
              <w:lang w:val="en-US" w:eastAsia="zh-CN"/>
            </w:rPr>
            <w:t>5.2事件调查</w:t>
          </w:r>
          <w:r>
            <w:tab/>
          </w:r>
          <w:r>
            <w:fldChar w:fldCharType="begin"/>
          </w:r>
          <w:r>
            <w:instrText xml:space="preserve"> PAGEREF _Toc16430 \h </w:instrText>
          </w:r>
          <w:r>
            <w:fldChar w:fldCharType="separate"/>
          </w:r>
          <w:r>
            <w:t>42</w:t>
          </w:r>
          <w:r>
            <w:fldChar w:fldCharType="end"/>
          </w:r>
          <w:r>
            <w:rPr>
              <w:rFonts w:hint="default"/>
            </w:rPr>
            <w:fldChar w:fldCharType="end"/>
          </w:r>
        </w:p>
        <w:p w14:paraId="0AB35DA6">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_Toc13556 </w:instrText>
          </w:r>
          <w:r>
            <w:rPr>
              <w:rFonts w:hint="default"/>
            </w:rPr>
            <w:fldChar w:fldCharType="separate"/>
          </w:r>
          <w:r>
            <w:rPr>
              <w:rFonts w:hint="default"/>
              <w:lang w:val="en-US" w:eastAsia="zh-CN"/>
            </w:rPr>
            <w:t>5.3 损害评估</w:t>
          </w:r>
          <w:r>
            <w:tab/>
          </w:r>
          <w:r>
            <w:fldChar w:fldCharType="begin"/>
          </w:r>
          <w:r>
            <w:instrText xml:space="preserve"> PAGEREF _Toc13556 \h </w:instrText>
          </w:r>
          <w:r>
            <w:fldChar w:fldCharType="separate"/>
          </w:r>
          <w:r>
            <w:t>43</w:t>
          </w:r>
          <w:r>
            <w:fldChar w:fldCharType="end"/>
          </w:r>
          <w:r>
            <w:rPr>
              <w:rFonts w:hint="default"/>
            </w:rPr>
            <w:fldChar w:fldCharType="end"/>
          </w:r>
        </w:p>
        <w:p w14:paraId="10A105E7">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_Toc17987 </w:instrText>
          </w:r>
          <w:r>
            <w:rPr>
              <w:rFonts w:hint="default"/>
            </w:rPr>
            <w:fldChar w:fldCharType="separate"/>
          </w:r>
          <w:r>
            <w:rPr>
              <w:rFonts w:hint="default"/>
              <w:lang w:val="en-US" w:eastAsia="zh-CN"/>
            </w:rPr>
            <w:t>5.4 善后处置</w:t>
          </w:r>
          <w:r>
            <w:tab/>
          </w:r>
          <w:r>
            <w:fldChar w:fldCharType="begin"/>
          </w:r>
          <w:r>
            <w:instrText xml:space="preserve"> PAGEREF _Toc17987 \h </w:instrText>
          </w:r>
          <w:r>
            <w:fldChar w:fldCharType="separate"/>
          </w:r>
          <w:r>
            <w:t>43</w:t>
          </w:r>
          <w:r>
            <w:fldChar w:fldCharType="end"/>
          </w:r>
          <w:r>
            <w:rPr>
              <w:rFonts w:hint="default"/>
            </w:rPr>
            <w:fldChar w:fldCharType="end"/>
          </w:r>
        </w:p>
        <w:p w14:paraId="6480B31E">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_Toc21340 </w:instrText>
          </w:r>
          <w:r>
            <w:rPr>
              <w:rFonts w:hint="default"/>
            </w:rPr>
            <w:fldChar w:fldCharType="separate"/>
          </w:r>
          <w:r>
            <w:rPr>
              <w:rFonts w:hint="default"/>
              <w:lang w:val="en-US" w:eastAsia="zh-CN"/>
            </w:rPr>
            <w:t>5.4.1 损害赔偿</w:t>
          </w:r>
          <w:r>
            <w:tab/>
          </w:r>
          <w:r>
            <w:fldChar w:fldCharType="begin"/>
          </w:r>
          <w:r>
            <w:instrText xml:space="preserve"> PAGEREF _Toc21340 \h </w:instrText>
          </w:r>
          <w:r>
            <w:fldChar w:fldCharType="separate"/>
          </w:r>
          <w:r>
            <w:t>44</w:t>
          </w:r>
          <w:r>
            <w:fldChar w:fldCharType="end"/>
          </w:r>
          <w:r>
            <w:rPr>
              <w:rFonts w:hint="default"/>
            </w:rPr>
            <w:fldChar w:fldCharType="end"/>
          </w:r>
        </w:p>
        <w:p w14:paraId="772A098C">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_Toc31022 </w:instrText>
          </w:r>
          <w:r>
            <w:rPr>
              <w:rFonts w:hint="default"/>
            </w:rPr>
            <w:fldChar w:fldCharType="separate"/>
          </w:r>
          <w:r>
            <w:rPr>
              <w:rFonts w:hint="default"/>
              <w:lang w:val="en-US" w:eastAsia="zh-CN"/>
            </w:rPr>
            <w:t>5.4.2 风险源整改</w:t>
          </w:r>
          <w:r>
            <w:tab/>
          </w:r>
          <w:r>
            <w:fldChar w:fldCharType="begin"/>
          </w:r>
          <w:r>
            <w:instrText xml:space="preserve"> PAGEREF _Toc31022 \h </w:instrText>
          </w:r>
          <w:r>
            <w:fldChar w:fldCharType="separate"/>
          </w:r>
          <w:r>
            <w:t>44</w:t>
          </w:r>
          <w:r>
            <w:fldChar w:fldCharType="end"/>
          </w:r>
          <w:r>
            <w:rPr>
              <w:rFonts w:hint="default"/>
            </w:rPr>
            <w:fldChar w:fldCharType="end"/>
          </w:r>
        </w:p>
        <w:p w14:paraId="451B0201">
          <w:pPr>
            <w:pStyle w:val="14"/>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_Toc12241 </w:instrText>
          </w:r>
          <w:r>
            <w:rPr>
              <w:rFonts w:hint="default"/>
            </w:rPr>
            <w:fldChar w:fldCharType="separate"/>
          </w:r>
          <w:r>
            <w:rPr>
              <w:rFonts w:hint="default"/>
            </w:rPr>
            <w:t>第六章</w:t>
          </w:r>
          <w:r>
            <w:rPr>
              <w:rFonts w:hint="default"/>
              <w:lang w:val="en-US" w:eastAsia="zh-CN"/>
            </w:rPr>
            <w:t xml:space="preserve"> </w:t>
          </w:r>
          <w:r>
            <w:rPr>
              <w:rFonts w:hint="default"/>
            </w:rPr>
            <w:t>应急保障</w:t>
          </w:r>
          <w:r>
            <w:tab/>
          </w:r>
          <w:r>
            <w:fldChar w:fldCharType="begin"/>
          </w:r>
          <w:r>
            <w:instrText xml:space="preserve"> PAGEREF _Toc12241 \h </w:instrText>
          </w:r>
          <w:r>
            <w:fldChar w:fldCharType="separate"/>
          </w:r>
          <w:r>
            <w:t>45</w:t>
          </w:r>
          <w:r>
            <w:fldChar w:fldCharType="end"/>
          </w:r>
          <w:r>
            <w:rPr>
              <w:rFonts w:hint="default"/>
            </w:rPr>
            <w:fldChar w:fldCharType="end"/>
          </w:r>
        </w:p>
        <w:p w14:paraId="1FB284F9">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_Toc9551 </w:instrText>
          </w:r>
          <w:r>
            <w:rPr>
              <w:rFonts w:hint="default"/>
            </w:rPr>
            <w:fldChar w:fldCharType="separate"/>
          </w:r>
          <w:r>
            <w:rPr>
              <w:rFonts w:hint="default"/>
              <w:lang w:val="en-US" w:eastAsia="zh-CN"/>
            </w:rPr>
            <w:t>6.1 通信与信息保障</w:t>
          </w:r>
          <w:r>
            <w:tab/>
          </w:r>
          <w:r>
            <w:fldChar w:fldCharType="begin"/>
          </w:r>
          <w:r>
            <w:instrText xml:space="preserve"> PAGEREF _Toc9551 \h </w:instrText>
          </w:r>
          <w:r>
            <w:fldChar w:fldCharType="separate"/>
          </w:r>
          <w:r>
            <w:t>45</w:t>
          </w:r>
          <w:r>
            <w:fldChar w:fldCharType="end"/>
          </w:r>
          <w:r>
            <w:rPr>
              <w:rFonts w:hint="default"/>
            </w:rPr>
            <w:fldChar w:fldCharType="end"/>
          </w:r>
        </w:p>
        <w:p w14:paraId="13A0B5D3">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_Toc916 </w:instrText>
          </w:r>
          <w:r>
            <w:rPr>
              <w:rFonts w:hint="default"/>
            </w:rPr>
            <w:fldChar w:fldCharType="separate"/>
          </w:r>
          <w:r>
            <w:rPr>
              <w:rFonts w:hint="default"/>
              <w:lang w:val="en-US" w:eastAsia="zh-CN"/>
            </w:rPr>
            <w:t>6.2 应急队伍保障</w:t>
          </w:r>
          <w:r>
            <w:tab/>
          </w:r>
          <w:r>
            <w:fldChar w:fldCharType="begin"/>
          </w:r>
          <w:r>
            <w:instrText xml:space="preserve"> PAGEREF _Toc916 \h </w:instrText>
          </w:r>
          <w:r>
            <w:fldChar w:fldCharType="separate"/>
          </w:r>
          <w:r>
            <w:t>45</w:t>
          </w:r>
          <w:r>
            <w:fldChar w:fldCharType="end"/>
          </w:r>
          <w:r>
            <w:rPr>
              <w:rFonts w:hint="default"/>
            </w:rPr>
            <w:fldChar w:fldCharType="end"/>
          </w:r>
        </w:p>
        <w:p w14:paraId="1105C4CF">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_Toc19386 </w:instrText>
          </w:r>
          <w:r>
            <w:rPr>
              <w:rFonts w:hint="default"/>
            </w:rPr>
            <w:fldChar w:fldCharType="separate"/>
          </w:r>
          <w:r>
            <w:rPr>
              <w:rFonts w:hint="default"/>
              <w:lang w:val="en-US" w:eastAsia="zh-CN"/>
            </w:rPr>
            <w:t>6.3 应急资源保障</w:t>
          </w:r>
          <w:r>
            <w:tab/>
          </w:r>
          <w:r>
            <w:fldChar w:fldCharType="begin"/>
          </w:r>
          <w:r>
            <w:instrText xml:space="preserve"> PAGEREF _Toc19386 \h </w:instrText>
          </w:r>
          <w:r>
            <w:fldChar w:fldCharType="separate"/>
          </w:r>
          <w:r>
            <w:t>45</w:t>
          </w:r>
          <w:r>
            <w:fldChar w:fldCharType="end"/>
          </w:r>
          <w:r>
            <w:rPr>
              <w:rFonts w:hint="default"/>
            </w:rPr>
            <w:fldChar w:fldCharType="end"/>
          </w:r>
        </w:p>
        <w:p w14:paraId="0803B625">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_Toc11478 </w:instrText>
          </w:r>
          <w:r>
            <w:rPr>
              <w:rFonts w:hint="default"/>
            </w:rPr>
            <w:fldChar w:fldCharType="separate"/>
          </w:r>
          <w:r>
            <w:rPr>
              <w:rFonts w:hint="default"/>
              <w:lang w:val="en-US" w:eastAsia="zh-CN"/>
            </w:rPr>
            <w:t>6.4 经费保障</w:t>
          </w:r>
          <w:r>
            <w:tab/>
          </w:r>
          <w:r>
            <w:fldChar w:fldCharType="begin"/>
          </w:r>
          <w:r>
            <w:instrText xml:space="preserve"> PAGEREF _Toc11478 \h </w:instrText>
          </w:r>
          <w:r>
            <w:fldChar w:fldCharType="separate"/>
          </w:r>
          <w:r>
            <w:t>46</w:t>
          </w:r>
          <w:r>
            <w:fldChar w:fldCharType="end"/>
          </w:r>
          <w:r>
            <w:rPr>
              <w:rFonts w:hint="default"/>
            </w:rPr>
            <w:fldChar w:fldCharType="end"/>
          </w:r>
        </w:p>
        <w:p w14:paraId="1585D5F3">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_Toc30088 </w:instrText>
          </w:r>
          <w:r>
            <w:rPr>
              <w:rFonts w:hint="default"/>
            </w:rPr>
            <w:fldChar w:fldCharType="separate"/>
          </w:r>
          <w:r>
            <w:rPr>
              <w:rFonts w:hint="default"/>
              <w:lang w:val="en-US" w:eastAsia="zh-CN"/>
            </w:rPr>
            <w:t>6.5 技术保障</w:t>
          </w:r>
          <w:r>
            <w:tab/>
          </w:r>
          <w:r>
            <w:fldChar w:fldCharType="begin"/>
          </w:r>
          <w:r>
            <w:instrText xml:space="preserve"> PAGEREF _Toc30088 \h </w:instrText>
          </w:r>
          <w:r>
            <w:fldChar w:fldCharType="separate"/>
          </w:r>
          <w:r>
            <w:t>46</w:t>
          </w:r>
          <w:r>
            <w:fldChar w:fldCharType="end"/>
          </w:r>
          <w:r>
            <w:rPr>
              <w:rFonts w:hint="default"/>
            </w:rPr>
            <w:fldChar w:fldCharType="end"/>
          </w:r>
        </w:p>
        <w:p w14:paraId="36AC4D6B">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_Toc19794 </w:instrText>
          </w:r>
          <w:r>
            <w:rPr>
              <w:rFonts w:hint="default"/>
            </w:rPr>
            <w:fldChar w:fldCharType="separate"/>
          </w:r>
          <w:r>
            <w:rPr>
              <w:rFonts w:hint="default"/>
              <w:lang w:val="en-US" w:eastAsia="zh-CN"/>
            </w:rPr>
            <w:t>6.6 其它保障</w:t>
          </w:r>
          <w:r>
            <w:tab/>
          </w:r>
          <w:r>
            <w:fldChar w:fldCharType="begin"/>
          </w:r>
          <w:r>
            <w:instrText xml:space="preserve"> PAGEREF _Toc19794 \h </w:instrText>
          </w:r>
          <w:r>
            <w:fldChar w:fldCharType="separate"/>
          </w:r>
          <w:r>
            <w:t>46</w:t>
          </w:r>
          <w:r>
            <w:fldChar w:fldCharType="end"/>
          </w:r>
          <w:r>
            <w:rPr>
              <w:rFonts w:hint="default"/>
            </w:rPr>
            <w:fldChar w:fldCharType="end"/>
          </w:r>
        </w:p>
        <w:p w14:paraId="7577B77E">
          <w:pPr>
            <w:pStyle w:val="14"/>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_Toc3711 </w:instrText>
          </w:r>
          <w:r>
            <w:rPr>
              <w:rFonts w:hint="default"/>
            </w:rPr>
            <w:fldChar w:fldCharType="separate"/>
          </w:r>
          <w:r>
            <w:rPr>
              <w:rFonts w:hint="eastAsia" w:ascii="Times New Roman" w:hAnsi="Times New Roman" w:eastAsia="仿宋" w:cs="Times New Roman"/>
              <w:bCs/>
              <w:kern w:val="44"/>
              <w:szCs w:val="32"/>
              <w:highlight w:val="none"/>
              <w:lang w:val="en-US" w:eastAsia="zh-CN" w:bidi="ar"/>
            </w:rPr>
            <w:t>第七章 监督管理</w:t>
          </w:r>
          <w:r>
            <w:tab/>
          </w:r>
          <w:r>
            <w:fldChar w:fldCharType="begin"/>
          </w:r>
          <w:r>
            <w:instrText xml:space="preserve"> PAGEREF _Toc3711 \h </w:instrText>
          </w:r>
          <w:r>
            <w:fldChar w:fldCharType="separate"/>
          </w:r>
          <w:r>
            <w:t>48</w:t>
          </w:r>
          <w:r>
            <w:fldChar w:fldCharType="end"/>
          </w:r>
          <w:r>
            <w:rPr>
              <w:rFonts w:hint="default"/>
            </w:rPr>
            <w:fldChar w:fldCharType="end"/>
          </w:r>
        </w:p>
        <w:p w14:paraId="7682BE93">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_Toc5834 </w:instrText>
          </w:r>
          <w:r>
            <w:rPr>
              <w:rFonts w:hint="default"/>
            </w:rPr>
            <w:fldChar w:fldCharType="separate"/>
          </w:r>
          <w:r>
            <w:rPr>
              <w:rFonts w:hint="eastAsia" w:ascii="Times New Roman" w:hAnsi="Times New Roman" w:eastAsia="仿宋" w:cs="Times New Roman"/>
              <w:bCs/>
              <w:kern w:val="2"/>
              <w:szCs w:val="30"/>
              <w:highlight w:val="none"/>
              <w:lang w:val="en-US" w:eastAsia="zh-CN" w:bidi="ar-SA"/>
            </w:rPr>
            <w:t>7.1宣传与培训</w:t>
          </w:r>
          <w:r>
            <w:tab/>
          </w:r>
          <w:r>
            <w:fldChar w:fldCharType="begin"/>
          </w:r>
          <w:r>
            <w:instrText xml:space="preserve"> PAGEREF _Toc5834 \h </w:instrText>
          </w:r>
          <w:r>
            <w:fldChar w:fldCharType="separate"/>
          </w:r>
          <w:r>
            <w:t>48</w:t>
          </w:r>
          <w:r>
            <w:fldChar w:fldCharType="end"/>
          </w:r>
          <w:r>
            <w:rPr>
              <w:rFonts w:hint="default"/>
            </w:rPr>
            <w:fldChar w:fldCharType="end"/>
          </w:r>
        </w:p>
        <w:p w14:paraId="32A8F39B">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_Toc27177 </w:instrText>
          </w:r>
          <w:r>
            <w:rPr>
              <w:rFonts w:hint="default"/>
            </w:rPr>
            <w:fldChar w:fldCharType="separate"/>
          </w:r>
          <w:r>
            <w:rPr>
              <w:rFonts w:hint="eastAsia" w:ascii="Times New Roman" w:hAnsi="Times New Roman" w:eastAsia="仿宋" w:cs="Times New Roman"/>
              <w:bCs/>
              <w:kern w:val="2"/>
              <w:szCs w:val="30"/>
              <w:highlight w:val="none"/>
              <w:lang w:val="en-US" w:eastAsia="zh-CN" w:bidi="ar-SA"/>
            </w:rPr>
            <w:t>7.2应急演练</w:t>
          </w:r>
          <w:r>
            <w:tab/>
          </w:r>
          <w:r>
            <w:fldChar w:fldCharType="begin"/>
          </w:r>
          <w:r>
            <w:instrText xml:space="preserve"> PAGEREF _Toc27177 \h </w:instrText>
          </w:r>
          <w:r>
            <w:fldChar w:fldCharType="separate"/>
          </w:r>
          <w:r>
            <w:t>48</w:t>
          </w:r>
          <w:r>
            <w:fldChar w:fldCharType="end"/>
          </w:r>
          <w:r>
            <w:rPr>
              <w:rFonts w:hint="default"/>
            </w:rPr>
            <w:fldChar w:fldCharType="end"/>
          </w:r>
        </w:p>
        <w:p w14:paraId="56F32BCA">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_Toc31804 </w:instrText>
          </w:r>
          <w:r>
            <w:rPr>
              <w:rFonts w:hint="default"/>
            </w:rPr>
            <w:fldChar w:fldCharType="separate"/>
          </w:r>
          <w:r>
            <w:rPr>
              <w:rFonts w:hint="eastAsia" w:ascii="Times New Roman" w:hAnsi="Times New Roman" w:eastAsia="仿宋" w:cs="Times New Roman"/>
              <w:bCs/>
              <w:kern w:val="2"/>
              <w:szCs w:val="30"/>
              <w:highlight w:val="none"/>
              <w:lang w:val="en-US" w:eastAsia="zh-CN" w:bidi="ar-SA"/>
            </w:rPr>
            <w:t>7.3奖惩</w:t>
          </w:r>
          <w:r>
            <w:tab/>
          </w:r>
          <w:r>
            <w:fldChar w:fldCharType="begin"/>
          </w:r>
          <w:r>
            <w:instrText xml:space="preserve"> PAGEREF _Toc31804 \h </w:instrText>
          </w:r>
          <w:r>
            <w:fldChar w:fldCharType="separate"/>
          </w:r>
          <w:r>
            <w:t>50</w:t>
          </w:r>
          <w:r>
            <w:fldChar w:fldCharType="end"/>
          </w:r>
          <w:r>
            <w:rPr>
              <w:rFonts w:hint="default"/>
            </w:rPr>
            <w:fldChar w:fldCharType="end"/>
          </w:r>
        </w:p>
        <w:p w14:paraId="10A2BC57">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_Toc28318 </w:instrText>
          </w:r>
          <w:r>
            <w:rPr>
              <w:rFonts w:hint="default"/>
            </w:rPr>
            <w:fldChar w:fldCharType="separate"/>
          </w:r>
          <w:r>
            <w:rPr>
              <w:rFonts w:hint="eastAsia" w:ascii="Times New Roman" w:hAnsi="Times New Roman" w:eastAsia="仿宋" w:cs="Times New Roman"/>
              <w:bCs/>
              <w:kern w:val="2"/>
              <w:szCs w:val="28"/>
              <w:highlight w:val="none"/>
              <w:lang w:val="en-US" w:eastAsia="zh-CN" w:bidi="ar-SA"/>
            </w:rPr>
            <w:t>7.3.1奖励</w:t>
          </w:r>
          <w:r>
            <w:tab/>
          </w:r>
          <w:r>
            <w:fldChar w:fldCharType="begin"/>
          </w:r>
          <w:r>
            <w:instrText xml:space="preserve"> PAGEREF _Toc28318 \h </w:instrText>
          </w:r>
          <w:r>
            <w:fldChar w:fldCharType="separate"/>
          </w:r>
          <w:r>
            <w:t>50</w:t>
          </w:r>
          <w:r>
            <w:fldChar w:fldCharType="end"/>
          </w:r>
          <w:r>
            <w:rPr>
              <w:rFonts w:hint="default"/>
            </w:rPr>
            <w:fldChar w:fldCharType="end"/>
          </w:r>
        </w:p>
        <w:p w14:paraId="2694DA62">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_Toc30231 </w:instrText>
          </w:r>
          <w:r>
            <w:rPr>
              <w:rFonts w:hint="default"/>
            </w:rPr>
            <w:fldChar w:fldCharType="separate"/>
          </w:r>
          <w:r>
            <w:rPr>
              <w:rFonts w:hint="eastAsia" w:ascii="Times New Roman" w:hAnsi="Times New Roman" w:eastAsia="仿宋" w:cs="Times New Roman"/>
              <w:bCs/>
              <w:kern w:val="2"/>
              <w:szCs w:val="28"/>
              <w:highlight w:val="none"/>
              <w:lang w:val="en-US" w:eastAsia="zh-CN" w:bidi="ar-SA"/>
            </w:rPr>
            <w:t>7.3.2惩罚</w:t>
          </w:r>
          <w:r>
            <w:tab/>
          </w:r>
          <w:r>
            <w:fldChar w:fldCharType="begin"/>
          </w:r>
          <w:r>
            <w:instrText xml:space="preserve"> PAGEREF _Toc30231 \h </w:instrText>
          </w:r>
          <w:r>
            <w:fldChar w:fldCharType="separate"/>
          </w:r>
          <w:r>
            <w:t>50</w:t>
          </w:r>
          <w:r>
            <w:fldChar w:fldCharType="end"/>
          </w:r>
          <w:r>
            <w:rPr>
              <w:rFonts w:hint="default"/>
            </w:rPr>
            <w:fldChar w:fldCharType="end"/>
          </w:r>
        </w:p>
        <w:p w14:paraId="426DF421">
          <w:pPr>
            <w:pStyle w:val="14"/>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_Toc31360 </w:instrText>
          </w:r>
          <w:r>
            <w:rPr>
              <w:rFonts w:hint="default"/>
            </w:rPr>
            <w:fldChar w:fldCharType="separate"/>
          </w:r>
          <w:r>
            <w:rPr>
              <w:rFonts w:hint="default"/>
            </w:rPr>
            <w:t>第</w:t>
          </w:r>
          <w:r>
            <w:rPr>
              <w:rFonts w:hint="eastAsia"/>
              <w:lang w:val="en-US" w:eastAsia="zh-CN"/>
            </w:rPr>
            <w:t>八</w:t>
          </w:r>
          <w:r>
            <w:rPr>
              <w:rFonts w:hint="default"/>
            </w:rPr>
            <w:t>章</w:t>
          </w:r>
          <w:r>
            <w:rPr>
              <w:rFonts w:hint="default"/>
              <w:lang w:val="en-US" w:eastAsia="zh-CN"/>
            </w:rPr>
            <w:t xml:space="preserve"> </w:t>
          </w:r>
          <w:r>
            <w:rPr>
              <w:rFonts w:hint="default"/>
            </w:rPr>
            <w:t>附则</w:t>
          </w:r>
          <w:r>
            <w:tab/>
          </w:r>
          <w:r>
            <w:fldChar w:fldCharType="begin"/>
          </w:r>
          <w:r>
            <w:instrText xml:space="preserve"> PAGEREF _Toc31360 \h </w:instrText>
          </w:r>
          <w:r>
            <w:fldChar w:fldCharType="separate"/>
          </w:r>
          <w:r>
            <w:t>51</w:t>
          </w:r>
          <w:r>
            <w:fldChar w:fldCharType="end"/>
          </w:r>
          <w:r>
            <w:rPr>
              <w:rFonts w:hint="default"/>
            </w:rPr>
            <w:fldChar w:fldCharType="end"/>
          </w:r>
        </w:p>
        <w:p w14:paraId="50FBD828">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_Toc14516 </w:instrText>
          </w:r>
          <w:r>
            <w:rPr>
              <w:rFonts w:hint="default"/>
            </w:rPr>
            <w:fldChar w:fldCharType="separate"/>
          </w:r>
          <w:r>
            <w:rPr>
              <w:rFonts w:hint="eastAsia"/>
              <w:lang w:val="en-US" w:eastAsia="zh-CN"/>
            </w:rPr>
            <w:t>8</w:t>
          </w:r>
          <w:r>
            <w:rPr>
              <w:rFonts w:hint="default"/>
              <w:lang w:val="en-US" w:eastAsia="zh-CN"/>
            </w:rPr>
            <w:t>.1 名词术语</w:t>
          </w:r>
          <w:r>
            <w:tab/>
          </w:r>
          <w:r>
            <w:fldChar w:fldCharType="begin"/>
          </w:r>
          <w:r>
            <w:instrText xml:space="preserve"> PAGEREF _Toc14516 \h </w:instrText>
          </w:r>
          <w:r>
            <w:fldChar w:fldCharType="separate"/>
          </w:r>
          <w:r>
            <w:t>51</w:t>
          </w:r>
          <w:r>
            <w:fldChar w:fldCharType="end"/>
          </w:r>
          <w:r>
            <w:rPr>
              <w:rFonts w:hint="default"/>
            </w:rPr>
            <w:fldChar w:fldCharType="end"/>
          </w:r>
        </w:p>
        <w:p w14:paraId="5ECFCA05">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_Toc2049 </w:instrText>
          </w:r>
          <w:r>
            <w:rPr>
              <w:rFonts w:hint="default"/>
            </w:rPr>
            <w:fldChar w:fldCharType="separate"/>
          </w:r>
          <w:r>
            <w:rPr>
              <w:rFonts w:hint="eastAsia"/>
              <w:lang w:val="en-US" w:eastAsia="zh-CN"/>
            </w:rPr>
            <w:t>8</w:t>
          </w:r>
          <w:r>
            <w:rPr>
              <w:rFonts w:hint="default"/>
              <w:lang w:val="en-US" w:eastAsia="zh-CN"/>
            </w:rPr>
            <w:t>.2预案制定和解释权属</w:t>
          </w:r>
          <w:r>
            <w:tab/>
          </w:r>
          <w:r>
            <w:fldChar w:fldCharType="begin"/>
          </w:r>
          <w:r>
            <w:instrText xml:space="preserve"> PAGEREF _Toc2049 \h </w:instrText>
          </w:r>
          <w:r>
            <w:fldChar w:fldCharType="separate"/>
          </w:r>
          <w:r>
            <w:t>52</w:t>
          </w:r>
          <w:r>
            <w:fldChar w:fldCharType="end"/>
          </w:r>
          <w:r>
            <w:rPr>
              <w:rFonts w:hint="default"/>
            </w:rPr>
            <w:fldChar w:fldCharType="end"/>
          </w:r>
        </w:p>
        <w:p w14:paraId="089E0E83">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_Toc30674 </w:instrText>
          </w:r>
          <w:r>
            <w:rPr>
              <w:rFonts w:hint="default"/>
            </w:rPr>
            <w:fldChar w:fldCharType="separate"/>
          </w:r>
          <w:r>
            <w:rPr>
              <w:rFonts w:hint="eastAsia"/>
              <w:lang w:val="en-US" w:eastAsia="zh-CN"/>
            </w:rPr>
            <w:t>8</w:t>
          </w:r>
          <w:r>
            <w:rPr>
              <w:rFonts w:hint="default"/>
              <w:lang w:val="en-US" w:eastAsia="zh-CN"/>
            </w:rPr>
            <w:t>.3预案的评估与修订</w:t>
          </w:r>
          <w:r>
            <w:tab/>
          </w:r>
          <w:r>
            <w:fldChar w:fldCharType="begin"/>
          </w:r>
          <w:r>
            <w:instrText xml:space="preserve"> PAGEREF _Toc30674 \h </w:instrText>
          </w:r>
          <w:r>
            <w:fldChar w:fldCharType="separate"/>
          </w:r>
          <w:r>
            <w:t>52</w:t>
          </w:r>
          <w:r>
            <w:fldChar w:fldCharType="end"/>
          </w:r>
          <w:r>
            <w:rPr>
              <w:rFonts w:hint="default"/>
            </w:rPr>
            <w:fldChar w:fldCharType="end"/>
          </w:r>
        </w:p>
        <w:p w14:paraId="789A53BC">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_Toc23783 </w:instrText>
          </w:r>
          <w:r>
            <w:rPr>
              <w:rFonts w:hint="default"/>
            </w:rPr>
            <w:fldChar w:fldCharType="separate"/>
          </w:r>
          <w:r>
            <w:rPr>
              <w:rFonts w:hint="eastAsia"/>
              <w:lang w:val="en-US" w:eastAsia="zh-CN"/>
            </w:rPr>
            <w:t>8</w:t>
          </w:r>
          <w:r>
            <w:rPr>
              <w:rFonts w:hint="default"/>
              <w:lang w:val="en-US" w:eastAsia="zh-CN"/>
            </w:rPr>
            <w:t>.4 实施日期</w:t>
          </w:r>
          <w:r>
            <w:tab/>
          </w:r>
          <w:r>
            <w:fldChar w:fldCharType="begin"/>
          </w:r>
          <w:r>
            <w:instrText xml:space="preserve"> PAGEREF _Toc23783 \h </w:instrText>
          </w:r>
          <w:r>
            <w:fldChar w:fldCharType="separate"/>
          </w:r>
          <w:r>
            <w:t>53</w:t>
          </w:r>
          <w:r>
            <w:fldChar w:fldCharType="end"/>
          </w:r>
          <w:r>
            <w:rPr>
              <w:rFonts w:hint="default"/>
            </w:rPr>
            <w:fldChar w:fldCharType="end"/>
          </w:r>
        </w:p>
        <w:p w14:paraId="0E3C752C">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_Toc26364 </w:instrText>
          </w:r>
          <w:r>
            <w:rPr>
              <w:rFonts w:hint="default"/>
            </w:rPr>
            <w:fldChar w:fldCharType="separate"/>
          </w:r>
          <w:r>
            <w:rPr>
              <w:rFonts w:hint="eastAsia"/>
              <w:lang w:val="en-US" w:eastAsia="zh-CN"/>
            </w:rPr>
            <w:t>附图1：汾阳市地理位置区域图</w:t>
          </w:r>
          <w:r>
            <w:tab/>
          </w:r>
          <w:r>
            <w:fldChar w:fldCharType="begin"/>
          </w:r>
          <w:r>
            <w:instrText xml:space="preserve"> PAGEREF _Toc26364 \h </w:instrText>
          </w:r>
          <w:r>
            <w:fldChar w:fldCharType="separate"/>
          </w:r>
          <w:r>
            <w:t>54</w:t>
          </w:r>
          <w:r>
            <w:fldChar w:fldCharType="end"/>
          </w:r>
          <w:r>
            <w:rPr>
              <w:rFonts w:hint="default"/>
            </w:rPr>
            <w:fldChar w:fldCharType="end"/>
          </w:r>
        </w:p>
        <w:p w14:paraId="5039C0DD">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_Toc22510 </w:instrText>
          </w:r>
          <w:r>
            <w:rPr>
              <w:rFonts w:hint="default"/>
            </w:rPr>
            <w:fldChar w:fldCharType="separate"/>
          </w:r>
          <w:r>
            <w:rPr>
              <w:rFonts w:hint="eastAsia"/>
              <w:lang w:val="en-US" w:eastAsia="zh-CN"/>
            </w:rPr>
            <w:t>附图2：汾阳市地表水系图</w:t>
          </w:r>
          <w:r>
            <w:tab/>
          </w:r>
          <w:r>
            <w:fldChar w:fldCharType="begin"/>
          </w:r>
          <w:r>
            <w:instrText xml:space="preserve"> PAGEREF _Toc22510 \h </w:instrText>
          </w:r>
          <w:r>
            <w:fldChar w:fldCharType="separate"/>
          </w:r>
          <w:r>
            <w:t>55</w:t>
          </w:r>
          <w:r>
            <w:fldChar w:fldCharType="end"/>
          </w:r>
          <w:r>
            <w:rPr>
              <w:rFonts w:hint="default"/>
            </w:rPr>
            <w:fldChar w:fldCharType="end"/>
          </w:r>
        </w:p>
        <w:p w14:paraId="07C3AD10">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_Toc26102 </w:instrText>
          </w:r>
          <w:r>
            <w:rPr>
              <w:rFonts w:hint="default"/>
            </w:rPr>
            <w:fldChar w:fldCharType="separate"/>
          </w:r>
          <w:r>
            <w:rPr>
              <w:rFonts w:hint="eastAsia"/>
              <w:lang w:val="en-US" w:eastAsia="zh-CN"/>
            </w:rPr>
            <w:t>附件1：应急组织体系图</w:t>
          </w:r>
          <w:r>
            <w:tab/>
          </w:r>
          <w:r>
            <w:fldChar w:fldCharType="begin"/>
          </w:r>
          <w:r>
            <w:instrText xml:space="preserve"> PAGEREF _Toc26102 \h </w:instrText>
          </w:r>
          <w:r>
            <w:fldChar w:fldCharType="separate"/>
          </w:r>
          <w:r>
            <w:t>56</w:t>
          </w:r>
          <w:r>
            <w:fldChar w:fldCharType="end"/>
          </w:r>
          <w:r>
            <w:rPr>
              <w:rFonts w:hint="default"/>
            </w:rPr>
            <w:fldChar w:fldCharType="end"/>
          </w:r>
        </w:p>
        <w:p w14:paraId="5622C3E5">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_Toc11766 </w:instrText>
          </w:r>
          <w:r>
            <w:rPr>
              <w:rFonts w:hint="default"/>
            </w:rPr>
            <w:fldChar w:fldCharType="separate"/>
          </w:r>
          <w:r>
            <w:rPr>
              <w:rFonts w:hint="default"/>
              <w:lang w:val="en-US" w:eastAsia="zh-CN"/>
            </w:rPr>
            <w:t>附件2：饮用水水源地突发环境事件应急响应工作路线图</w:t>
          </w:r>
          <w:r>
            <w:tab/>
          </w:r>
          <w:r>
            <w:fldChar w:fldCharType="begin"/>
          </w:r>
          <w:r>
            <w:instrText xml:space="preserve"> PAGEREF _Toc11766 \h </w:instrText>
          </w:r>
          <w:r>
            <w:fldChar w:fldCharType="separate"/>
          </w:r>
          <w:r>
            <w:t>57</w:t>
          </w:r>
          <w:r>
            <w:fldChar w:fldCharType="end"/>
          </w:r>
          <w:r>
            <w:rPr>
              <w:rFonts w:hint="default"/>
            </w:rPr>
            <w:fldChar w:fldCharType="end"/>
          </w:r>
        </w:p>
        <w:p w14:paraId="494DE5B1">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_Toc414 </w:instrText>
          </w:r>
          <w:r>
            <w:rPr>
              <w:rFonts w:hint="default"/>
            </w:rPr>
            <w:fldChar w:fldCharType="separate"/>
          </w:r>
          <w:r>
            <w:rPr>
              <w:rFonts w:hint="default"/>
              <w:lang w:val="en-US" w:eastAsia="zh-CN"/>
            </w:rPr>
            <w:t>附件</w:t>
          </w:r>
          <w:r>
            <w:rPr>
              <w:rFonts w:hint="eastAsia"/>
              <w:lang w:val="en-US" w:eastAsia="zh-CN"/>
            </w:rPr>
            <w:t>3</w:t>
          </w:r>
          <w:r>
            <w:rPr>
              <w:rFonts w:hint="default"/>
              <w:lang w:val="en-US" w:eastAsia="zh-CN"/>
            </w:rPr>
            <w:t>：培训、宣传与演练</w:t>
          </w:r>
          <w:r>
            <w:tab/>
          </w:r>
          <w:r>
            <w:fldChar w:fldCharType="begin"/>
          </w:r>
          <w:r>
            <w:instrText xml:space="preserve"> PAGEREF _Toc414 \h </w:instrText>
          </w:r>
          <w:r>
            <w:fldChar w:fldCharType="separate"/>
          </w:r>
          <w:r>
            <w:t>58</w:t>
          </w:r>
          <w:r>
            <w:fldChar w:fldCharType="end"/>
          </w:r>
          <w:r>
            <w:rPr>
              <w:rFonts w:hint="default"/>
            </w:rPr>
            <w:fldChar w:fldCharType="end"/>
          </w:r>
        </w:p>
        <w:p w14:paraId="29663531">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_Toc15836 </w:instrText>
          </w:r>
          <w:r>
            <w:rPr>
              <w:rFonts w:hint="default"/>
            </w:rPr>
            <w:fldChar w:fldCharType="separate"/>
          </w:r>
          <w:r>
            <w:rPr>
              <w:rFonts w:hint="default"/>
              <w:lang w:val="en-US" w:eastAsia="zh-CN"/>
            </w:rPr>
            <w:t>附件</w:t>
          </w:r>
          <w:r>
            <w:rPr>
              <w:rFonts w:hint="eastAsia"/>
              <w:lang w:val="en-US" w:eastAsia="zh-CN"/>
            </w:rPr>
            <w:t>4</w:t>
          </w:r>
          <w:r>
            <w:rPr>
              <w:rFonts w:hint="default"/>
              <w:lang w:val="en-US" w:eastAsia="zh-CN"/>
            </w:rPr>
            <w:t>：水质超标指标控制和处理技术推荐表</w:t>
          </w:r>
          <w:r>
            <w:tab/>
          </w:r>
          <w:r>
            <w:fldChar w:fldCharType="begin"/>
          </w:r>
          <w:r>
            <w:instrText xml:space="preserve"> PAGEREF _Toc15836 \h </w:instrText>
          </w:r>
          <w:r>
            <w:fldChar w:fldCharType="separate"/>
          </w:r>
          <w:r>
            <w:t>61</w:t>
          </w:r>
          <w:r>
            <w:fldChar w:fldCharType="end"/>
          </w:r>
          <w:r>
            <w:rPr>
              <w:rFonts w:hint="default"/>
            </w:rPr>
            <w:fldChar w:fldCharType="end"/>
          </w:r>
        </w:p>
        <w:p w14:paraId="2B15CD4D">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_Toc29936 </w:instrText>
          </w:r>
          <w:r>
            <w:rPr>
              <w:rFonts w:hint="default"/>
            </w:rPr>
            <w:fldChar w:fldCharType="separate"/>
          </w:r>
          <w:r>
            <w:rPr>
              <w:rFonts w:hint="default"/>
              <w:lang w:val="en-US" w:eastAsia="zh-CN"/>
            </w:rPr>
            <w:t>附件</w:t>
          </w:r>
          <w:r>
            <w:rPr>
              <w:rFonts w:hint="eastAsia"/>
              <w:lang w:val="en-US" w:eastAsia="zh-CN"/>
            </w:rPr>
            <w:t>5</w:t>
          </w:r>
          <w:r>
            <w:rPr>
              <w:rFonts w:hint="default"/>
              <w:lang w:val="en-US" w:eastAsia="zh-CN"/>
            </w:rPr>
            <w:t>：常见化学品引发水污染事故的简要处置方法</w:t>
          </w:r>
          <w:r>
            <w:tab/>
          </w:r>
          <w:r>
            <w:fldChar w:fldCharType="begin"/>
          </w:r>
          <w:r>
            <w:instrText xml:space="preserve"> PAGEREF _Toc29936 \h </w:instrText>
          </w:r>
          <w:r>
            <w:fldChar w:fldCharType="separate"/>
          </w:r>
          <w:r>
            <w:t>62</w:t>
          </w:r>
          <w:r>
            <w:fldChar w:fldCharType="end"/>
          </w:r>
          <w:r>
            <w:rPr>
              <w:rFonts w:hint="default"/>
            </w:rPr>
            <w:fldChar w:fldCharType="end"/>
          </w:r>
        </w:p>
        <w:p w14:paraId="6AC5F536">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_Toc6135 </w:instrText>
          </w:r>
          <w:r>
            <w:rPr>
              <w:rFonts w:hint="default"/>
            </w:rPr>
            <w:fldChar w:fldCharType="separate"/>
          </w:r>
          <w:r>
            <w:rPr>
              <w:rFonts w:hint="default" w:ascii="Times New Roman" w:hAnsi="Times New Roman"/>
              <w:lang w:val="en-US" w:eastAsia="zh-CN"/>
            </w:rPr>
            <w:t>附件</w:t>
          </w:r>
          <w:r>
            <w:rPr>
              <w:rFonts w:hint="eastAsia" w:ascii="Times New Roman" w:hAnsi="Times New Roman"/>
              <w:lang w:val="en-US" w:eastAsia="zh-CN"/>
            </w:rPr>
            <w:t>6</w:t>
          </w:r>
          <w:r>
            <w:rPr>
              <w:rFonts w:hint="default" w:ascii="Times New Roman" w:hAnsi="Times New Roman"/>
              <w:lang w:val="en-US" w:eastAsia="zh-CN"/>
            </w:rPr>
            <w:t>：</w:t>
          </w:r>
          <w:r>
            <w:rPr>
              <w:rFonts w:hint="eastAsia" w:ascii="Times New Roman" w:hAnsi="Times New Roman"/>
              <w:lang w:val="en-US" w:eastAsia="zh-CN"/>
            </w:rPr>
            <w:t>技术审查意见</w:t>
          </w:r>
          <w:r>
            <w:tab/>
          </w:r>
          <w:r>
            <w:fldChar w:fldCharType="begin"/>
          </w:r>
          <w:r>
            <w:instrText xml:space="preserve"> PAGEREF _Toc6135 \h </w:instrText>
          </w:r>
          <w:r>
            <w:fldChar w:fldCharType="separate"/>
          </w:r>
          <w:r>
            <w:t>66</w:t>
          </w:r>
          <w:r>
            <w:fldChar w:fldCharType="end"/>
          </w:r>
          <w:r>
            <w:rPr>
              <w:rFonts w:hint="default"/>
            </w:rPr>
            <w:fldChar w:fldCharType="end"/>
          </w:r>
        </w:p>
        <w:p w14:paraId="67B83F97">
          <w:pPr>
            <w:pStyle w:val="2"/>
            <w:bidi w:val="0"/>
            <w:rPr>
              <w:rFonts w:hint="default" w:ascii="Times New Roman" w:hAnsi="Times New Roman" w:eastAsia="仿宋" w:cs="微软雅黑"/>
              <w:b/>
              <w:color w:val="000000"/>
              <w:kern w:val="2"/>
              <w:sz w:val="36"/>
              <w:szCs w:val="24"/>
              <w:lang w:val="en-US" w:eastAsia="zh-CN" w:bidi="ar-SA"/>
            </w:rPr>
          </w:pPr>
          <w:r>
            <w:rPr>
              <w:rFonts w:hint="default"/>
            </w:rPr>
            <w:fldChar w:fldCharType="end"/>
          </w:r>
        </w:p>
      </w:sdtContent>
    </w:sdt>
    <w:p w14:paraId="18BD9392">
      <w:pPr>
        <w:rPr>
          <w:rFonts w:hint="default"/>
        </w:rPr>
        <w:sectPr>
          <w:headerReference r:id="rId5" w:type="default"/>
          <w:footerReference r:id="rId6" w:type="default"/>
          <w:pgSz w:w="11906" w:h="16838"/>
          <w:pgMar w:top="1440" w:right="1800" w:bottom="1440" w:left="1800" w:header="851" w:footer="794" w:gutter="0"/>
          <w:pgBorders>
            <w:top w:val="none" w:sz="0" w:space="0"/>
            <w:left w:val="none" w:sz="0" w:space="0"/>
            <w:bottom w:val="none" w:sz="0" w:space="0"/>
            <w:right w:val="none" w:sz="0" w:space="0"/>
          </w:pgBorders>
          <w:pgNumType w:fmt="decimal"/>
          <w:cols w:space="720" w:num="1"/>
          <w:rtlGutter w:val="0"/>
          <w:docGrid w:type="lines" w:linePitch="312" w:charSpace="0"/>
        </w:sectPr>
      </w:pPr>
    </w:p>
    <w:p w14:paraId="73E038B5">
      <w:pPr>
        <w:pStyle w:val="2"/>
        <w:bidi w:val="0"/>
        <w:rPr>
          <w:rFonts w:hint="default"/>
        </w:rPr>
      </w:pPr>
      <w:bookmarkStart w:id="5" w:name="_Toc5558"/>
      <w:r>
        <w:rPr>
          <w:rFonts w:hint="default"/>
        </w:rPr>
        <w:t>第一章</w:t>
      </w:r>
      <w:r>
        <w:rPr>
          <w:rFonts w:hint="default"/>
          <w:lang w:val="en-US" w:eastAsia="zh-CN"/>
        </w:rPr>
        <w:t xml:space="preserve"> </w:t>
      </w:r>
      <w:r>
        <w:rPr>
          <w:rFonts w:hint="default"/>
        </w:rPr>
        <w:t>总则</w:t>
      </w:r>
      <w:bookmarkEnd w:id="5"/>
    </w:p>
    <w:p w14:paraId="732D6F79">
      <w:pPr>
        <w:pStyle w:val="3"/>
        <w:bidi w:val="0"/>
        <w:rPr>
          <w:rFonts w:hint="default"/>
        </w:rPr>
      </w:pPr>
      <w:bookmarkStart w:id="6" w:name="_Toc21870"/>
      <w:bookmarkStart w:id="7" w:name="_Toc32253"/>
      <w:r>
        <w:rPr>
          <w:rFonts w:hint="default"/>
        </w:rPr>
        <w:t>1.1 编制目的</w:t>
      </w:r>
      <w:bookmarkEnd w:id="6"/>
      <w:bookmarkEnd w:id="7"/>
      <w:r>
        <w:rPr>
          <w:rFonts w:hint="default"/>
        </w:rPr>
        <w:t xml:space="preserve"> </w:t>
      </w:r>
    </w:p>
    <w:p w14:paraId="178C03E5">
      <w:pPr>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为切实做好</w:t>
      </w:r>
      <w:r>
        <w:rPr>
          <w:rFonts w:hint="eastAsia"/>
          <w:lang w:eastAsia="zh-CN"/>
        </w:rPr>
        <w:t>汾阳市石门沟集中供水水源地</w:t>
      </w:r>
      <w:r>
        <w:rPr>
          <w:rFonts w:hint="default"/>
        </w:rPr>
        <w:t>污染防治工作，建立健全</w:t>
      </w:r>
      <w:r>
        <w:rPr>
          <w:rFonts w:hint="eastAsia"/>
          <w:lang w:eastAsia="zh-CN"/>
        </w:rPr>
        <w:t>汾阳市</w:t>
      </w:r>
      <w:r>
        <w:rPr>
          <w:rFonts w:hint="default"/>
        </w:rPr>
        <w:t>应对</w:t>
      </w:r>
      <w:r>
        <w:rPr>
          <w:rFonts w:hint="eastAsia"/>
          <w:lang w:eastAsia="zh-CN"/>
        </w:rPr>
        <w:t>汾阳市石门沟集中供水水源地</w:t>
      </w:r>
      <w:r>
        <w:rPr>
          <w:rFonts w:hint="default"/>
        </w:rPr>
        <w:t>突发环境污染事件的应急机制，有效防范、及时控制和处置</w:t>
      </w:r>
      <w:r>
        <w:rPr>
          <w:rFonts w:hint="eastAsia"/>
          <w:lang w:eastAsia="zh-CN"/>
        </w:rPr>
        <w:t>汾阳市石门沟集中供水水源地</w:t>
      </w:r>
      <w:r>
        <w:rPr>
          <w:rFonts w:hint="default"/>
        </w:rPr>
        <w:t>突发环境事件，最大程度降低突发环境事件对</w:t>
      </w:r>
      <w:r>
        <w:rPr>
          <w:rFonts w:hint="eastAsia"/>
          <w:lang w:eastAsia="zh-CN"/>
        </w:rPr>
        <w:t>汾阳市石门沟集中供水水源地</w:t>
      </w:r>
      <w:r>
        <w:rPr>
          <w:rFonts w:hint="default"/>
        </w:rPr>
        <w:t>水质影响，确保居民饮水安全，保障人民群众生命健康和财产安全，维护社会稳定，特制定本预案。</w:t>
      </w:r>
    </w:p>
    <w:p w14:paraId="400A1CA9">
      <w:pPr>
        <w:pStyle w:val="3"/>
        <w:bidi w:val="0"/>
        <w:rPr>
          <w:rFonts w:hint="default"/>
        </w:rPr>
      </w:pPr>
      <w:bookmarkStart w:id="8" w:name="_Toc3512"/>
      <w:bookmarkStart w:id="9" w:name="_Toc9872"/>
      <w:r>
        <w:rPr>
          <w:rFonts w:hint="default"/>
        </w:rPr>
        <w:t>1.2 编制依据</w:t>
      </w:r>
      <w:bookmarkEnd w:id="8"/>
      <w:bookmarkEnd w:id="9"/>
      <w:r>
        <w:rPr>
          <w:rFonts w:hint="default"/>
        </w:rPr>
        <w:t xml:space="preserve"> </w:t>
      </w:r>
    </w:p>
    <w:p w14:paraId="54FBCF81">
      <w:pPr>
        <w:pStyle w:val="4"/>
        <w:bidi w:val="0"/>
        <w:rPr>
          <w:rFonts w:hint="default"/>
        </w:rPr>
      </w:pPr>
      <w:bookmarkStart w:id="10" w:name="_Toc24054"/>
      <w:r>
        <w:rPr>
          <w:rFonts w:hint="default"/>
        </w:rPr>
        <w:t>1.2.1 相关法律法规</w:t>
      </w:r>
      <w:bookmarkEnd w:id="10"/>
      <w:r>
        <w:rPr>
          <w:rFonts w:hint="default"/>
        </w:rPr>
        <w:t xml:space="preserve"> </w:t>
      </w:r>
    </w:p>
    <w:p w14:paraId="5EE7CFA8">
      <w:pPr>
        <w:keepNext w:val="0"/>
        <w:keepLines w:val="0"/>
        <w:pageBreakBefore w:val="0"/>
        <w:widowControl w:val="0"/>
        <w:kinsoku/>
        <w:wordWrap w:val="0"/>
        <w:overflowPunct/>
        <w:topLinePunct/>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（1）《中华人民共和国环境保护法》（自 2015 年 1 月 1 日起施行）； </w:t>
      </w:r>
    </w:p>
    <w:p w14:paraId="739940FC">
      <w:pPr>
        <w:keepNext w:val="0"/>
        <w:keepLines w:val="0"/>
        <w:pageBreakBefore w:val="0"/>
        <w:widowControl w:val="0"/>
        <w:kinsoku/>
        <w:wordWrap w:val="0"/>
        <w:overflowPunct/>
        <w:topLinePunct/>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w:t>
      </w:r>
      <w:r>
        <w:rPr>
          <w:rFonts w:hint="eastAsia" w:ascii="仿宋" w:hAnsi="仿宋" w:eastAsia="仿宋" w:cs="仿宋"/>
          <w:color w:val="auto"/>
          <w:kern w:val="0"/>
          <w:sz w:val="28"/>
          <w:szCs w:val="28"/>
          <w:lang w:val="en-US" w:eastAsia="zh-CN"/>
        </w:rPr>
        <w:t>《中华人民共和国突发事件</w:t>
      </w:r>
      <w:r>
        <w:rPr>
          <w:rFonts w:hint="default" w:ascii="Times New Roman" w:hAnsi="Times New Roman" w:eastAsia="仿宋" w:cs="Times New Roman"/>
          <w:color w:val="auto"/>
          <w:kern w:val="0"/>
          <w:sz w:val="28"/>
          <w:szCs w:val="28"/>
          <w:lang w:val="en-US" w:eastAsia="zh-CN"/>
        </w:rPr>
        <w:t>应对法》（2024年6月28日修订，2024年11月1日起施行）</w:t>
      </w:r>
      <w:r>
        <w:rPr>
          <w:rFonts w:hint="default" w:ascii="Times New Roman" w:hAnsi="Times New Roman" w:eastAsia="仿宋" w:cs="Times New Roman"/>
          <w:sz w:val="28"/>
          <w:szCs w:val="28"/>
        </w:rPr>
        <w:t xml:space="preserve">； </w:t>
      </w:r>
    </w:p>
    <w:p w14:paraId="244C35AD">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（3）《中华人民共和国水污染防治法》，2017年6月27日修订通过，自2018年1月1日起施行；</w:t>
      </w:r>
    </w:p>
    <w:p w14:paraId="67D52AF6">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rPr>
        <w:t>）</w:t>
      </w:r>
      <w:r>
        <w:rPr>
          <w:rFonts w:hint="default"/>
          <w:lang w:val="en-US" w:eastAsia="zh-CN"/>
        </w:rPr>
        <w:t>《中华人民共和国固体废物污染环境防治法》，2020年4月29日修订，2020年9月1日施行；</w:t>
      </w:r>
    </w:p>
    <w:p w14:paraId="091DE503">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5</w:t>
      </w:r>
      <w:r>
        <w:rPr>
          <w:rFonts w:hint="default" w:ascii="Times New Roman" w:hAnsi="Times New Roman" w:eastAsia="仿宋" w:cs="Times New Roman"/>
          <w:sz w:val="28"/>
          <w:szCs w:val="28"/>
        </w:rPr>
        <w:t>）</w:t>
      </w:r>
      <w:r>
        <w:rPr>
          <w:rFonts w:hint="default"/>
          <w:lang w:val="en-US" w:eastAsia="zh-CN"/>
        </w:rPr>
        <w:t>《中华人民共和国安全生产法》，2021年7月16日修订，2021年9月1日施行；</w:t>
      </w:r>
    </w:p>
    <w:p w14:paraId="77498A2B">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6</w:t>
      </w:r>
      <w:r>
        <w:rPr>
          <w:rFonts w:hint="default" w:ascii="Times New Roman" w:hAnsi="Times New Roman" w:eastAsia="仿宋" w:cs="Times New Roman"/>
          <w:sz w:val="28"/>
          <w:szCs w:val="28"/>
        </w:rPr>
        <w:t xml:space="preserve">）《中华人民共和国消防法》（2021 年 4 月 29 日第十三届全国人民代表大会常务委员会第二十八次会议通过修正）； </w:t>
      </w:r>
    </w:p>
    <w:p w14:paraId="4994567E">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eastAsia" w:ascii="Times New Roman" w:hAnsi="Times New Roman" w:eastAsia="仿宋" w:cs="Times New Roman"/>
          <w:sz w:val="28"/>
          <w:szCs w:val="28"/>
          <w:lang w:val="en-US" w:eastAsia="zh-CN"/>
        </w:rPr>
        <w:t>7</w:t>
      </w:r>
      <w:r>
        <w:rPr>
          <w:rFonts w:hint="default" w:ascii="Times New Roman" w:hAnsi="Times New Roman" w:eastAsia="仿宋" w:cs="Times New Roman"/>
          <w:sz w:val="28"/>
          <w:szCs w:val="28"/>
        </w:rPr>
        <w:t>）《突发事件应急预案管理办法》国办发〔2024〕5号；</w:t>
      </w:r>
    </w:p>
    <w:p w14:paraId="2A6B3DBF">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eastAsia" w:ascii="Times New Roman" w:hAnsi="Times New Roman" w:eastAsia="仿宋" w:cs="Times New Roman"/>
          <w:sz w:val="28"/>
          <w:szCs w:val="28"/>
          <w:lang w:val="en-US" w:eastAsia="zh-CN"/>
        </w:rPr>
        <w:t>8</w:t>
      </w:r>
      <w:r>
        <w:rPr>
          <w:rFonts w:hint="default" w:ascii="Times New Roman" w:hAnsi="Times New Roman" w:eastAsia="仿宋" w:cs="Times New Roman"/>
          <w:sz w:val="28"/>
          <w:szCs w:val="28"/>
        </w:rPr>
        <w:t>）《突发环境事件信息报告办法》（环境保护部令第17号，自2011年5月1日起施行）；</w:t>
      </w:r>
    </w:p>
    <w:p w14:paraId="3D124FD9">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9</w:t>
      </w:r>
      <w:r>
        <w:rPr>
          <w:rFonts w:hint="default" w:ascii="Times New Roman" w:hAnsi="Times New Roman" w:eastAsia="仿宋" w:cs="Times New Roman"/>
          <w:sz w:val="28"/>
          <w:szCs w:val="28"/>
          <w:lang w:val="en-US" w:eastAsia="zh-CN"/>
        </w:rPr>
        <w:t>）《突发环境事件调查处理办法》（环境保护部令第32号，自2015年3月1日起施行）；</w:t>
      </w:r>
    </w:p>
    <w:p w14:paraId="18306DD0">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w:t>
      </w:r>
      <w:r>
        <w:rPr>
          <w:rFonts w:hint="eastAsia" w:ascii="Times New Roman" w:hAnsi="Times New Roman" w:eastAsia="仿宋" w:cs="Times New Roman"/>
          <w:sz w:val="28"/>
          <w:szCs w:val="28"/>
          <w:lang w:val="en-US" w:eastAsia="zh-CN"/>
        </w:rPr>
        <w:t>0</w:t>
      </w:r>
      <w:r>
        <w:rPr>
          <w:rFonts w:hint="default" w:ascii="Times New Roman" w:hAnsi="Times New Roman" w:eastAsia="仿宋" w:cs="Times New Roman"/>
          <w:sz w:val="28"/>
          <w:szCs w:val="28"/>
          <w:lang w:val="en-US" w:eastAsia="zh-CN"/>
        </w:rPr>
        <w:t>）《突发环境事件应急管理办法》（环境保护部令第34号，自2015年6月5日起施行）；</w:t>
      </w:r>
    </w:p>
    <w:p w14:paraId="6747E077">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11</w:t>
      </w:r>
      <w:r>
        <w:rPr>
          <w:rFonts w:hint="default" w:ascii="Times New Roman" w:hAnsi="Times New Roman" w:eastAsia="仿宋" w:cs="Times New Roman"/>
          <w:sz w:val="28"/>
          <w:szCs w:val="28"/>
          <w:lang w:val="en-US" w:eastAsia="zh-CN"/>
        </w:rPr>
        <w:t>）《危险化学品重大危险源监督管理暂行规定》（根据2015年5月27日国家安全监管总局令第79号修正，自2015年7月1日起施行）；</w:t>
      </w:r>
    </w:p>
    <w:p w14:paraId="493FA95C">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w:t>
      </w:r>
      <w:r>
        <w:rPr>
          <w:rFonts w:hint="eastAsia"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lang w:val="en-US" w:eastAsia="zh-CN"/>
        </w:rPr>
        <w:t>）《城市供水水质管理规定》（建设部令第156号，自2007年5月1日起施行）；</w:t>
      </w:r>
    </w:p>
    <w:p w14:paraId="30DE14EB">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w:t>
      </w:r>
      <w:r>
        <w:rPr>
          <w:rFonts w:hint="eastAsia"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lang w:val="en-US" w:eastAsia="zh-CN"/>
        </w:rPr>
        <w:t>）《生活饮用水卫生监督管理办法》（住房城乡建设部、国家卫生计生委令第31号，自2016年6月1日起施行）；</w:t>
      </w:r>
    </w:p>
    <w:p w14:paraId="3C59CB1C">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w:t>
      </w:r>
      <w:r>
        <w:rPr>
          <w:rFonts w:hint="eastAsia"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lang w:val="en-US" w:eastAsia="zh-CN"/>
        </w:rPr>
        <w:t>）《山西省水污染防治条例》（自2019年10月1日起施行）</w:t>
      </w:r>
      <w:r>
        <w:rPr>
          <w:rFonts w:hint="eastAsia" w:cs="Times New Roman"/>
          <w:sz w:val="28"/>
          <w:szCs w:val="28"/>
          <w:lang w:val="en-US" w:eastAsia="zh-CN"/>
        </w:rPr>
        <w:t>；</w:t>
      </w:r>
    </w:p>
    <w:p w14:paraId="746FC01A">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15</w:t>
      </w: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zh-CN" w:eastAsia="zh-CN"/>
        </w:rPr>
        <w:t>《山西省突发事件应急预案管理办法》（</w:t>
      </w:r>
      <w:r>
        <w:rPr>
          <w:rFonts w:hint="default" w:ascii="Times New Roman" w:hAnsi="Times New Roman" w:eastAsia="仿宋" w:cs="Times New Roman"/>
          <w:sz w:val="28"/>
          <w:szCs w:val="28"/>
          <w:lang w:val="zh-CN" w:eastAsia="zh-CN"/>
        </w:rPr>
        <w:t>晋政办发〔</w:t>
      </w:r>
      <w:r>
        <w:rPr>
          <w:rFonts w:hint="eastAsia" w:ascii="Times New Roman" w:hAnsi="Times New Roman" w:eastAsia="仿宋" w:cs="Times New Roman"/>
          <w:sz w:val="28"/>
          <w:szCs w:val="28"/>
          <w:lang w:val="en-US" w:eastAsia="zh-CN"/>
        </w:rPr>
        <w:t>2024</w:t>
      </w:r>
      <w:r>
        <w:rPr>
          <w:rFonts w:hint="default" w:ascii="Times New Roman" w:hAnsi="Times New Roman" w:eastAsia="仿宋" w:cs="Times New Roman"/>
          <w:sz w:val="28"/>
          <w:szCs w:val="28"/>
          <w:lang w:val="zh-CN" w:eastAsia="zh-CN"/>
        </w:rPr>
        <w:t>〕</w:t>
      </w:r>
      <w:r>
        <w:rPr>
          <w:rFonts w:hint="eastAsia" w:ascii="Times New Roman" w:hAnsi="Times New Roman" w:eastAsia="仿宋" w:cs="Times New Roman"/>
          <w:sz w:val="28"/>
          <w:szCs w:val="28"/>
          <w:lang w:val="en-US" w:eastAsia="zh-CN"/>
        </w:rPr>
        <w:t>32</w:t>
      </w:r>
      <w:r>
        <w:rPr>
          <w:rFonts w:hint="default" w:ascii="Times New Roman" w:hAnsi="Times New Roman" w:eastAsia="仿宋" w:cs="Times New Roman"/>
          <w:sz w:val="28"/>
          <w:szCs w:val="28"/>
          <w:lang w:val="zh-CN" w:eastAsia="zh-CN"/>
        </w:rPr>
        <w:t>号</w:t>
      </w:r>
      <w:r>
        <w:rPr>
          <w:rFonts w:hint="eastAsia" w:ascii="Times New Roman" w:hAnsi="Times New Roman" w:eastAsia="仿宋" w:cs="Times New Roman"/>
          <w:sz w:val="28"/>
          <w:szCs w:val="28"/>
          <w:lang w:val="zh-CN" w:eastAsia="zh-CN"/>
        </w:rPr>
        <w:t>）。</w:t>
      </w:r>
    </w:p>
    <w:p w14:paraId="7A2A3270">
      <w:pPr>
        <w:pStyle w:val="4"/>
        <w:bidi w:val="0"/>
        <w:rPr>
          <w:rFonts w:hint="default"/>
          <w:lang w:val="en-US" w:eastAsia="zh-CN"/>
        </w:rPr>
      </w:pPr>
      <w:bookmarkStart w:id="11" w:name="_Toc9112"/>
      <w:r>
        <w:rPr>
          <w:rFonts w:hint="default"/>
          <w:lang w:val="en-US" w:eastAsia="zh-CN"/>
        </w:rPr>
        <w:t>1.2.2相关标准规范和文件</w:t>
      </w:r>
      <w:bookmarkEnd w:id="11"/>
    </w:p>
    <w:p w14:paraId="404AECF2">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（1）《国家突发环境事件应急预案》（国办函〔2014〕119号）；</w:t>
      </w:r>
    </w:p>
    <w:p w14:paraId="4F37624C">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（2）《国家突发事件总体应急预案》（20</w:t>
      </w:r>
      <w:r>
        <w:rPr>
          <w:rFonts w:hint="eastAsia" w:ascii="Times New Roman" w:hAnsi="Times New Roman" w:eastAsia="仿宋" w:cs="Times New Roman"/>
          <w:sz w:val="28"/>
          <w:szCs w:val="28"/>
          <w:lang w:val="en-US" w:eastAsia="zh-CN"/>
        </w:rPr>
        <w:t>25</w:t>
      </w:r>
      <w:r>
        <w:rPr>
          <w:rFonts w:hint="default" w:ascii="Times New Roman" w:hAnsi="Times New Roman" w:eastAsia="仿宋" w:cs="Times New Roman"/>
          <w:sz w:val="28"/>
          <w:szCs w:val="28"/>
          <w:lang w:val="en-US" w:eastAsia="zh-CN"/>
        </w:rPr>
        <w:t>年</w:t>
      </w:r>
      <w:r>
        <w:rPr>
          <w:rFonts w:hint="eastAsia"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lang w:val="en-US" w:eastAsia="zh-CN"/>
        </w:rPr>
        <w:t>月</w:t>
      </w:r>
      <w:r>
        <w:rPr>
          <w:rFonts w:hint="eastAsia" w:ascii="Times New Roman" w:hAnsi="Times New Roman" w:eastAsia="仿宋" w:cs="Times New Roman"/>
          <w:sz w:val="28"/>
          <w:szCs w:val="28"/>
          <w:lang w:val="en-US" w:eastAsia="zh-CN"/>
        </w:rPr>
        <w:t>25</w:t>
      </w:r>
      <w:r>
        <w:rPr>
          <w:rFonts w:hint="default" w:ascii="Times New Roman" w:hAnsi="Times New Roman" w:eastAsia="仿宋" w:cs="Times New Roman"/>
          <w:sz w:val="28"/>
          <w:szCs w:val="28"/>
          <w:lang w:val="en-US" w:eastAsia="zh-CN"/>
        </w:rPr>
        <w:t>日发布并实施）；</w:t>
      </w:r>
    </w:p>
    <w:p w14:paraId="33E5F5F7">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lang w:val="en-US" w:eastAsia="zh-CN"/>
        </w:rPr>
        <w:t>）《突发环境事件应急监测技术规范》（HJ589-20</w:t>
      </w:r>
      <w:r>
        <w:rPr>
          <w:rFonts w:hint="eastAsia" w:ascii="Times New Roman" w:hAnsi="Times New Roman" w:eastAsia="仿宋" w:cs="Times New Roman"/>
          <w:sz w:val="28"/>
          <w:szCs w:val="28"/>
          <w:lang w:val="en-US" w:eastAsia="zh-CN"/>
        </w:rPr>
        <w:t>21</w:t>
      </w:r>
      <w:r>
        <w:rPr>
          <w:rFonts w:hint="default" w:ascii="Times New Roman" w:hAnsi="Times New Roman" w:eastAsia="仿宋" w:cs="Times New Roman"/>
          <w:sz w:val="28"/>
          <w:szCs w:val="28"/>
          <w:lang w:val="en-US" w:eastAsia="zh-CN"/>
        </w:rPr>
        <w:t>）；</w:t>
      </w:r>
    </w:p>
    <w:p w14:paraId="65F83C00">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lang w:val="en-US" w:eastAsia="zh-CN"/>
        </w:rPr>
        <w:t>）《集中式饮用水水源地环境保护规范化建设技术要求》(HJ773-2015)；</w:t>
      </w:r>
    </w:p>
    <w:p w14:paraId="48C5F139">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5</w:t>
      </w:r>
      <w:r>
        <w:rPr>
          <w:rFonts w:hint="default" w:ascii="Times New Roman" w:hAnsi="Times New Roman" w:eastAsia="仿宋" w:cs="Times New Roman"/>
          <w:sz w:val="28"/>
          <w:szCs w:val="28"/>
          <w:lang w:val="en-US" w:eastAsia="zh-CN"/>
        </w:rPr>
        <w:t>）《集中式饮用水水源地环境保护状况评估技术规范》（HJ774-2015）；</w:t>
      </w:r>
    </w:p>
    <w:p w14:paraId="5383582A">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6</w:t>
      </w:r>
      <w:r>
        <w:rPr>
          <w:rFonts w:hint="default" w:ascii="Times New Roman" w:hAnsi="Times New Roman" w:eastAsia="仿宋" w:cs="Times New Roman"/>
          <w:sz w:val="28"/>
          <w:szCs w:val="28"/>
          <w:lang w:val="en-US" w:eastAsia="zh-CN"/>
        </w:rPr>
        <w:t>）《行政区域突发环境事件风险评估推荐方法》（环办应急〔2018〕9号）；</w:t>
      </w:r>
    </w:p>
    <w:p w14:paraId="669F36FA">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7</w:t>
      </w:r>
      <w:r>
        <w:rPr>
          <w:rFonts w:hint="default" w:ascii="Times New Roman" w:hAnsi="Times New Roman" w:eastAsia="仿宋" w:cs="Times New Roman"/>
          <w:sz w:val="28"/>
          <w:szCs w:val="28"/>
          <w:lang w:val="en-US" w:eastAsia="zh-CN"/>
        </w:rPr>
        <w:t>）《饮用水水源保护区标志技术要求》（HJ/T433-2008）；</w:t>
      </w:r>
    </w:p>
    <w:p w14:paraId="0A295424">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8</w:t>
      </w:r>
      <w:r>
        <w:rPr>
          <w:rFonts w:hint="default" w:ascii="Times New Roman" w:hAnsi="Times New Roman" w:eastAsia="仿宋" w:cs="Times New Roman"/>
          <w:sz w:val="28"/>
          <w:szCs w:val="28"/>
          <w:lang w:val="en-US" w:eastAsia="zh-CN"/>
        </w:rPr>
        <w:t>）《集中式地表水饮用水水源地突发环境事件应急预案编制指南（试行）》（公告2018年第1号）；</w:t>
      </w:r>
    </w:p>
    <w:p w14:paraId="34750E72">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9</w:t>
      </w:r>
      <w:r>
        <w:rPr>
          <w:rFonts w:hint="default" w:ascii="Times New Roman" w:hAnsi="Times New Roman" w:eastAsia="仿宋" w:cs="Times New Roman"/>
          <w:sz w:val="28"/>
          <w:szCs w:val="28"/>
          <w:lang w:val="en-US" w:eastAsia="zh-CN"/>
        </w:rPr>
        <w:t>）《危险化学品重大危险源辨识》（GB18218-2018）；</w:t>
      </w:r>
    </w:p>
    <w:p w14:paraId="1A28A4B4">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10</w:t>
      </w:r>
      <w:r>
        <w:rPr>
          <w:rFonts w:hint="default" w:ascii="Times New Roman" w:hAnsi="Times New Roman" w:eastAsia="仿宋" w:cs="Times New Roman"/>
          <w:sz w:val="28"/>
          <w:szCs w:val="28"/>
          <w:lang w:val="en-US" w:eastAsia="zh-CN"/>
        </w:rPr>
        <w:t>）《危险化学品安全管理条例》，201</w:t>
      </w:r>
      <w:r>
        <w:rPr>
          <w:rFonts w:hint="eastAsia"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lang w:val="en-US" w:eastAsia="zh-CN"/>
        </w:rPr>
        <w:t>年12月</w:t>
      </w:r>
      <w:r>
        <w:rPr>
          <w:rFonts w:hint="eastAsia" w:ascii="Times New Roman" w:hAnsi="Times New Roman" w:eastAsia="仿宋" w:cs="Times New Roman"/>
          <w:sz w:val="28"/>
          <w:szCs w:val="28"/>
          <w:lang w:val="en-US" w:eastAsia="zh-CN"/>
        </w:rPr>
        <w:t>7</w:t>
      </w:r>
      <w:r>
        <w:rPr>
          <w:rFonts w:hint="default" w:ascii="Times New Roman" w:hAnsi="Times New Roman" w:eastAsia="仿宋" w:cs="Times New Roman"/>
          <w:sz w:val="28"/>
          <w:szCs w:val="28"/>
          <w:lang w:val="en-US" w:eastAsia="zh-CN"/>
        </w:rPr>
        <w:t>日施行；</w:t>
      </w:r>
    </w:p>
    <w:p w14:paraId="2CF1C4A6">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eastAsia" w:ascii="Times New Roman" w:hAnsi="Times New Roman" w:eastAsia="仿宋" w:cs="Times New Roman"/>
          <w:sz w:val="28"/>
          <w:szCs w:val="28"/>
          <w:highlight w:val="none"/>
          <w:lang w:eastAsia="zh-CN"/>
        </w:rPr>
      </w:pP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11</w:t>
      </w:r>
      <w:r>
        <w:rPr>
          <w:rFonts w:hint="default" w:ascii="Times New Roman" w:hAnsi="Times New Roman" w:eastAsia="仿宋" w:cs="Times New Roman"/>
          <w:sz w:val="28"/>
          <w:szCs w:val="28"/>
          <w:lang w:val="en-US" w:eastAsia="zh-CN"/>
        </w:rPr>
        <w:t>）《饮用水水源保护区污染防治管理规定》（2010年11月22日修正）；</w:t>
      </w:r>
    </w:p>
    <w:p w14:paraId="4D5BEA61">
      <w:pPr>
        <w:pStyle w:val="4"/>
        <w:bidi w:val="0"/>
        <w:rPr>
          <w:rFonts w:hint="default"/>
          <w:lang w:val="en-US" w:eastAsia="zh-CN"/>
        </w:rPr>
      </w:pPr>
      <w:bookmarkStart w:id="12" w:name="_Toc2709"/>
      <w:r>
        <w:rPr>
          <w:rFonts w:hint="default"/>
          <w:lang w:val="en-US" w:eastAsia="zh-CN"/>
        </w:rPr>
        <w:t>1.2.3 其他技术资料</w:t>
      </w:r>
      <w:bookmarkEnd w:id="12"/>
      <w:r>
        <w:rPr>
          <w:rFonts w:hint="default"/>
          <w:lang w:val="en-US" w:eastAsia="zh-CN"/>
        </w:rPr>
        <w:t xml:space="preserve"> </w:t>
      </w:r>
    </w:p>
    <w:p w14:paraId="650014DF">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）《山西省突发环境事件应急预案》；</w:t>
      </w:r>
    </w:p>
    <w:p w14:paraId="0A14852A">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t>（</w:t>
      </w:r>
      <w:r>
        <w:rPr>
          <w:rFonts w:hint="default" w:ascii="Times New Roman" w:hAnsi="Times New Roman" w:eastAsia="仿宋" w:cs="Times New Roman"/>
          <w:sz w:val="28"/>
          <w:szCs w:val="28"/>
          <w:highlight w:val="none"/>
          <w:lang w:val="en-US" w:eastAsia="zh-CN"/>
        </w:rPr>
        <w:t>2</w:t>
      </w:r>
      <w:r>
        <w:rPr>
          <w:rFonts w:hint="default" w:ascii="Times New Roman" w:hAnsi="Times New Roman" w:eastAsia="仿宋" w:cs="Times New Roman"/>
          <w:sz w:val="28"/>
          <w:szCs w:val="28"/>
          <w:highlight w:val="none"/>
        </w:rPr>
        <w:t>）《</w:t>
      </w:r>
      <w:r>
        <w:rPr>
          <w:rFonts w:hint="eastAsia" w:ascii="Times New Roman" w:hAnsi="Times New Roman" w:eastAsia="仿宋" w:cs="Times New Roman"/>
          <w:sz w:val="28"/>
          <w:szCs w:val="28"/>
          <w:highlight w:val="none"/>
          <w:lang w:eastAsia="zh-CN"/>
        </w:rPr>
        <w:t>吕梁市</w:t>
      </w:r>
      <w:r>
        <w:rPr>
          <w:rFonts w:hint="default" w:ascii="Times New Roman" w:hAnsi="Times New Roman" w:eastAsia="仿宋" w:cs="Times New Roman"/>
          <w:sz w:val="28"/>
          <w:szCs w:val="28"/>
          <w:highlight w:val="none"/>
        </w:rPr>
        <w:t>突发环境事件应急预案》；</w:t>
      </w:r>
    </w:p>
    <w:p w14:paraId="3FD5E9A8">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eastAsia" w:cs="Times New Roman"/>
          <w:sz w:val="28"/>
          <w:szCs w:val="28"/>
          <w:highlight w:val="none"/>
          <w:lang w:eastAsia="zh-CN"/>
        </w:rPr>
      </w:pPr>
      <w:r>
        <w:rPr>
          <w:rFonts w:hint="default" w:ascii="Times New Roman" w:hAnsi="Times New Roman" w:eastAsia="仿宋" w:cs="Times New Roman"/>
          <w:sz w:val="28"/>
          <w:szCs w:val="28"/>
          <w:highlight w:val="none"/>
        </w:rPr>
        <w:t>（3）《</w:t>
      </w:r>
      <w:r>
        <w:rPr>
          <w:rFonts w:hint="eastAsia" w:ascii="Times New Roman" w:hAnsi="Times New Roman" w:eastAsia="仿宋" w:cs="Times New Roman"/>
          <w:sz w:val="28"/>
          <w:szCs w:val="28"/>
          <w:highlight w:val="none"/>
          <w:lang w:eastAsia="zh-CN"/>
        </w:rPr>
        <w:t>汾阳市</w:t>
      </w:r>
      <w:r>
        <w:rPr>
          <w:rFonts w:hint="default" w:ascii="Times New Roman" w:hAnsi="Times New Roman" w:eastAsia="仿宋" w:cs="Times New Roman"/>
          <w:sz w:val="28"/>
          <w:szCs w:val="28"/>
          <w:highlight w:val="none"/>
        </w:rPr>
        <w:t>突发环境事件应急预案》</w:t>
      </w:r>
      <w:r>
        <w:rPr>
          <w:rFonts w:hint="eastAsia" w:cs="Times New Roman"/>
          <w:sz w:val="28"/>
          <w:szCs w:val="28"/>
          <w:highlight w:val="none"/>
          <w:lang w:eastAsia="zh-CN"/>
        </w:rPr>
        <w:t>；</w:t>
      </w:r>
    </w:p>
    <w:p w14:paraId="39C25E4D">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eastAsia" w:ascii="Times New Roman" w:hAnsi="Times New Roman" w:eastAsia="仿宋" w:cs="Times New Roman"/>
          <w:sz w:val="28"/>
          <w:szCs w:val="28"/>
          <w:highlight w:val="yellow"/>
          <w:lang w:val="en-US" w:eastAsia="zh-CN"/>
        </w:rPr>
      </w:pPr>
      <w:r>
        <w:rPr>
          <w:rFonts w:hint="eastAsia"/>
          <w:lang w:val="en-US" w:eastAsia="zh-CN"/>
        </w:rPr>
        <w:t>（4）《吕梁市人民政府关于对汾阳市石门沟集中供水水源地保护区范围的批复》（吕政函【2024】63号）</w:t>
      </w:r>
      <w:r>
        <w:rPr>
          <w:rFonts w:hint="eastAsia" w:ascii="Times New Roman" w:hAnsi="Times New Roman" w:eastAsia="仿宋" w:cs="Times New Roman"/>
          <w:sz w:val="28"/>
          <w:szCs w:val="28"/>
          <w:highlight w:val="none"/>
          <w:lang w:eastAsia="zh-CN"/>
        </w:rPr>
        <w:t>。</w:t>
      </w:r>
    </w:p>
    <w:p w14:paraId="4A9F8AC4">
      <w:pPr>
        <w:pStyle w:val="3"/>
        <w:keepNext/>
        <w:keepLines/>
        <w:pageBreakBefore w:val="0"/>
        <w:widowControl/>
        <w:kinsoku/>
        <w:wordWrap/>
        <w:overflowPunct/>
        <w:topLinePunct w:val="0"/>
        <w:autoSpaceDE/>
        <w:autoSpaceDN/>
        <w:bidi w:val="0"/>
        <w:adjustRightInd w:val="0"/>
        <w:snapToGrid w:val="0"/>
        <w:textAlignment w:val="auto"/>
        <w:rPr>
          <w:rFonts w:hint="default"/>
          <w:lang w:val="en-US" w:eastAsia="zh-CN"/>
        </w:rPr>
      </w:pPr>
      <w:bookmarkStart w:id="13" w:name="_Toc23847"/>
      <w:bookmarkStart w:id="14" w:name="_Toc13585"/>
      <w:r>
        <w:rPr>
          <w:rFonts w:hint="default"/>
          <w:lang w:val="en-US" w:eastAsia="zh-CN"/>
        </w:rPr>
        <w:t>1.3 预案衔接</w:t>
      </w:r>
      <w:bookmarkEnd w:id="13"/>
      <w:bookmarkEnd w:id="14"/>
    </w:p>
    <w:p w14:paraId="4185DA34">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本预案为《</w:t>
      </w:r>
      <w:r>
        <w:rPr>
          <w:rFonts w:hint="eastAsia" w:ascii="Times New Roman" w:hAnsi="Times New Roman" w:eastAsia="仿宋" w:cs="Times New Roman"/>
          <w:sz w:val="28"/>
          <w:szCs w:val="28"/>
          <w:lang w:eastAsia="zh-CN"/>
        </w:rPr>
        <w:t>汾阳市</w:t>
      </w:r>
      <w:r>
        <w:rPr>
          <w:rFonts w:hint="default" w:ascii="Times New Roman" w:hAnsi="Times New Roman" w:eastAsia="仿宋" w:cs="Times New Roman"/>
          <w:sz w:val="28"/>
          <w:szCs w:val="28"/>
        </w:rPr>
        <w:t>突发环境事件应急预案》的子预案，是集中式饮用水水源地突发环境事件专项应急预案。</w:t>
      </w:r>
    </w:p>
    <w:p w14:paraId="17A8C631">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本预案与《</w:t>
      </w:r>
      <w:r>
        <w:rPr>
          <w:rFonts w:hint="eastAsia" w:ascii="Times New Roman" w:hAnsi="Times New Roman" w:eastAsia="仿宋" w:cs="Times New Roman"/>
          <w:sz w:val="28"/>
          <w:szCs w:val="28"/>
          <w:lang w:eastAsia="zh-CN"/>
        </w:rPr>
        <w:t>吕梁市</w:t>
      </w:r>
      <w:r>
        <w:rPr>
          <w:rFonts w:hint="default" w:ascii="Times New Roman" w:hAnsi="Times New Roman" w:eastAsia="仿宋" w:cs="Times New Roman"/>
          <w:sz w:val="28"/>
          <w:szCs w:val="28"/>
        </w:rPr>
        <w:t>突发环境事件应急预案》、《</w:t>
      </w:r>
      <w:r>
        <w:rPr>
          <w:rFonts w:hint="eastAsia" w:ascii="Times New Roman" w:hAnsi="Times New Roman" w:eastAsia="仿宋" w:cs="Times New Roman"/>
          <w:sz w:val="28"/>
          <w:szCs w:val="28"/>
          <w:lang w:eastAsia="zh-CN"/>
        </w:rPr>
        <w:t>汾阳市</w:t>
      </w:r>
      <w:r>
        <w:rPr>
          <w:rFonts w:hint="default" w:ascii="Times New Roman" w:hAnsi="Times New Roman" w:eastAsia="仿宋" w:cs="Times New Roman"/>
          <w:sz w:val="28"/>
          <w:szCs w:val="28"/>
        </w:rPr>
        <w:t>突发环境事件应急预案》及</w:t>
      </w:r>
      <w:r>
        <w:rPr>
          <w:rFonts w:hint="eastAsia" w:cs="Times New Roman"/>
          <w:sz w:val="28"/>
          <w:szCs w:val="28"/>
          <w:lang w:eastAsia="zh-CN"/>
        </w:rPr>
        <w:t>相关部门</w:t>
      </w:r>
      <w:r>
        <w:rPr>
          <w:rFonts w:hint="default" w:ascii="Times New Roman" w:hAnsi="Times New Roman" w:eastAsia="仿宋" w:cs="Times New Roman"/>
          <w:sz w:val="28"/>
          <w:szCs w:val="28"/>
        </w:rPr>
        <w:t>其他相关预案在组织指挥体系、适用的地域范围、预警分级、信息报告、应急保障等方面进行衔接，确保突发环境事件的应急组织指挥方式协调一致。启动本水源地应急预案后，由应急指挥部统一指挥，各成员单位相互协调，保持联动，并确保联动的及时性、迅速性、可行性、有效性。</w:t>
      </w:r>
    </w:p>
    <w:p w14:paraId="55C2B5F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4"/>
          <w:szCs w:val="24"/>
          <w:lang w:val="en-US" w:eastAsia="zh-CN"/>
        </w:rPr>
      </w:pPr>
      <w:r>
        <w:drawing>
          <wp:inline distT="0" distB="0" distL="114300" distR="114300">
            <wp:extent cx="5273040" cy="3106420"/>
            <wp:effectExtent l="0" t="0" r="3810" b="1778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0"/>
                    <a:stretch>
                      <a:fillRect/>
                    </a:stretch>
                  </pic:blipFill>
                  <pic:spPr>
                    <a:xfrm>
                      <a:off x="0" y="0"/>
                      <a:ext cx="5273040" cy="3106420"/>
                    </a:xfrm>
                    <a:prstGeom prst="rect">
                      <a:avLst/>
                    </a:prstGeom>
                    <a:noFill/>
                    <a:ln>
                      <a:noFill/>
                    </a:ln>
                  </pic:spPr>
                </pic:pic>
              </a:graphicData>
            </a:graphic>
          </wp:inline>
        </w:drawing>
      </w:r>
      <w:r>
        <w:rPr>
          <w:rFonts w:hint="default"/>
          <w:b/>
          <w:bCs/>
          <w:sz w:val="24"/>
          <w:szCs w:val="24"/>
          <w:lang w:val="en-US" w:eastAsia="zh-CN"/>
        </w:rPr>
        <w:t>图1.3-1  应急预案关系层示意图</w:t>
      </w:r>
    </w:p>
    <w:p w14:paraId="7DB195E6">
      <w:pPr>
        <w:pStyle w:val="3"/>
        <w:bidi w:val="0"/>
        <w:rPr>
          <w:rFonts w:hint="default"/>
          <w:lang w:val="en-US" w:eastAsia="zh-CN"/>
        </w:rPr>
      </w:pPr>
      <w:bookmarkStart w:id="15" w:name="_Toc323"/>
      <w:bookmarkStart w:id="16" w:name="_Toc28113"/>
      <w:r>
        <w:rPr>
          <w:rFonts w:hint="default"/>
          <w:lang w:val="en-US" w:eastAsia="zh-CN"/>
        </w:rPr>
        <w:t>1.4适用范围</w:t>
      </w:r>
      <w:bookmarkEnd w:id="15"/>
      <w:bookmarkEnd w:id="16"/>
    </w:p>
    <w:p w14:paraId="328B7EAF">
      <w:pPr>
        <w:keepNext w:val="0"/>
        <w:keepLines w:val="0"/>
        <w:pageBreakBefore w:val="0"/>
        <w:widowControl/>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本预案适用于</w:t>
      </w:r>
      <w:r>
        <w:rPr>
          <w:rFonts w:hint="eastAsia"/>
          <w:lang w:val="en-US" w:eastAsia="zh-CN"/>
        </w:rPr>
        <w:t>汾阳市石门沟集中供水水源地地</w:t>
      </w:r>
      <w:r>
        <w:rPr>
          <w:rFonts w:hint="default"/>
          <w:lang w:val="en-US" w:eastAsia="zh-CN"/>
        </w:rPr>
        <w:t>的突发环境事件。</w:t>
      </w:r>
    </w:p>
    <w:p w14:paraId="59855A6D">
      <w:pPr>
        <w:keepNext w:val="0"/>
        <w:keepLines w:val="0"/>
        <w:pageBreakBefore w:val="0"/>
        <w:widowControl/>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本应急预案适用于饮用水水源地内发生或可能发生的突发环境事件的预警和应急处置等工作。超出应急预案应急范围时，则与</w:t>
      </w:r>
      <w:r>
        <w:rPr>
          <w:rFonts w:hint="eastAsia"/>
          <w:lang w:val="en-US" w:eastAsia="zh-CN"/>
        </w:rPr>
        <w:t>汾阳市人民政府</w:t>
      </w:r>
      <w:r>
        <w:rPr>
          <w:rFonts w:hint="default"/>
          <w:lang w:val="en-US" w:eastAsia="zh-CN"/>
        </w:rPr>
        <w:t>发布的突发环境事件专项应急预案衔接。当突发环境事件应急预案启动后，本预案视情启动或辅助执行。</w:t>
      </w:r>
    </w:p>
    <w:p w14:paraId="719DBC8A">
      <w:pPr>
        <w:pStyle w:val="3"/>
        <w:bidi w:val="0"/>
        <w:rPr>
          <w:rFonts w:hint="default"/>
        </w:rPr>
      </w:pPr>
      <w:bookmarkStart w:id="17" w:name="_Toc27175"/>
      <w:bookmarkStart w:id="18" w:name="_Toc24574"/>
      <w:r>
        <w:rPr>
          <w:rFonts w:hint="default"/>
        </w:rPr>
        <w:t>1.</w:t>
      </w:r>
      <w:r>
        <w:rPr>
          <w:rFonts w:hint="default"/>
          <w:lang w:val="en-US" w:eastAsia="zh-CN"/>
        </w:rPr>
        <w:t>5</w:t>
      </w:r>
      <w:r>
        <w:rPr>
          <w:rFonts w:hint="default"/>
        </w:rPr>
        <w:t xml:space="preserve"> 工作原则</w:t>
      </w:r>
      <w:bookmarkEnd w:id="17"/>
      <w:bookmarkEnd w:id="18"/>
    </w:p>
    <w:p w14:paraId="264151C7">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在建立突发性环境事件应急系统及其响应程序时，应本着实事求是、切实可行的方针，贯彻如下原则：</w:t>
      </w:r>
    </w:p>
    <w:p w14:paraId="38226C30">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系统性原则。编制水源地应急预案，应全面掌握和分析行政区域内水源地的风险源信息、可能发生的突发环境事件情景和应急资源状况，逐一梳理明确各部门应对突发环境事件的工作职责、应急流程和任务分工，有效提升政府和</w:t>
      </w:r>
      <w:r>
        <w:rPr>
          <w:rFonts w:hint="eastAsia" w:cs="Times New Roman"/>
          <w:sz w:val="28"/>
          <w:szCs w:val="28"/>
          <w:lang w:eastAsia="zh-CN"/>
        </w:rPr>
        <w:t>相关部门</w:t>
      </w:r>
      <w:r>
        <w:rPr>
          <w:rFonts w:hint="default" w:ascii="Times New Roman" w:hAnsi="Times New Roman" w:eastAsia="仿宋" w:cs="Times New Roman"/>
          <w:sz w:val="28"/>
          <w:szCs w:val="28"/>
        </w:rPr>
        <w:t>的应急准备能力与应急处置能力。</w:t>
      </w:r>
    </w:p>
    <w:p w14:paraId="7E7C47E8">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针对性原则。编制水源地应急预案，应在全面调查和了解行政区域内水源地环境风险状况的基础上，针对不同类型的水源地、面临的不同环境风险，以及可能发生的突发环境事件情景，制定切实有效的应急处置措施。</w:t>
      </w:r>
    </w:p>
    <w:p w14:paraId="4F270B21">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）协调性原则。水源地应急预案，应作为</w:t>
      </w:r>
      <w:r>
        <w:rPr>
          <w:rFonts w:hint="eastAsia" w:ascii="Times New Roman" w:hAnsi="Times New Roman" w:cs="Times New Roman"/>
          <w:sz w:val="28"/>
          <w:szCs w:val="28"/>
          <w:lang w:eastAsia="zh-CN"/>
        </w:rPr>
        <w:t>汾阳</w:t>
      </w:r>
      <w:r>
        <w:rPr>
          <w:rFonts w:hint="eastAsia" w:cs="Times New Roman"/>
          <w:sz w:val="28"/>
          <w:szCs w:val="28"/>
          <w:lang w:val="en-US" w:eastAsia="zh-CN"/>
        </w:rPr>
        <w:t>县</w:t>
      </w:r>
      <w:r>
        <w:rPr>
          <w:rFonts w:hint="default" w:ascii="Times New Roman" w:hAnsi="Times New Roman" w:eastAsia="仿宋" w:cs="Times New Roman"/>
          <w:sz w:val="28"/>
          <w:szCs w:val="28"/>
        </w:rPr>
        <w:t>级人民政府突发事件应急预案编制体系的重要组成部分，水源地应急预案与行政区域内的企业突发环境事件应急预案、道路交通事故应急预案等</w:t>
      </w:r>
      <w:r>
        <w:rPr>
          <w:rFonts w:hint="eastAsia" w:ascii="Times New Roman" w:hAnsi="Times New Roman" w:eastAsia="仿宋" w:cs="Times New Roman"/>
          <w:sz w:val="28"/>
          <w:szCs w:val="28"/>
          <w:lang w:val="en-US" w:eastAsia="zh-CN"/>
        </w:rPr>
        <w:t>预案</w:t>
      </w:r>
      <w:r>
        <w:rPr>
          <w:rFonts w:hint="default" w:ascii="Times New Roman" w:hAnsi="Times New Roman" w:eastAsia="仿宋" w:cs="Times New Roman"/>
          <w:sz w:val="28"/>
          <w:szCs w:val="28"/>
        </w:rPr>
        <w:t>有机衔接。</w:t>
      </w:r>
    </w:p>
    <w:p w14:paraId="5A7975FB">
      <w:pPr>
        <w:keepNext w:val="0"/>
        <w:keepLines w:val="0"/>
        <w:pageBreakBefore w:val="0"/>
        <w:widowControl w:val="0"/>
        <w:kinsoku/>
        <w:overflowPunct/>
        <w:topLinePunct w:val="0"/>
        <w:bidi w:val="0"/>
        <w:spacing w:line="360" w:lineRule="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br w:type="page"/>
      </w:r>
    </w:p>
    <w:p w14:paraId="108DE5E9">
      <w:pPr>
        <w:pStyle w:val="2"/>
        <w:bidi w:val="0"/>
        <w:rPr>
          <w:rFonts w:hint="default"/>
        </w:rPr>
      </w:pPr>
      <w:bookmarkStart w:id="19" w:name="_Toc30144"/>
      <w:bookmarkStart w:id="20" w:name="_Toc6298"/>
      <w:r>
        <w:rPr>
          <w:rFonts w:hint="default"/>
        </w:rPr>
        <w:t>第二章 饮用水水源概况</w:t>
      </w:r>
      <w:bookmarkEnd w:id="19"/>
      <w:bookmarkEnd w:id="20"/>
    </w:p>
    <w:p w14:paraId="6E7172FA">
      <w:pPr>
        <w:pStyle w:val="3"/>
        <w:bidi w:val="0"/>
        <w:rPr>
          <w:rFonts w:hint="default"/>
        </w:rPr>
      </w:pPr>
      <w:bookmarkStart w:id="21" w:name="_Toc28245"/>
      <w:bookmarkStart w:id="22" w:name="_Toc21513"/>
      <w:r>
        <w:rPr>
          <w:rFonts w:hint="default"/>
        </w:rPr>
        <w:t>2.1 水源建设工程概况</w:t>
      </w:r>
      <w:bookmarkEnd w:id="21"/>
      <w:bookmarkEnd w:id="22"/>
      <w:r>
        <w:rPr>
          <w:rFonts w:hint="default"/>
        </w:rPr>
        <w:t xml:space="preserve"> </w:t>
      </w:r>
    </w:p>
    <w:p w14:paraId="6B34EAFF">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汾阳市石门沟集中供水水源地</w:t>
      </w:r>
      <w:r>
        <w:rPr>
          <w:rFonts w:hint="default"/>
          <w:lang w:val="en-US" w:eastAsia="zh-CN"/>
        </w:rPr>
        <w:t>位于安上村村西，有7眼井，2#井位于西堡村北，5#、6#、7#、8#、9#、10#位于石门沟，主要开采孔隙承压水和岩溶承压水，建有并房或者井院。配有2座1000m</w:t>
      </w:r>
      <w:r>
        <w:rPr>
          <w:rFonts w:hint="eastAsia"/>
          <w:vertAlign w:val="superscript"/>
          <w:lang w:val="en-US" w:eastAsia="zh-CN"/>
        </w:rPr>
        <w:t>3</w:t>
      </w:r>
      <w:r>
        <w:rPr>
          <w:rFonts w:hint="default"/>
          <w:lang w:val="en-US" w:eastAsia="zh-CN"/>
        </w:rPr>
        <w:t>蓄水池。通过管网送到用户院内，实现供水。服务对象酒厂生产生活用水</w:t>
      </w:r>
      <w:r>
        <w:rPr>
          <w:rFonts w:hint="eastAsia"/>
          <w:lang w:val="en-US" w:eastAsia="zh-CN"/>
        </w:rPr>
        <w:t>及周边生活用水</w:t>
      </w:r>
      <w:r>
        <w:rPr>
          <w:rFonts w:hint="default"/>
          <w:lang w:val="en-US" w:eastAsia="zh-CN"/>
        </w:rPr>
        <w:t>。</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AED8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3" w:hRule="atLeast"/>
        </w:trPr>
        <w:tc>
          <w:tcPr>
            <w:tcW w:w="2500" w:type="pct"/>
            <w:noWrap w:val="0"/>
            <w:vAlign w:val="center"/>
          </w:tcPr>
          <w:p w14:paraId="7357AE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default"/>
                <w:b/>
                <w:bCs/>
                <w:sz w:val="21"/>
                <w:szCs w:val="21"/>
                <w:vertAlign w:val="baseline"/>
                <w:lang w:val="en-US" w:eastAsia="zh-CN"/>
              </w:rPr>
              <w:drawing>
                <wp:inline distT="0" distB="0" distL="114300" distR="114300">
                  <wp:extent cx="2536190" cy="1426210"/>
                  <wp:effectExtent l="0" t="0" r="16510" b="2540"/>
                  <wp:docPr id="44" name="图片 7" descr="IMG_20250701_11274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descr="IMG_20250701_112741328"/>
                          <pic:cNvPicPr>
                            <a:picLocks noChangeAspect="1"/>
                          </pic:cNvPicPr>
                        </pic:nvPicPr>
                        <pic:blipFill>
                          <a:blip r:embed="rId21"/>
                          <a:stretch>
                            <a:fillRect/>
                          </a:stretch>
                        </pic:blipFill>
                        <pic:spPr>
                          <a:xfrm>
                            <a:off x="0" y="0"/>
                            <a:ext cx="2536190" cy="1426210"/>
                          </a:xfrm>
                          <a:prstGeom prst="rect">
                            <a:avLst/>
                          </a:prstGeom>
                          <a:noFill/>
                          <a:ln>
                            <a:noFill/>
                          </a:ln>
                        </pic:spPr>
                      </pic:pic>
                    </a:graphicData>
                  </a:graphic>
                </wp:inline>
              </w:drawing>
            </w:r>
          </w:p>
        </w:tc>
        <w:tc>
          <w:tcPr>
            <w:tcW w:w="2500" w:type="pct"/>
            <w:noWrap w:val="0"/>
            <w:vAlign w:val="center"/>
          </w:tcPr>
          <w:p w14:paraId="6E71D3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default"/>
                <w:b/>
                <w:bCs/>
                <w:sz w:val="21"/>
                <w:szCs w:val="21"/>
                <w:vertAlign w:val="baseline"/>
                <w:lang w:val="en-US" w:eastAsia="zh-CN"/>
              </w:rPr>
              <w:drawing>
                <wp:inline distT="0" distB="0" distL="114300" distR="114300">
                  <wp:extent cx="2536190" cy="1426210"/>
                  <wp:effectExtent l="0" t="0" r="16510" b="2540"/>
                  <wp:docPr id="16" name="图片 8" descr="IMG_20250701_11285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IMG_20250701_112852605"/>
                          <pic:cNvPicPr>
                            <a:picLocks noChangeAspect="1"/>
                          </pic:cNvPicPr>
                        </pic:nvPicPr>
                        <pic:blipFill>
                          <a:blip r:embed="rId22"/>
                          <a:stretch>
                            <a:fillRect/>
                          </a:stretch>
                        </pic:blipFill>
                        <pic:spPr>
                          <a:xfrm>
                            <a:off x="0" y="0"/>
                            <a:ext cx="2536190" cy="1426210"/>
                          </a:xfrm>
                          <a:prstGeom prst="rect">
                            <a:avLst/>
                          </a:prstGeom>
                          <a:noFill/>
                          <a:ln>
                            <a:noFill/>
                          </a:ln>
                        </pic:spPr>
                      </pic:pic>
                    </a:graphicData>
                  </a:graphic>
                </wp:inline>
              </w:drawing>
            </w:r>
          </w:p>
        </w:tc>
      </w:tr>
      <w:tr w14:paraId="25E6F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0" w:hRule="atLeast"/>
        </w:trPr>
        <w:tc>
          <w:tcPr>
            <w:tcW w:w="2500" w:type="pct"/>
            <w:noWrap w:val="0"/>
            <w:vAlign w:val="center"/>
          </w:tcPr>
          <w:p w14:paraId="058B94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default"/>
                <w:b/>
                <w:bCs/>
                <w:sz w:val="21"/>
                <w:szCs w:val="21"/>
                <w:vertAlign w:val="baseline"/>
                <w:lang w:val="en-US" w:eastAsia="zh-CN"/>
              </w:rPr>
              <w:drawing>
                <wp:inline distT="0" distB="0" distL="114300" distR="114300">
                  <wp:extent cx="2536190" cy="1426210"/>
                  <wp:effectExtent l="0" t="0" r="16510" b="2540"/>
                  <wp:docPr id="14" name="图片 9" descr="IMG_20250701_113117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IMG_20250701_113117270"/>
                          <pic:cNvPicPr>
                            <a:picLocks noChangeAspect="1"/>
                          </pic:cNvPicPr>
                        </pic:nvPicPr>
                        <pic:blipFill>
                          <a:blip r:embed="rId23"/>
                          <a:stretch>
                            <a:fillRect/>
                          </a:stretch>
                        </pic:blipFill>
                        <pic:spPr>
                          <a:xfrm>
                            <a:off x="0" y="0"/>
                            <a:ext cx="2536190" cy="1426210"/>
                          </a:xfrm>
                          <a:prstGeom prst="rect">
                            <a:avLst/>
                          </a:prstGeom>
                          <a:noFill/>
                          <a:ln>
                            <a:noFill/>
                          </a:ln>
                        </pic:spPr>
                      </pic:pic>
                    </a:graphicData>
                  </a:graphic>
                </wp:inline>
              </w:drawing>
            </w:r>
          </w:p>
        </w:tc>
        <w:tc>
          <w:tcPr>
            <w:tcW w:w="2500" w:type="pct"/>
            <w:noWrap w:val="0"/>
            <w:vAlign w:val="center"/>
          </w:tcPr>
          <w:p w14:paraId="24D0B2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vertAlign w:val="baseline"/>
                <w:lang w:val="en-US" w:eastAsia="zh-CN"/>
              </w:rPr>
            </w:pPr>
            <w:r>
              <w:rPr>
                <w:rFonts w:hint="eastAsia"/>
                <w:b/>
                <w:bCs/>
                <w:sz w:val="21"/>
                <w:szCs w:val="21"/>
                <w:vertAlign w:val="baseline"/>
                <w:lang w:val="en-US" w:eastAsia="zh-CN"/>
              </w:rPr>
              <w:drawing>
                <wp:inline distT="0" distB="0" distL="114300" distR="114300">
                  <wp:extent cx="2536190" cy="1426210"/>
                  <wp:effectExtent l="0" t="0" r="16510" b="2540"/>
                  <wp:docPr id="47" name="图片 10" descr="IMG_20250701_11262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 descr="IMG_20250701_112622257"/>
                          <pic:cNvPicPr>
                            <a:picLocks noChangeAspect="1"/>
                          </pic:cNvPicPr>
                        </pic:nvPicPr>
                        <pic:blipFill>
                          <a:blip r:embed="rId24"/>
                          <a:stretch>
                            <a:fillRect/>
                          </a:stretch>
                        </pic:blipFill>
                        <pic:spPr>
                          <a:xfrm>
                            <a:off x="0" y="0"/>
                            <a:ext cx="2536190" cy="1426210"/>
                          </a:xfrm>
                          <a:prstGeom prst="rect">
                            <a:avLst/>
                          </a:prstGeom>
                          <a:noFill/>
                          <a:ln>
                            <a:noFill/>
                          </a:ln>
                        </pic:spPr>
                      </pic:pic>
                    </a:graphicData>
                  </a:graphic>
                </wp:inline>
              </w:drawing>
            </w:r>
          </w:p>
        </w:tc>
      </w:tr>
      <w:tr w14:paraId="5C711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0" w:hRule="atLeast"/>
        </w:trPr>
        <w:tc>
          <w:tcPr>
            <w:tcW w:w="2500" w:type="pct"/>
            <w:noWrap w:val="0"/>
            <w:vAlign w:val="center"/>
          </w:tcPr>
          <w:p w14:paraId="0BCA2B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vertAlign w:val="baseline"/>
                <w:lang w:val="en-US" w:eastAsia="zh-CN"/>
              </w:rPr>
            </w:pPr>
            <w:r>
              <w:rPr>
                <w:rFonts w:hint="eastAsia"/>
                <w:b/>
                <w:bCs/>
                <w:sz w:val="21"/>
                <w:szCs w:val="21"/>
                <w:vertAlign w:val="baseline"/>
                <w:lang w:val="en-US" w:eastAsia="zh-CN"/>
              </w:rPr>
              <w:drawing>
                <wp:inline distT="0" distB="0" distL="114300" distR="114300">
                  <wp:extent cx="2536190" cy="1426210"/>
                  <wp:effectExtent l="0" t="0" r="16510" b="2540"/>
                  <wp:docPr id="40" name="图片 11" descr="IMG_20250701_11230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1" descr="IMG_20250701_112303529"/>
                          <pic:cNvPicPr>
                            <a:picLocks noChangeAspect="1"/>
                          </pic:cNvPicPr>
                        </pic:nvPicPr>
                        <pic:blipFill>
                          <a:blip r:embed="rId25"/>
                          <a:stretch>
                            <a:fillRect/>
                          </a:stretch>
                        </pic:blipFill>
                        <pic:spPr>
                          <a:xfrm>
                            <a:off x="0" y="0"/>
                            <a:ext cx="2536190" cy="1426210"/>
                          </a:xfrm>
                          <a:prstGeom prst="rect">
                            <a:avLst/>
                          </a:prstGeom>
                          <a:noFill/>
                          <a:ln>
                            <a:noFill/>
                          </a:ln>
                        </pic:spPr>
                      </pic:pic>
                    </a:graphicData>
                  </a:graphic>
                </wp:inline>
              </w:drawing>
            </w:r>
          </w:p>
        </w:tc>
        <w:tc>
          <w:tcPr>
            <w:tcW w:w="2500" w:type="pct"/>
            <w:noWrap w:val="0"/>
            <w:vAlign w:val="center"/>
          </w:tcPr>
          <w:p w14:paraId="271CA9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vertAlign w:val="baseline"/>
                <w:lang w:val="en-US" w:eastAsia="zh-CN"/>
              </w:rPr>
            </w:pPr>
            <w:r>
              <w:rPr>
                <w:rFonts w:hint="eastAsia"/>
                <w:b/>
                <w:bCs/>
                <w:sz w:val="21"/>
                <w:szCs w:val="21"/>
                <w:vertAlign w:val="baseline"/>
                <w:lang w:val="en-US" w:eastAsia="zh-CN"/>
              </w:rPr>
              <w:drawing>
                <wp:inline distT="0" distB="0" distL="114300" distR="114300">
                  <wp:extent cx="2536190" cy="1426210"/>
                  <wp:effectExtent l="0" t="0" r="16510" b="2540"/>
                  <wp:docPr id="12" name="图片 12" descr="IMG_20250701_112930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50701_112930691"/>
                          <pic:cNvPicPr>
                            <a:picLocks noChangeAspect="1"/>
                          </pic:cNvPicPr>
                        </pic:nvPicPr>
                        <pic:blipFill>
                          <a:blip r:embed="rId26"/>
                          <a:stretch>
                            <a:fillRect/>
                          </a:stretch>
                        </pic:blipFill>
                        <pic:spPr>
                          <a:xfrm>
                            <a:off x="0" y="0"/>
                            <a:ext cx="2536190" cy="1426210"/>
                          </a:xfrm>
                          <a:prstGeom prst="rect">
                            <a:avLst/>
                          </a:prstGeom>
                          <a:noFill/>
                          <a:ln>
                            <a:noFill/>
                          </a:ln>
                        </pic:spPr>
                      </pic:pic>
                    </a:graphicData>
                  </a:graphic>
                </wp:inline>
              </w:drawing>
            </w:r>
          </w:p>
        </w:tc>
      </w:tr>
      <w:tr w14:paraId="20CD7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noWrap w:val="0"/>
            <w:vAlign w:val="center"/>
          </w:tcPr>
          <w:p w14:paraId="60D595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汾阳市石门沟集中供水水源地</w:t>
            </w:r>
          </w:p>
        </w:tc>
      </w:tr>
    </w:tbl>
    <w:p w14:paraId="5A8E8067">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sectPr>
          <w:footerReference r:id="rId7" w:type="default"/>
          <w:pgSz w:w="11906" w:h="16838"/>
          <w:pgMar w:top="1440" w:right="1800" w:bottom="1440" w:left="1800" w:header="851" w:footer="794" w:gutter="0"/>
          <w:pgBorders>
            <w:top w:val="none" w:sz="0" w:space="0"/>
            <w:left w:val="none" w:sz="0" w:space="0"/>
            <w:bottom w:val="none" w:sz="0" w:space="0"/>
            <w:right w:val="none" w:sz="0" w:space="0"/>
          </w:pgBorders>
          <w:pgNumType w:fmt="decimal" w:start="1"/>
          <w:cols w:space="720" w:num="1"/>
          <w:rtlGutter w:val="0"/>
          <w:docGrid w:type="lines" w:linePitch="312" w:charSpace="0"/>
        </w:sectPr>
      </w:pPr>
    </w:p>
    <w:p w14:paraId="0F60A87E">
      <w:pPr>
        <w:pStyle w:val="3"/>
        <w:bidi w:val="0"/>
        <w:rPr>
          <w:rFonts w:hint="default"/>
        </w:rPr>
      </w:pPr>
      <w:bookmarkStart w:id="23" w:name="_Toc31209"/>
      <w:bookmarkStart w:id="24" w:name="_Toc10219"/>
      <w:r>
        <w:rPr>
          <w:rFonts w:hint="default"/>
        </w:rPr>
        <w:t>2.2 水源保护区划分结果</w:t>
      </w:r>
      <w:bookmarkEnd w:id="23"/>
      <w:bookmarkEnd w:id="24"/>
      <w:r>
        <w:rPr>
          <w:rFonts w:hint="default"/>
        </w:rPr>
        <w:t xml:space="preserve"> </w:t>
      </w:r>
    </w:p>
    <w:p w14:paraId="22ECEA29">
      <w:pPr>
        <w:keepNext w:val="0"/>
        <w:keepLines w:val="0"/>
        <w:pageBreakBefore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（1）</w:t>
      </w:r>
      <w:r>
        <w:rPr>
          <w:rFonts w:hint="default"/>
          <w:lang w:val="en-US" w:eastAsia="zh-CN"/>
        </w:rPr>
        <w:t>一级保护区定界方案</w:t>
      </w:r>
    </w:p>
    <w:p w14:paraId="5AA42B7C">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汾阳市石门沟集中供水水源地</w:t>
      </w:r>
      <w:r>
        <w:rPr>
          <w:rFonts w:hint="default"/>
          <w:lang w:val="en-US" w:eastAsia="zh-CN"/>
        </w:rPr>
        <w:t>一级保护区范围：以2#取水口为中心，30m为半径所圈定的圆形区域；以5#取水口为中心，54m为半径所圈定的圆形区域；以6#取水口为中心，39m为半径所圈定的圆形区域；以7#取水口为中心43m为半径所圈定的圆形区域；以8#取水口为中心，35m为半径所圈定的圆形区域；以9#取水口为中心，55m为半径所圈定的圆形区域；以10#取水口为中心43m为半径所圈定的圆形区域。一级保护区面积为0.0</w:t>
      </w:r>
      <w:r>
        <w:rPr>
          <w:rFonts w:hint="eastAsia"/>
          <w:lang w:val="en-US" w:eastAsia="zh-CN"/>
        </w:rPr>
        <w:t>416</w:t>
      </w:r>
      <w:r>
        <w:rPr>
          <w:rFonts w:hint="default"/>
          <w:lang w:val="en-US" w:eastAsia="zh-CN"/>
        </w:rPr>
        <w:t>km</w:t>
      </w:r>
      <w:r>
        <w:rPr>
          <w:rFonts w:hint="eastAsia"/>
          <w:vertAlign w:val="superscript"/>
          <w:lang w:val="en-US" w:eastAsia="zh-CN"/>
        </w:rPr>
        <w:t>2</w:t>
      </w:r>
      <w:r>
        <w:rPr>
          <w:rFonts w:hint="default"/>
          <w:lang w:val="en-US" w:eastAsia="zh-CN"/>
        </w:rPr>
        <w:t>。</w:t>
      </w:r>
    </w:p>
    <w:p w14:paraId="1DAC255F">
      <w:pPr>
        <w:keepNext w:val="0"/>
        <w:keepLines w:val="0"/>
        <w:pageBreakBefore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（2）</w:t>
      </w:r>
      <w:r>
        <w:rPr>
          <w:rFonts w:hint="default"/>
          <w:lang w:val="en-US" w:eastAsia="zh-CN"/>
        </w:rPr>
        <w:t>二级和准保护区定界方案</w:t>
      </w:r>
    </w:p>
    <w:p w14:paraId="1291C2B0">
      <w:pPr>
        <w:keepNext w:val="0"/>
        <w:keepLines w:val="0"/>
        <w:pageBreakBefore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汾阳市石门沟集中供水水源地</w:t>
      </w:r>
      <w:r>
        <w:rPr>
          <w:rFonts w:hint="default"/>
          <w:lang w:val="en-US" w:eastAsia="zh-CN"/>
        </w:rPr>
        <w:t>不划分二级和准保护区。</w:t>
      </w:r>
    </w:p>
    <w:p w14:paraId="568A0DBE">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right="0" w:rightChars="0" w:firstLine="560" w:firstLineChars="200"/>
        <w:jc w:val="both"/>
        <w:textAlignment w:val="auto"/>
        <w:rPr>
          <w:rFonts w:hint="default" w:ascii="Times New Roman" w:hAnsi="Times New Roman" w:eastAsia="仿宋" w:cs="Times New Roman"/>
          <w:sz w:val="28"/>
          <w:szCs w:val="28"/>
          <w:lang w:val="en-US" w:eastAsia="zh-CN"/>
        </w:rPr>
      </w:pPr>
    </w:p>
    <w:p w14:paraId="5B30A91B">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right="0" w:rightChars="0" w:firstLine="560" w:firstLineChars="200"/>
        <w:jc w:val="both"/>
        <w:textAlignment w:val="auto"/>
        <w:rPr>
          <w:rFonts w:hint="default" w:ascii="Times New Roman" w:hAnsi="Times New Roman" w:eastAsia="仿宋" w:cs="Times New Roman"/>
          <w:sz w:val="28"/>
          <w:szCs w:val="28"/>
        </w:rPr>
        <w:sectPr>
          <w:footerReference r:id="rId8" w:type="default"/>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pPr>
      <w:bookmarkStart w:id="176" w:name="_GoBack"/>
      <w:bookmarkEnd w:id="176"/>
    </w:p>
    <w:p w14:paraId="0E3E2A4F">
      <w:pPr>
        <w:pStyle w:val="2"/>
        <w:bidi w:val="0"/>
        <w:rPr>
          <w:rFonts w:hint="default"/>
        </w:rPr>
      </w:pPr>
      <w:bookmarkStart w:id="25" w:name="_Toc1604"/>
      <w:bookmarkStart w:id="26" w:name="_Toc28891"/>
      <w:r>
        <w:rPr>
          <w:rFonts w:hint="default"/>
        </w:rPr>
        <w:t>第三章</w:t>
      </w:r>
      <w:r>
        <w:rPr>
          <w:rFonts w:hint="default"/>
          <w:lang w:val="en-US" w:eastAsia="zh-CN"/>
        </w:rPr>
        <w:t xml:space="preserve"> </w:t>
      </w:r>
      <w:r>
        <w:rPr>
          <w:rFonts w:hint="default"/>
        </w:rPr>
        <w:t>应急组织指挥体系</w:t>
      </w:r>
      <w:bookmarkEnd w:id="25"/>
      <w:bookmarkEnd w:id="26"/>
    </w:p>
    <w:p w14:paraId="64509DDD">
      <w:pPr>
        <w:pStyle w:val="3"/>
        <w:bidi w:val="0"/>
        <w:rPr>
          <w:rFonts w:hint="default"/>
        </w:rPr>
      </w:pPr>
      <w:bookmarkStart w:id="27" w:name="_Toc7094"/>
      <w:bookmarkStart w:id="28" w:name="_Toc21985"/>
      <w:r>
        <w:rPr>
          <w:rFonts w:hint="default"/>
        </w:rPr>
        <w:t>3.1 应急组织指挥体系</w:t>
      </w:r>
      <w:bookmarkEnd w:id="27"/>
      <w:bookmarkEnd w:id="28"/>
      <w:r>
        <w:rPr>
          <w:rFonts w:hint="default"/>
        </w:rPr>
        <w:t xml:space="preserve"> </w:t>
      </w:r>
    </w:p>
    <w:p w14:paraId="1C52AAA0">
      <w:pPr>
        <w:bidi w:val="0"/>
        <w:rPr>
          <w:rFonts w:hint="default"/>
        </w:rPr>
      </w:pPr>
      <w:r>
        <w:rPr>
          <w:rFonts w:hint="eastAsia"/>
          <w:lang w:eastAsia="zh-CN"/>
        </w:rPr>
        <w:t>汾阳市</w:t>
      </w:r>
      <w:r>
        <w:rPr>
          <w:rFonts w:hint="eastAsia"/>
          <w:lang w:val="en-US" w:eastAsia="zh-CN"/>
        </w:rPr>
        <w:t>石门沟集中供水水源地</w:t>
      </w:r>
      <w:r>
        <w:rPr>
          <w:rFonts w:hint="default"/>
        </w:rPr>
        <w:t>突发环境事件应急组织指挥体系由应急指挥部、现场应急指挥部和现场应急工作组组成。</w:t>
      </w:r>
    </w:p>
    <w:p w14:paraId="2AF6279F">
      <w:pPr>
        <w:pStyle w:val="3"/>
        <w:bidi w:val="0"/>
        <w:rPr>
          <w:rFonts w:hint="default"/>
        </w:rPr>
      </w:pPr>
      <w:bookmarkStart w:id="29" w:name="_Toc17535"/>
      <w:bookmarkStart w:id="30" w:name="_Toc19746"/>
      <w:r>
        <w:rPr>
          <w:rFonts w:hint="default"/>
        </w:rPr>
        <w:t>3.2 应急组织指挥部</w:t>
      </w:r>
      <w:bookmarkEnd w:id="29"/>
      <w:bookmarkEnd w:id="30"/>
    </w:p>
    <w:p w14:paraId="5259ABBE">
      <w:pPr>
        <w:keepNext w:val="0"/>
        <w:keepLines w:val="0"/>
        <w:pageBreakBefore w:val="0"/>
        <w:widowControl/>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汾阳市人民</w:t>
      </w:r>
      <w:r>
        <w:rPr>
          <w:rFonts w:hint="default"/>
        </w:rPr>
        <w:t>政府成立</w:t>
      </w:r>
      <w:r>
        <w:rPr>
          <w:rFonts w:hint="eastAsia"/>
          <w:lang w:eastAsia="zh-CN"/>
        </w:rPr>
        <w:t>汾阳市</w:t>
      </w:r>
      <w:r>
        <w:rPr>
          <w:rFonts w:hint="eastAsia"/>
          <w:lang w:val="en-US" w:eastAsia="zh-CN"/>
        </w:rPr>
        <w:t>石门沟集中供水水源地</w:t>
      </w:r>
      <w:r>
        <w:rPr>
          <w:rFonts w:hint="default"/>
        </w:rPr>
        <w:t>突发环境事件应急指挥部</w:t>
      </w:r>
      <w:r>
        <w:rPr>
          <w:rFonts w:hint="eastAsia"/>
          <w:lang w:val="en-US" w:eastAsia="zh-CN"/>
        </w:rPr>
        <w:t>。</w:t>
      </w:r>
    </w:p>
    <w:p w14:paraId="10C40F81">
      <w:pPr>
        <w:keepNext w:val="0"/>
        <w:keepLines w:val="0"/>
        <w:pageBreakBefore w:val="0"/>
        <w:widowControl/>
        <w:kinsoku/>
        <w:wordWrap/>
        <w:overflowPunct/>
        <w:topLinePunct w:val="0"/>
        <w:autoSpaceDE/>
        <w:autoSpaceDN/>
        <w:bidi w:val="0"/>
        <w:adjustRightInd w:val="0"/>
        <w:snapToGrid w:val="0"/>
        <w:textAlignment w:val="auto"/>
        <w:rPr>
          <w:rFonts w:hint="eastAsia"/>
          <w:highlight w:val="none"/>
          <w:lang w:val="en-US" w:eastAsia="zh-CN"/>
        </w:rPr>
      </w:pPr>
      <w:r>
        <w:rPr>
          <w:rFonts w:hint="eastAsia"/>
          <w:highlight w:val="none"/>
          <w:lang w:val="en-US" w:eastAsia="zh-CN"/>
        </w:rPr>
        <w:t>总指挥：汾阳市人民政府党组成员。</w:t>
      </w:r>
    </w:p>
    <w:p w14:paraId="44CC3741">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eastAsia"/>
          <w:highlight w:val="none"/>
          <w:lang w:val="en-US" w:eastAsia="zh-CN"/>
        </w:rPr>
        <w:t>副总指挥：</w:t>
      </w:r>
      <w:r>
        <w:rPr>
          <w:rFonts w:hint="eastAsia"/>
          <w:lang w:val="en-US" w:eastAsia="zh-CN"/>
        </w:rPr>
        <w:t>汾阳杏花村经济技术开发区主任、杏花村镇人民政府镇长</w:t>
      </w:r>
      <w:r>
        <w:rPr>
          <w:rFonts w:hint="eastAsia"/>
          <w:highlight w:val="none"/>
          <w:lang w:val="en-US" w:eastAsia="zh-CN"/>
        </w:rPr>
        <w:t>。</w:t>
      </w:r>
    </w:p>
    <w:p w14:paraId="23F40C58">
      <w:pPr>
        <w:keepNext w:val="0"/>
        <w:keepLines w:val="0"/>
        <w:pageBreakBefore w:val="0"/>
        <w:widowControl/>
        <w:kinsoku/>
        <w:wordWrap/>
        <w:overflowPunct/>
        <w:topLinePunct w:val="0"/>
        <w:autoSpaceDE/>
        <w:autoSpaceDN/>
        <w:bidi w:val="0"/>
        <w:adjustRightInd w:val="0"/>
        <w:snapToGrid w:val="0"/>
        <w:textAlignment w:val="auto"/>
        <w:rPr>
          <w:rFonts w:hint="eastAsia"/>
          <w:highlight w:val="none"/>
          <w:lang w:val="en-US" w:eastAsia="zh-CN"/>
        </w:rPr>
      </w:pPr>
      <w:r>
        <w:rPr>
          <w:rFonts w:hint="eastAsia"/>
          <w:highlight w:val="none"/>
          <w:lang w:val="en-US" w:eastAsia="zh-CN"/>
        </w:rPr>
        <w:t>应急指挥办公室主任：</w:t>
      </w:r>
      <w:r>
        <w:rPr>
          <w:rFonts w:hint="eastAsia"/>
          <w:lang w:val="en-US" w:eastAsia="zh-CN"/>
        </w:rPr>
        <w:t>汾阳杏花村经济技术开发区主任</w:t>
      </w:r>
      <w:r>
        <w:rPr>
          <w:rFonts w:hint="eastAsia"/>
          <w:highlight w:val="none"/>
          <w:lang w:val="en-US" w:eastAsia="zh-CN"/>
        </w:rPr>
        <w:t>。</w:t>
      </w:r>
    </w:p>
    <w:p w14:paraId="6238FA48">
      <w:pPr>
        <w:keepNext w:val="0"/>
        <w:keepLines w:val="0"/>
        <w:pageBreakBefore w:val="0"/>
        <w:widowControl/>
        <w:kinsoku/>
        <w:wordWrap/>
        <w:overflowPunct/>
        <w:topLinePunct w:val="0"/>
        <w:autoSpaceDE/>
        <w:autoSpaceDN/>
        <w:bidi w:val="0"/>
        <w:adjustRightInd w:val="0"/>
        <w:snapToGrid w:val="0"/>
        <w:textAlignment w:val="auto"/>
        <w:rPr>
          <w:rFonts w:hint="eastAsia"/>
          <w:highlight w:val="none"/>
          <w:lang w:val="en-US" w:eastAsia="zh-CN"/>
        </w:rPr>
      </w:pPr>
      <w:r>
        <w:rPr>
          <w:rFonts w:hint="eastAsia"/>
          <w:highlight w:val="none"/>
          <w:lang w:val="en-US" w:eastAsia="zh-CN"/>
        </w:rPr>
        <w:t>成员单位：</w:t>
      </w:r>
      <w:r>
        <w:rPr>
          <w:rFonts w:hint="eastAsia"/>
          <w:lang w:val="en-US" w:eastAsia="zh-CN"/>
        </w:rPr>
        <w:t>山西杏花村汾酒集团有限责任公司、</w:t>
      </w:r>
      <w:r>
        <w:rPr>
          <w:rFonts w:hint="eastAsia"/>
          <w:highlight w:val="none"/>
          <w:lang w:val="en-US" w:eastAsia="zh-CN"/>
        </w:rPr>
        <w:t>汾阳市应急管理局、吕梁市生态环境局汾阳分局、汾阳市自然资源局、汾阳市工科局、汾阳市交通运输局、汾阳市住房和城乡建设管理局、汾阳市农业农村局、汾阳市水务局、汾阳市公安局、汾阳市财政局、汾阳市民政局、汾阳市教育体育局、汾阳市卫生健康局、汾阳市自来水公司、汾阳市消防救援大队、汾阳市电力公司、汾阳市气象局、汾阳市融媒体中心、汾阳市疾病预防控制中心、汾阳市事业服务中心。</w:t>
      </w:r>
    </w:p>
    <w:p w14:paraId="2E404CBB">
      <w:pPr>
        <w:pStyle w:val="4"/>
        <w:bidi w:val="0"/>
        <w:rPr>
          <w:rFonts w:hint="eastAsia"/>
          <w:lang w:val="en-US" w:eastAsia="zh-CN"/>
        </w:rPr>
      </w:pPr>
      <w:bookmarkStart w:id="31" w:name="_Toc9267"/>
      <w:bookmarkStart w:id="32" w:name="_Toc18437"/>
      <w:r>
        <w:rPr>
          <w:rFonts w:hint="eastAsia"/>
          <w:lang w:val="en-US" w:eastAsia="zh-CN"/>
        </w:rPr>
        <w:t>3.2.1总指挥主要职责</w:t>
      </w:r>
      <w:bookmarkEnd w:id="31"/>
      <w:bookmarkEnd w:id="32"/>
    </w:p>
    <w:p w14:paraId="25467469">
      <w:pPr>
        <w:bidi w:val="0"/>
        <w:rPr>
          <w:rFonts w:hint="default"/>
          <w:highlight w:val="none"/>
          <w:lang w:val="en-US" w:eastAsia="zh-CN"/>
        </w:rPr>
      </w:pPr>
      <w:r>
        <w:rPr>
          <w:rFonts w:hint="default"/>
          <w:highlight w:val="none"/>
          <w:lang w:val="en-US" w:eastAsia="zh-CN"/>
        </w:rPr>
        <w:t>（1）日常职责</w:t>
      </w:r>
    </w:p>
    <w:p w14:paraId="55D11225">
      <w:pPr>
        <w:bidi w:val="0"/>
        <w:rPr>
          <w:rFonts w:hint="default"/>
          <w:highlight w:val="none"/>
          <w:lang w:val="en-US" w:eastAsia="zh-CN"/>
        </w:rPr>
      </w:pPr>
      <w:r>
        <w:rPr>
          <w:rFonts w:hint="default"/>
          <w:highlight w:val="none"/>
          <w:lang w:val="en-US" w:eastAsia="zh-CN"/>
        </w:rPr>
        <w:t>①贯彻执行国家、山西省、吕梁市人民政府及相关部门关于水源地突发环境事件的各项工作要求；</w:t>
      </w:r>
    </w:p>
    <w:p w14:paraId="5FE74762">
      <w:pPr>
        <w:bidi w:val="0"/>
        <w:rPr>
          <w:rFonts w:hint="default"/>
          <w:highlight w:val="none"/>
          <w:lang w:val="en-US" w:eastAsia="zh-CN"/>
        </w:rPr>
      </w:pPr>
      <w:r>
        <w:rPr>
          <w:rFonts w:hint="default"/>
          <w:highlight w:val="none"/>
          <w:lang w:val="en-US" w:eastAsia="zh-CN"/>
        </w:rPr>
        <w:t>②牵头组织水源地应急预案的编制、修订与审批工作；</w:t>
      </w:r>
    </w:p>
    <w:p w14:paraId="1EA9CE59">
      <w:pPr>
        <w:bidi w:val="0"/>
        <w:rPr>
          <w:rFonts w:hint="default"/>
          <w:highlight w:val="none"/>
          <w:lang w:val="en-US" w:eastAsia="zh-CN"/>
        </w:rPr>
      </w:pPr>
      <w:r>
        <w:rPr>
          <w:rFonts w:hint="default"/>
          <w:highlight w:val="none"/>
          <w:lang w:val="en-US" w:eastAsia="zh-CN"/>
        </w:rPr>
        <w:t>③指导推进水源地突发环境事件应急管理体系建设工作；</w:t>
      </w:r>
    </w:p>
    <w:p w14:paraId="3578B54D">
      <w:pPr>
        <w:bidi w:val="0"/>
        <w:rPr>
          <w:rFonts w:hint="default"/>
          <w:highlight w:val="none"/>
          <w:lang w:val="en-US" w:eastAsia="zh-CN"/>
        </w:rPr>
      </w:pPr>
      <w:r>
        <w:rPr>
          <w:rFonts w:hint="default"/>
          <w:highlight w:val="none"/>
          <w:lang w:val="en-US" w:eastAsia="zh-CN"/>
        </w:rPr>
        <w:t>④协调保障水源地突发环境事件应急管理工作的经费</w:t>
      </w:r>
    </w:p>
    <w:p w14:paraId="65587F07">
      <w:pPr>
        <w:bidi w:val="0"/>
        <w:rPr>
          <w:rFonts w:hint="default"/>
          <w:highlight w:val="none"/>
          <w:lang w:val="en-US" w:eastAsia="zh-CN"/>
        </w:rPr>
      </w:pPr>
      <w:r>
        <w:rPr>
          <w:rFonts w:hint="default"/>
          <w:highlight w:val="none"/>
          <w:lang w:val="en-US" w:eastAsia="zh-CN"/>
        </w:rPr>
        <w:t>（2）应急职责</w:t>
      </w:r>
    </w:p>
    <w:p w14:paraId="7BAAE436">
      <w:pPr>
        <w:bidi w:val="0"/>
        <w:rPr>
          <w:rFonts w:hint="default"/>
          <w:highlight w:val="none"/>
          <w:lang w:val="en-US" w:eastAsia="zh-CN"/>
        </w:rPr>
      </w:pPr>
      <w:r>
        <w:rPr>
          <w:rFonts w:hint="default"/>
          <w:highlight w:val="none"/>
          <w:lang w:val="en-US" w:eastAsia="zh-CN"/>
        </w:rPr>
        <w:t>①当发生水源地突发环境事件时，总指挥亲自（或委托副总指挥）赶赴现场统筹指挥并组织开展应急处置工作；</w:t>
      </w:r>
    </w:p>
    <w:p w14:paraId="4D1E98F8">
      <w:pPr>
        <w:bidi w:val="0"/>
        <w:rPr>
          <w:rFonts w:hint="default"/>
          <w:highlight w:val="none"/>
          <w:lang w:val="en-US" w:eastAsia="zh-CN"/>
        </w:rPr>
      </w:pPr>
      <w:r>
        <w:rPr>
          <w:rFonts w:hint="default"/>
          <w:highlight w:val="none"/>
          <w:lang w:val="en-US" w:eastAsia="zh-CN"/>
        </w:rPr>
        <w:t>②贯彻执行山西省、吕梁市人民政府及相关部门的应急指令；</w:t>
      </w:r>
    </w:p>
    <w:p w14:paraId="3BFF8F5E">
      <w:pPr>
        <w:bidi w:val="0"/>
        <w:rPr>
          <w:rFonts w:hint="default"/>
          <w:highlight w:val="none"/>
          <w:lang w:val="en-US" w:eastAsia="zh-CN"/>
        </w:rPr>
      </w:pPr>
      <w:r>
        <w:rPr>
          <w:rFonts w:hint="default"/>
          <w:highlight w:val="none"/>
          <w:lang w:val="en-US" w:eastAsia="zh-CN"/>
        </w:rPr>
        <w:t>③依据预警及应急启动、终止的判定条件，决定预案的启动或终止；</w:t>
      </w:r>
    </w:p>
    <w:p w14:paraId="08893AB8">
      <w:pPr>
        <w:bidi w:val="0"/>
        <w:rPr>
          <w:rFonts w:hint="default"/>
          <w:highlight w:val="none"/>
          <w:lang w:val="en-US" w:eastAsia="zh-CN"/>
        </w:rPr>
      </w:pPr>
      <w:r>
        <w:rPr>
          <w:rFonts w:hint="default"/>
          <w:highlight w:val="none"/>
          <w:lang w:val="en-US" w:eastAsia="zh-CN"/>
        </w:rPr>
        <w:t>④研判突发环境事件发展的态势，牵头制定并审批现场处置方案；</w:t>
      </w:r>
    </w:p>
    <w:p w14:paraId="2FF5B5AE">
      <w:pPr>
        <w:bidi w:val="0"/>
        <w:rPr>
          <w:rFonts w:hint="default"/>
          <w:highlight w:val="none"/>
          <w:lang w:val="en-US" w:eastAsia="zh-CN"/>
        </w:rPr>
      </w:pPr>
      <w:r>
        <w:rPr>
          <w:rFonts w:hint="default"/>
          <w:highlight w:val="none"/>
          <w:lang w:val="en-US" w:eastAsia="zh-CN"/>
        </w:rPr>
        <w:t>⑤组织开展损害评估等后期工作</w:t>
      </w:r>
    </w:p>
    <w:p w14:paraId="53D8643E">
      <w:pPr>
        <w:pStyle w:val="4"/>
        <w:bidi w:val="0"/>
        <w:rPr>
          <w:rFonts w:hint="default"/>
          <w:highlight w:val="none"/>
          <w:lang w:val="en-US" w:eastAsia="zh-CN"/>
        </w:rPr>
      </w:pPr>
      <w:bookmarkStart w:id="33" w:name="_Toc5630"/>
      <w:bookmarkStart w:id="34" w:name="_Toc17797"/>
      <w:r>
        <w:rPr>
          <w:rFonts w:hint="default"/>
          <w:highlight w:val="none"/>
          <w:lang w:val="en-US" w:eastAsia="zh-CN"/>
        </w:rPr>
        <w:t>3.2.2副总指挥主要职责</w:t>
      </w:r>
      <w:bookmarkEnd w:id="33"/>
      <w:bookmarkEnd w:id="34"/>
    </w:p>
    <w:p w14:paraId="21A0FD67">
      <w:pPr>
        <w:bidi w:val="0"/>
        <w:rPr>
          <w:rFonts w:hint="default"/>
          <w:highlight w:val="none"/>
          <w:lang w:val="en-US" w:eastAsia="zh-CN"/>
        </w:rPr>
      </w:pPr>
      <w:r>
        <w:rPr>
          <w:rFonts w:hint="default"/>
          <w:highlight w:val="none"/>
          <w:lang w:val="en-US" w:eastAsia="zh-CN"/>
        </w:rPr>
        <w:t>（1）日常职责</w:t>
      </w:r>
    </w:p>
    <w:p w14:paraId="33442F2F">
      <w:pPr>
        <w:bidi w:val="0"/>
        <w:rPr>
          <w:rFonts w:hint="default"/>
          <w:highlight w:val="none"/>
          <w:lang w:val="en-US" w:eastAsia="zh-CN"/>
        </w:rPr>
      </w:pPr>
      <w:r>
        <w:rPr>
          <w:rFonts w:hint="default"/>
          <w:highlight w:val="none"/>
          <w:lang w:val="en-US" w:eastAsia="zh-CN"/>
        </w:rPr>
        <w:t>①协助总指挥推进各项相关工作；</w:t>
      </w:r>
    </w:p>
    <w:p w14:paraId="2AAE432B">
      <w:pPr>
        <w:bidi w:val="0"/>
        <w:rPr>
          <w:rFonts w:hint="default"/>
          <w:highlight w:val="none"/>
          <w:lang w:val="en-US" w:eastAsia="zh-CN"/>
        </w:rPr>
      </w:pPr>
      <w:r>
        <w:rPr>
          <w:rFonts w:hint="default"/>
          <w:highlight w:val="none"/>
          <w:lang w:val="en-US" w:eastAsia="zh-CN"/>
        </w:rPr>
        <w:t>②牵头组织并指导应急预案培训、演练及应急救援队伍建设与能力评估等工作；</w:t>
      </w:r>
    </w:p>
    <w:p w14:paraId="6E41E508">
      <w:pPr>
        <w:bidi w:val="0"/>
        <w:rPr>
          <w:rFonts w:hint="default"/>
          <w:highlight w:val="none"/>
          <w:lang w:val="en-US" w:eastAsia="zh-CN"/>
        </w:rPr>
      </w:pPr>
      <w:r>
        <w:rPr>
          <w:rFonts w:hint="default"/>
          <w:highlight w:val="none"/>
          <w:lang w:val="en-US" w:eastAsia="zh-CN"/>
        </w:rPr>
        <w:t>③指导开展水源地突发环境事件的风险防范与应急准备工作。</w:t>
      </w:r>
    </w:p>
    <w:p w14:paraId="12BA2267">
      <w:pPr>
        <w:bidi w:val="0"/>
        <w:rPr>
          <w:rFonts w:hint="default"/>
          <w:highlight w:val="none"/>
          <w:lang w:val="en-US" w:eastAsia="zh-CN"/>
        </w:rPr>
      </w:pPr>
      <w:r>
        <w:rPr>
          <w:rFonts w:hint="default"/>
          <w:highlight w:val="none"/>
          <w:lang w:val="en-US" w:eastAsia="zh-CN"/>
        </w:rPr>
        <w:t>（2）应急职责</w:t>
      </w:r>
    </w:p>
    <w:p w14:paraId="39A51010">
      <w:pPr>
        <w:bidi w:val="0"/>
        <w:rPr>
          <w:rFonts w:hint="default"/>
          <w:highlight w:val="none"/>
          <w:lang w:val="en-US" w:eastAsia="zh-CN"/>
        </w:rPr>
      </w:pPr>
      <w:r>
        <w:rPr>
          <w:rFonts w:hint="default"/>
          <w:highlight w:val="none"/>
          <w:lang w:val="en-US" w:eastAsia="zh-CN"/>
        </w:rPr>
        <w:t>①协助总指挥统筹组织现场应急处置工作；</w:t>
      </w:r>
    </w:p>
    <w:p w14:paraId="07353CE2">
      <w:pPr>
        <w:bidi w:val="0"/>
        <w:rPr>
          <w:rFonts w:hint="default"/>
          <w:highlight w:val="none"/>
          <w:lang w:val="en-US" w:eastAsia="zh-CN"/>
        </w:rPr>
      </w:pPr>
      <w:r>
        <w:rPr>
          <w:rFonts w:hint="default"/>
          <w:highlight w:val="none"/>
          <w:lang w:val="en-US" w:eastAsia="zh-CN"/>
        </w:rPr>
        <w:t>②根据分工或总指挥的安排，负责现场具体的指挥与协调；</w:t>
      </w:r>
    </w:p>
    <w:p w14:paraId="48D17539">
      <w:pPr>
        <w:bidi w:val="0"/>
        <w:rPr>
          <w:rFonts w:hint="default"/>
          <w:highlight w:val="none"/>
          <w:lang w:val="en-US" w:eastAsia="zh-CN"/>
        </w:rPr>
      </w:pPr>
      <w:r>
        <w:rPr>
          <w:rFonts w:hint="default"/>
          <w:highlight w:val="none"/>
          <w:lang w:val="en-US" w:eastAsia="zh-CN"/>
        </w:rPr>
        <w:t>③提出应急处置相关建议；</w:t>
      </w:r>
    </w:p>
    <w:p w14:paraId="23EF7879">
      <w:pPr>
        <w:bidi w:val="0"/>
        <w:rPr>
          <w:rFonts w:hint="default"/>
          <w:highlight w:val="none"/>
          <w:lang w:val="en-US" w:eastAsia="zh-CN"/>
        </w:rPr>
      </w:pPr>
      <w:r>
        <w:rPr>
          <w:rFonts w:hint="default"/>
          <w:highlight w:val="none"/>
          <w:lang w:val="en-US" w:eastAsia="zh-CN"/>
        </w:rPr>
        <w:t>④负责向场外人员通报应急相关信息；</w:t>
      </w:r>
    </w:p>
    <w:p w14:paraId="425EB83F">
      <w:pPr>
        <w:bidi w:val="0"/>
        <w:rPr>
          <w:rFonts w:hint="default"/>
          <w:highlight w:val="none"/>
          <w:lang w:val="en-US" w:eastAsia="zh-CN"/>
        </w:rPr>
      </w:pPr>
      <w:r>
        <w:rPr>
          <w:rFonts w:hint="default"/>
          <w:highlight w:val="none"/>
          <w:lang w:val="en-US" w:eastAsia="zh-CN"/>
        </w:rPr>
        <w:t>⑤负责统筹协调现场与场外的应急处置工作；</w:t>
      </w:r>
    </w:p>
    <w:p w14:paraId="1968C97C">
      <w:pPr>
        <w:bidi w:val="0"/>
        <w:rPr>
          <w:rFonts w:hint="default"/>
          <w:highlight w:val="none"/>
          <w:lang w:val="en-US" w:eastAsia="zh-CN"/>
        </w:rPr>
      </w:pPr>
      <w:r>
        <w:rPr>
          <w:rFonts w:hint="default"/>
          <w:highlight w:val="none"/>
          <w:lang w:val="en-US" w:eastAsia="zh-CN"/>
        </w:rPr>
        <w:t>⑥当取水停止后，牵头协调保障居民的用水；</w:t>
      </w:r>
    </w:p>
    <w:p w14:paraId="7F446269">
      <w:pPr>
        <w:bidi w:val="0"/>
        <w:rPr>
          <w:rFonts w:hint="default"/>
          <w:highlight w:val="none"/>
          <w:lang w:val="en-US" w:eastAsia="zh-CN"/>
        </w:rPr>
      </w:pPr>
      <w:r>
        <w:rPr>
          <w:rFonts w:hint="default"/>
          <w:highlight w:val="none"/>
          <w:lang w:val="en-US" w:eastAsia="zh-CN"/>
        </w:rPr>
        <w:t>⑦及时处置现场突发的各类紧急情况。</w:t>
      </w:r>
    </w:p>
    <w:p w14:paraId="06E0BECE">
      <w:pPr>
        <w:pStyle w:val="4"/>
        <w:bidi w:val="0"/>
        <w:rPr>
          <w:rFonts w:hint="default"/>
          <w:highlight w:val="none"/>
          <w:lang w:val="en-US" w:eastAsia="zh-CN"/>
        </w:rPr>
      </w:pPr>
      <w:bookmarkStart w:id="35" w:name="_Toc3685"/>
      <w:bookmarkStart w:id="36" w:name="_Toc8891"/>
      <w:r>
        <w:rPr>
          <w:rFonts w:hint="default"/>
          <w:highlight w:val="none"/>
          <w:lang w:val="en-US" w:eastAsia="zh-CN"/>
        </w:rPr>
        <w:t>3.2.3应急协调办公室主要职责</w:t>
      </w:r>
      <w:bookmarkEnd w:id="35"/>
      <w:bookmarkEnd w:id="36"/>
    </w:p>
    <w:p w14:paraId="737EF014">
      <w:pPr>
        <w:bidi w:val="0"/>
        <w:rPr>
          <w:rFonts w:hint="default"/>
          <w:highlight w:val="none"/>
          <w:lang w:val="en-US" w:eastAsia="zh-CN"/>
        </w:rPr>
      </w:pPr>
      <w:r>
        <w:rPr>
          <w:rFonts w:hint="default"/>
          <w:highlight w:val="none"/>
          <w:lang w:val="en-US" w:eastAsia="zh-CN"/>
        </w:rPr>
        <w:t>（1）日常职责</w:t>
      </w:r>
    </w:p>
    <w:p w14:paraId="66656343">
      <w:pPr>
        <w:bidi w:val="0"/>
        <w:rPr>
          <w:rFonts w:hint="default"/>
          <w:highlight w:val="none"/>
          <w:lang w:val="en-US" w:eastAsia="zh-CN"/>
        </w:rPr>
      </w:pPr>
      <w:r>
        <w:rPr>
          <w:rFonts w:hint="default"/>
          <w:highlight w:val="none"/>
          <w:lang w:val="en-US" w:eastAsia="zh-CN"/>
        </w:rPr>
        <w:t>①负责水源地应急预案的日常管理，开展预案培训和演练、应急救援队伍建设和能力评估等工作</w:t>
      </w:r>
      <w:r>
        <w:rPr>
          <w:rFonts w:hint="eastAsia"/>
          <w:highlight w:val="none"/>
          <w:lang w:val="en-US" w:eastAsia="zh-CN"/>
        </w:rPr>
        <w:t>；</w:t>
      </w:r>
    </w:p>
    <w:p w14:paraId="1DDC6AFD">
      <w:pPr>
        <w:bidi w:val="0"/>
        <w:rPr>
          <w:rFonts w:hint="default"/>
          <w:highlight w:val="none"/>
          <w:lang w:val="en-US" w:eastAsia="zh-CN"/>
        </w:rPr>
      </w:pPr>
      <w:r>
        <w:rPr>
          <w:rFonts w:hint="default"/>
          <w:highlight w:val="none"/>
          <w:lang w:val="en-US" w:eastAsia="zh-CN"/>
        </w:rPr>
        <w:t>②组织开展水源地突发环境事件风险防范和应急准备工作。</w:t>
      </w:r>
    </w:p>
    <w:p w14:paraId="445E4568">
      <w:pPr>
        <w:bidi w:val="0"/>
        <w:rPr>
          <w:rFonts w:hint="default"/>
          <w:highlight w:val="none"/>
          <w:lang w:val="en-US" w:eastAsia="zh-CN"/>
        </w:rPr>
      </w:pPr>
      <w:r>
        <w:rPr>
          <w:rFonts w:hint="default"/>
          <w:highlight w:val="none"/>
          <w:lang w:val="en-US" w:eastAsia="zh-CN"/>
        </w:rPr>
        <w:t>（2）应急职责</w:t>
      </w:r>
    </w:p>
    <w:p w14:paraId="04C28A75">
      <w:pPr>
        <w:bidi w:val="0"/>
        <w:rPr>
          <w:rFonts w:hint="default"/>
          <w:highlight w:val="none"/>
          <w:lang w:val="en-US" w:eastAsia="zh-CN"/>
        </w:rPr>
      </w:pPr>
      <w:r>
        <w:rPr>
          <w:rFonts w:hint="default"/>
          <w:highlight w:val="none"/>
          <w:lang w:val="en-US" w:eastAsia="zh-CN"/>
        </w:rPr>
        <w:t>①贯彻执行总指挥、副总指挥的各项指令和要求；</w:t>
      </w:r>
    </w:p>
    <w:p w14:paraId="180D86E9">
      <w:pPr>
        <w:bidi w:val="0"/>
        <w:rPr>
          <w:rFonts w:hint="default"/>
          <w:highlight w:val="none"/>
          <w:lang w:val="en-US" w:eastAsia="zh-CN"/>
        </w:rPr>
      </w:pPr>
      <w:r>
        <w:rPr>
          <w:rFonts w:hint="default"/>
          <w:highlight w:val="none"/>
          <w:lang w:val="en-US" w:eastAsia="zh-CN"/>
        </w:rPr>
        <w:t>②负责信息汇总上报，并与有关的外部应急部门、组织和机构进行联络；</w:t>
      </w:r>
    </w:p>
    <w:p w14:paraId="581A1656">
      <w:pPr>
        <w:bidi w:val="0"/>
        <w:rPr>
          <w:rFonts w:hint="default"/>
          <w:highlight w:val="none"/>
          <w:lang w:val="en-US" w:eastAsia="zh-CN"/>
        </w:rPr>
      </w:pPr>
      <w:r>
        <w:rPr>
          <w:rFonts w:hint="default"/>
          <w:highlight w:val="none"/>
          <w:lang w:val="en-US" w:eastAsia="zh-CN"/>
        </w:rPr>
        <w:t>③负责调动应急人员、调配应急资源和联络外部应急组织或机构；</w:t>
      </w:r>
    </w:p>
    <w:p w14:paraId="720B6FC0">
      <w:pPr>
        <w:bidi w:val="0"/>
        <w:rPr>
          <w:rFonts w:hint="default"/>
          <w:highlight w:val="none"/>
          <w:lang w:val="en-US" w:eastAsia="zh-CN"/>
        </w:rPr>
      </w:pPr>
      <w:r>
        <w:rPr>
          <w:rFonts w:hint="default"/>
          <w:highlight w:val="none"/>
          <w:lang w:val="en-US" w:eastAsia="zh-CN"/>
        </w:rPr>
        <w:t>④收集整理有关事件数据。</w:t>
      </w:r>
    </w:p>
    <w:p w14:paraId="24157040">
      <w:pPr>
        <w:pStyle w:val="4"/>
        <w:bidi w:val="0"/>
        <w:rPr>
          <w:rFonts w:hint="default"/>
          <w:highlight w:val="none"/>
          <w:lang w:val="en-US" w:eastAsia="zh-CN"/>
        </w:rPr>
      </w:pPr>
      <w:bookmarkStart w:id="37" w:name="_Toc31341"/>
      <w:bookmarkStart w:id="38" w:name="_Toc1861"/>
      <w:r>
        <w:rPr>
          <w:rFonts w:hint="default"/>
          <w:highlight w:val="none"/>
          <w:lang w:val="en-US" w:eastAsia="zh-CN"/>
        </w:rPr>
        <w:t>3.2.4成员单位主要职责</w:t>
      </w:r>
      <w:bookmarkEnd w:id="37"/>
      <w:bookmarkEnd w:id="38"/>
    </w:p>
    <w:p w14:paraId="491A1AA6">
      <w:pPr>
        <w:bidi w:val="0"/>
        <w:rPr>
          <w:rFonts w:hint="default"/>
          <w:highlight w:val="none"/>
          <w:lang w:val="en-US" w:eastAsia="zh-CN"/>
        </w:rPr>
      </w:pPr>
      <w:r>
        <w:rPr>
          <w:rFonts w:hint="default"/>
          <w:highlight w:val="none"/>
          <w:lang w:val="en-US" w:eastAsia="zh-CN"/>
        </w:rPr>
        <w:t>各成员单位主要职责如下：</w:t>
      </w:r>
    </w:p>
    <w:p w14:paraId="5300EF0C">
      <w:pPr>
        <w:bidi w:val="0"/>
        <w:rPr>
          <w:rFonts w:hint="default"/>
          <w:highlight w:val="none"/>
          <w:lang w:val="en-US" w:eastAsia="zh-CN"/>
        </w:rPr>
      </w:pPr>
      <w:r>
        <w:rPr>
          <w:rFonts w:hint="eastAsia"/>
          <w:lang w:val="en-US" w:eastAsia="zh-CN"/>
        </w:rPr>
        <w:t>山西杏花村汾酒集团有限责任公司：负责水源地日常保护工作。</w:t>
      </w:r>
    </w:p>
    <w:p w14:paraId="15F374C5">
      <w:pPr>
        <w:bidi w:val="0"/>
        <w:rPr>
          <w:rFonts w:hint="default"/>
          <w:highlight w:val="none"/>
          <w:lang w:val="en-US" w:eastAsia="zh-CN"/>
        </w:rPr>
      </w:pPr>
      <w:r>
        <w:rPr>
          <w:rFonts w:hint="eastAsia"/>
          <w:highlight w:val="none"/>
          <w:lang w:val="en-US" w:eastAsia="zh-CN"/>
        </w:rPr>
        <w:t>汾阳市</w:t>
      </w:r>
      <w:r>
        <w:rPr>
          <w:rFonts w:hint="default"/>
          <w:highlight w:val="none"/>
          <w:lang w:val="en-US" w:eastAsia="zh-CN"/>
        </w:rPr>
        <w:t>应急管理局：负责安全生产监管，防范企业生产安全事故次生水源地突发环境事件，及时上报并通报事故信息。处置因自然灾害、企业安全生产事故、违法排污等导致的水源地突发环境事件。负责有关应急物资的日常维护和使用管理。</w:t>
      </w:r>
    </w:p>
    <w:p w14:paraId="5C5BEF5B">
      <w:pPr>
        <w:bidi w:val="0"/>
        <w:rPr>
          <w:rFonts w:hint="default"/>
          <w:highlight w:val="none"/>
          <w:lang w:val="en-US" w:eastAsia="zh-CN"/>
        </w:rPr>
      </w:pPr>
      <w:r>
        <w:rPr>
          <w:rFonts w:hint="eastAsia"/>
          <w:highlight w:val="none"/>
          <w:lang w:val="en-US" w:eastAsia="zh-CN"/>
        </w:rPr>
        <w:t>汾阳市</w:t>
      </w:r>
      <w:r>
        <w:rPr>
          <w:rFonts w:hint="default"/>
          <w:highlight w:val="none"/>
          <w:lang w:val="en-US" w:eastAsia="zh-CN"/>
        </w:rPr>
        <w:t>工</w:t>
      </w:r>
      <w:r>
        <w:rPr>
          <w:rFonts w:hint="eastAsia"/>
          <w:highlight w:val="none"/>
          <w:lang w:val="en-US" w:eastAsia="zh-CN"/>
        </w:rPr>
        <w:t>科</w:t>
      </w:r>
      <w:r>
        <w:rPr>
          <w:rFonts w:hint="default"/>
          <w:highlight w:val="none"/>
          <w:lang w:val="en-US" w:eastAsia="zh-CN"/>
        </w:rPr>
        <w:t>局：负责应急状态下紧缺物资生产组织工作；做好通信保障应急工作，确保应急处置现场的通信网络畅通。</w:t>
      </w:r>
    </w:p>
    <w:p w14:paraId="475BB5F9">
      <w:pPr>
        <w:bidi w:val="0"/>
        <w:rPr>
          <w:rFonts w:hint="default"/>
          <w:highlight w:val="none"/>
          <w:lang w:val="en-US" w:eastAsia="zh-CN"/>
        </w:rPr>
      </w:pPr>
      <w:r>
        <w:rPr>
          <w:rFonts w:hint="eastAsia"/>
          <w:highlight w:val="none"/>
          <w:lang w:val="en-US" w:eastAsia="zh-CN"/>
        </w:rPr>
        <w:t>汾阳市</w:t>
      </w:r>
      <w:r>
        <w:rPr>
          <w:rFonts w:hint="default"/>
          <w:highlight w:val="none"/>
          <w:lang w:val="en-US" w:eastAsia="zh-CN"/>
        </w:rPr>
        <w:t>财政局：负责保障水源地突发环境事件应急管理工作和应急处置期间的费用。</w:t>
      </w:r>
    </w:p>
    <w:p w14:paraId="603E2787">
      <w:pPr>
        <w:bidi w:val="0"/>
        <w:rPr>
          <w:rFonts w:hint="default"/>
          <w:highlight w:val="none"/>
          <w:lang w:val="en-US" w:eastAsia="zh-CN"/>
        </w:rPr>
      </w:pPr>
      <w:r>
        <w:rPr>
          <w:rFonts w:hint="default"/>
          <w:highlight w:val="none"/>
          <w:lang w:val="en-US" w:eastAsia="zh-CN"/>
        </w:rPr>
        <w:t>汾阳市民政局和人力资源社会保障局</w:t>
      </w:r>
      <w:r>
        <w:rPr>
          <w:rFonts w:hint="eastAsia"/>
          <w:highlight w:val="none"/>
          <w:lang w:val="en-US" w:eastAsia="zh-CN"/>
        </w:rPr>
        <w:t>：负责应急物资发放。</w:t>
      </w:r>
    </w:p>
    <w:p w14:paraId="225A31B2">
      <w:pPr>
        <w:bidi w:val="0"/>
        <w:rPr>
          <w:rFonts w:hint="default"/>
          <w:highlight w:val="none"/>
          <w:lang w:val="en-US" w:eastAsia="zh-CN"/>
        </w:rPr>
      </w:pPr>
      <w:r>
        <w:rPr>
          <w:rFonts w:hint="eastAsia"/>
          <w:highlight w:val="none"/>
          <w:lang w:val="en-US" w:eastAsia="zh-CN"/>
        </w:rPr>
        <w:t>汾阳市住房和城乡建设管理局</w:t>
      </w:r>
      <w:r>
        <w:rPr>
          <w:rFonts w:hint="default"/>
          <w:highlight w:val="none"/>
          <w:lang w:val="en-US" w:eastAsia="zh-CN"/>
        </w:rPr>
        <w:t>：指导</w:t>
      </w:r>
      <w:r>
        <w:rPr>
          <w:rFonts w:hint="eastAsia"/>
          <w:highlight w:val="none"/>
          <w:lang w:val="en-US" w:eastAsia="zh-CN"/>
        </w:rPr>
        <w:t>市</w:t>
      </w:r>
      <w:r>
        <w:rPr>
          <w:rFonts w:hint="default"/>
          <w:highlight w:val="none"/>
          <w:lang w:val="en-US" w:eastAsia="zh-CN"/>
        </w:rPr>
        <w:t>自来水公司的应急救援工作，组织</w:t>
      </w:r>
      <w:r>
        <w:rPr>
          <w:rFonts w:hint="eastAsia"/>
          <w:highlight w:val="none"/>
          <w:lang w:val="en-US" w:eastAsia="zh-CN"/>
        </w:rPr>
        <w:t>市</w:t>
      </w:r>
      <w:r>
        <w:rPr>
          <w:rFonts w:hint="default"/>
          <w:highlight w:val="none"/>
          <w:lang w:val="en-US" w:eastAsia="zh-CN"/>
        </w:rPr>
        <w:t>自来水公司进行应急监测，向事故水源地应急供水等应急工作。</w:t>
      </w:r>
    </w:p>
    <w:p w14:paraId="5A30509E">
      <w:pPr>
        <w:bidi w:val="0"/>
        <w:rPr>
          <w:rFonts w:hint="default"/>
          <w:highlight w:val="none"/>
          <w:lang w:val="en-US" w:eastAsia="zh-CN"/>
        </w:rPr>
      </w:pPr>
      <w:r>
        <w:rPr>
          <w:rFonts w:hint="default"/>
          <w:highlight w:val="none"/>
          <w:lang w:val="en-US" w:eastAsia="zh-CN"/>
        </w:rPr>
        <w:t>汾阳市交通运输局</w:t>
      </w:r>
      <w:r>
        <w:rPr>
          <w:rFonts w:hint="eastAsia"/>
          <w:highlight w:val="none"/>
          <w:lang w:val="en-US" w:eastAsia="zh-CN"/>
        </w:rPr>
        <w:t>：</w:t>
      </w:r>
      <w:r>
        <w:rPr>
          <w:rFonts w:hint="default"/>
          <w:highlight w:val="none"/>
          <w:lang w:val="en-US" w:eastAsia="zh-CN"/>
        </w:rPr>
        <w:t>负责危险化学品运输车辆跨越水源保护区道路桥梁的日常应急管理工作，建设维护道路桥梁应急工程设施；协助处置交通事故次生的水源地突发环境事件，事故发生后及时启用道路桥梁应急工程设施，并负责保障应急物资运输车辆快速通行</w:t>
      </w:r>
      <w:r>
        <w:rPr>
          <w:rFonts w:hint="eastAsia"/>
          <w:highlight w:val="none"/>
          <w:lang w:val="en-US" w:eastAsia="zh-CN"/>
        </w:rPr>
        <w:t>。</w:t>
      </w:r>
    </w:p>
    <w:p w14:paraId="322BE108">
      <w:pPr>
        <w:bidi w:val="0"/>
        <w:rPr>
          <w:rFonts w:hint="default"/>
          <w:highlight w:val="none"/>
          <w:lang w:val="en-US" w:eastAsia="zh-CN"/>
        </w:rPr>
      </w:pPr>
      <w:r>
        <w:rPr>
          <w:rFonts w:hint="eastAsia"/>
          <w:highlight w:val="none"/>
          <w:lang w:val="en-US" w:eastAsia="zh-CN"/>
        </w:rPr>
        <w:t>吕梁</w:t>
      </w:r>
      <w:r>
        <w:rPr>
          <w:rFonts w:hint="default"/>
          <w:highlight w:val="none"/>
          <w:lang w:val="en-US" w:eastAsia="zh-CN"/>
        </w:rPr>
        <w:t>市生态环境局</w:t>
      </w:r>
      <w:r>
        <w:rPr>
          <w:rFonts w:hint="eastAsia"/>
          <w:highlight w:val="none"/>
          <w:lang w:val="en-US" w:eastAsia="zh-CN"/>
        </w:rPr>
        <w:t>汾阳</w:t>
      </w:r>
      <w:r>
        <w:rPr>
          <w:rFonts w:hint="default"/>
          <w:highlight w:val="none"/>
          <w:lang w:val="en-US" w:eastAsia="zh-CN"/>
        </w:rPr>
        <w:t>分局：组织编制、修订和批准水源地应急预案；负责水源地例行监测、及时上报并通报水源地水质异常信息，开展水源地污染防治的日常监督和管理；负责应急监测及事件排除后的跟踪监测，提出消除污染物的处置建议，督促、指导</w:t>
      </w:r>
      <w:r>
        <w:rPr>
          <w:rFonts w:hint="eastAsia"/>
          <w:highlight w:val="none"/>
          <w:lang w:val="en-US" w:eastAsia="zh-CN"/>
        </w:rPr>
        <w:t>相关部门</w:t>
      </w:r>
      <w:r>
        <w:rPr>
          <w:rFonts w:hint="default"/>
          <w:highlight w:val="none"/>
          <w:lang w:val="en-US" w:eastAsia="zh-CN"/>
        </w:rPr>
        <w:t>和单位开展水源地污染物削减处置等工作。</w:t>
      </w:r>
    </w:p>
    <w:p w14:paraId="5206E6DB">
      <w:pPr>
        <w:bidi w:val="0"/>
        <w:rPr>
          <w:rFonts w:hint="default"/>
          <w:highlight w:val="none"/>
          <w:lang w:val="en-US" w:eastAsia="zh-CN"/>
        </w:rPr>
      </w:pPr>
      <w:r>
        <w:rPr>
          <w:rFonts w:hint="eastAsia"/>
          <w:highlight w:val="none"/>
          <w:lang w:val="en-US" w:eastAsia="zh-CN"/>
        </w:rPr>
        <w:t>汾阳市</w:t>
      </w:r>
      <w:r>
        <w:rPr>
          <w:rFonts w:hint="default"/>
          <w:highlight w:val="none"/>
          <w:lang w:val="en-US" w:eastAsia="zh-CN"/>
        </w:rPr>
        <w:t>农业农村局：管理暴雨期间入河农灌退水排放行为，防范农业面源导致的水源地突发环境事件；协助处置因农业面源、渔业养殖导致的水源地突发环境事件。对具有农灌功能的水源地，在应急期间暂停农灌取水。</w:t>
      </w:r>
    </w:p>
    <w:p w14:paraId="64DD501E">
      <w:pPr>
        <w:bidi w:val="0"/>
        <w:rPr>
          <w:rFonts w:hint="default"/>
          <w:highlight w:val="none"/>
          <w:lang w:val="en-US" w:eastAsia="zh-CN"/>
        </w:rPr>
      </w:pPr>
      <w:r>
        <w:rPr>
          <w:rFonts w:hint="eastAsia"/>
          <w:highlight w:val="none"/>
          <w:lang w:val="en-US" w:eastAsia="zh-CN"/>
        </w:rPr>
        <w:t>汾阳市水务局：</w:t>
      </w:r>
      <w:r>
        <w:rPr>
          <w:rFonts w:hint="default"/>
          <w:highlight w:val="none"/>
          <w:lang w:val="en-US" w:eastAsia="zh-CN"/>
        </w:rPr>
        <w:t>负责指导水源地水利设施建设和管理；按照应急指挥部要求，利用水利工程进行污染团拦截、降污或调水稀释等工作；负责协调提供与水源地突发环境事件相关的水文监测资料；配合</w:t>
      </w:r>
      <w:r>
        <w:rPr>
          <w:rFonts w:hint="eastAsia"/>
          <w:highlight w:val="none"/>
          <w:lang w:val="en-US" w:eastAsia="zh-CN"/>
        </w:rPr>
        <w:t>相关部门</w:t>
      </w:r>
      <w:r>
        <w:rPr>
          <w:rFonts w:hint="default"/>
          <w:highlight w:val="none"/>
          <w:lang w:val="en-US" w:eastAsia="zh-CN"/>
        </w:rPr>
        <w:t>开展对水源水质及其受污染原因的调查和监测；参与分析总结饮用水水源地突发环境事件应急处置工作。</w:t>
      </w:r>
    </w:p>
    <w:p w14:paraId="22F71BA3">
      <w:pPr>
        <w:bidi w:val="0"/>
        <w:rPr>
          <w:rFonts w:hint="default"/>
          <w:highlight w:val="none"/>
          <w:lang w:val="en-US" w:eastAsia="zh-CN"/>
        </w:rPr>
      </w:pPr>
      <w:r>
        <w:rPr>
          <w:rFonts w:hint="eastAsia"/>
          <w:highlight w:val="none"/>
          <w:lang w:val="en-US" w:eastAsia="zh-CN"/>
        </w:rPr>
        <w:t>汾阳市自然资源局</w:t>
      </w:r>
      <w:r>
        <w:rPr>
          <w:rFonts w:hint="default"/>
          <w:highlight w:val="none"/>
          <w:lang w:val="en-US" w:eastAsia="zh-CN"/>
        </w:rPr>
        <w:t>：</w:t>
      </w:r>
      <w:r>
        <w:rPr>
          <w:rFonts w:hint="eastAsia"/>
          <w:highlight w:val="none"/>
          <w:lang w:val="en-US" w:eastAsia="zh-CN"/>
        </w:rPr>
        <w:t>规划适用于水源地突发环境事件应急处置的场地，保障水源地突发环境事件应急处置的场地</w:t>
      </w:r>
      <w:r>
        <w:rPr>
          <w:rFonts w:hint="default"/>
          <w:highlight w:val="none"/>
          <w:lang w:val="en-US" w:eastAsia="zh-CN"/>
        </w:rPr>
        <w:t>。负责指导由突发环境事件造成国土空间生态破坏的应急处置、调查处理和生态修复。</w:t>
      </w:r>
    </w:p>
    <w:p w14:paraId="3A2F0961">
      <w:pPr>
        <w:bidi w:val="0"/>
        <w:rPr>
          <w:rFonts w:hint="default"/>
          <w:highlight w:val="none"/>
          <w:lang w:val="en-US" w:eastAsia="zh-CN"/>
        </w:rPr>
      </w:pPr>
      <w:r>
        <w:rPr>
          <w:rFonts w:hint="eastAsia"/>
          <w:highlight w:val="none"/>
          <w:lang w:val="en-US" w:eastAsia="zh-CN"/>
        </w:rPr>
        <w:t>汾阳市</w:t>
      </w:r>
      <w:r>
        <w:rPr>
          <w:rFonts w:hint="default"/>
          <w:highlight w:val="none"/>
          <w:lang w:val="en-US" w:eastAsia="zh-CN"/>
        </w:rPr>
        <w:t>公安局：查处导致水源地突发环境事件的违法犯罪行为；负责组织地下水型水源地突发环境事件应急救援治安维护，交通管制，危险区域实施治安警戒，疏散群众，维护社会稳定。</w:t>
      </w:r>
    </w:p>
    <w:p w14:paraId="65684CD2">
      <w:pPr>
        <w:bidi w:val="0"/>
        <w:rPr>
          <w:rFonts w:hint="default"/>
          <w:highlight w:val="none"/>
          <w:lang w:val="en-US" w:eastAsia="zh-CN"/>
        </w:rPr>
      </w:pPr>
      <w:r>
        <w:rPr>
          <w:rFonts w:hint="eastAsia"/>
          <w:highlight w:val="none"/>
          <w:lang w:val="en-US" w:eastAsia="zh-CN"/>
        </w:rPr>
        <w:t>汾阳市</w:t>
      </w:r>
      <w:r>
        <w:rPr>
          <w:rFonts w:hint="default"/>
          <w:highlight w:val="none"/>
          <w:lang w:val="en-US" w:eastAsia="zh-CN"/>
        </w:rPr>
        <w:t>气象局：及时上报、通报和发布暴雨、洪水等气象信息。负责应急期间对事发地的天气开展气象要素的实时监测，及时提供应急事件预警预报所需的气象资料信息、天气预报和气象灾害预报、预警信息等气象信息。</w:t>
      </w:r>
    </w:p>
    <w:p w14:paraId="6C3B9847">
      <w:pPr>
        <w:bidi w:val="0"/>
        <w:rPr>
          <w:rFonts w:hint="default"/>
          <w:highlight w:val="none"/>
          <w:lang w:val="en-US" w:eastAsia="zh-CN"/>
        </w:rPr>
      </w:pPr>
      <w:r>
        <w:rPr>
          <w:rFonts w:hint="eastAsia"/>
          <w:highlight w:val="none"/>
          <w:lang w:val="en-US" w:eastAsia="zh-CN"/>
        </w:rPr>
        <w:t>汾阳市</w:t>
      </w:r>
      <w:r>
        <w:rPr>
          <w:rFonts w:hint="default"/>
          <w:highlight w:val="none"/>
          <w:lang w:val="en-US" w:eastAsia="zh-CN"/>
        </w:rPr>
        <w:t>卫生</w:t>
      </w:r>
      <w:r>
        <w:rPr>
          <w:rFonts w:hint="eastAsia"/>
          <w:highlight w:val="none"/>
          <w:lang w:val="en-US" w:eastAsia="zh-CN"/>
        </w:rPr>
        <w:t>健康</w:t>
      </w:r>
      <w:r>
        <w:rPr>
          <w:rFonts w:hint="default"/>
          <w:highlight w:val="none"/>
          <w:lang w:val="en-US" w:eastAsia="zh-CN"/>
        </w:rPr>
        <w:t>局</w:t>
      </w:r>
      <w:r>
        <w:rPr>
          <w:rFonts w:hint="eastAsia"/>
          <w:highlight w:val="none"/>
          <w:lang w:val="en-US" w:eastAsia="zh-CN"/>
        </w:rPr>
        <w:t>、汾阳市疾病预防控制中心</w:t>
      </w:r>
      <w:r>
        <w:rPr>
          <w:rFonts w:hint="default"/>
          <w:highlight w:val="none"/>
          <w:lang w:val="en-US" w:eastAsia="zh-CN"/>
        </w:rPr>
        <w:t>：负责自来水管网末梢水水质卫生日常管理，及时上报并通报管网末梢水水质异常信息；负责管网末梢水水质应急监测，确保应急期间居民饮水卫生安全。组织、协调、指导开展突发环境事件应急医疗卫生救援、疾病预防控制工作。</w:t>
      </w:r>
    </w:p>
    <w:p w14:paraId="02E5C4DF">
      <w:pPr>
        <w:bidi w:val="0"/>
        <w:rPr>
          <w:rFonts w:hint="default"/>
          <w:highlight w:val="none"/>
          <w:lang w:val="en-US" w:eastAsia="zh-CN"/>
        </w:rPr>
      </w:pPr>
      <w:r>
        <w:rPr>
          <w:rFonts w:hint="eastAsia"/>
          <w:highlight w:val="none"/>
          <w:lang w:val="en-US" w:eastAsia="zh-CN"/>
        </w:rPr>
        <w:t>汾阳市教育体育</w:t>
      </w:r>
      <w:r>
        <w:rPr>
          <w:rFonts w:hint="default"/>
          <w:highlight w:val="none"/>
          <w:lang w:val="en-US" w:eastAsia="zh-CN"/>
        </w:rPr>
        <w:t>局：负责全</w:t>
      </w:r>
      <w:r>
        <w:rPr>
          <w:rFonts w:hint="eastAsia"/>
          <w:highlight w:val="none"/>
          <w:lang w:val="en-US" w:eastAsia="zh-CN"/>
        </w:rPr>
        <w:t>市</w:t>
      </w:r>
      <w:r>
        <w:rPr>
          <w:rFonts w:hint="default"/>
          <w:highlight w:val="none"/>
          <w:lang w:val="en-US" w:eastAsia="zh-CN"/>
        </w:rPr>
        <w:t>各类学校的突发环境事件应急避险、救援等宣传教育工作。在突发事件涉及学校的情形下，指导学校制定安全饮水方案并组织实施，做好学生的临时安置和教学工作。</w:t>
      </w:r>
    </w:p>
    <w:p w14:paraId="613BBE39">
      <w:pPr>
        <w:bidi w:val="0"/>
        <w:rPr>
          <w:rFonts w:hint="default"/>
          <w:highlight w:val="none"/>
          <w:lang w:val="en-US" w:eastAsia="zh-CN"/>
        </w:rPr>
      </w:pPr>
      <w:r>
        <w:rPr>
          <w:rFonts w:hint="default"/>
          <w:highlight w:val="none"/>
          <w:lang w:val="en-US" w:eastAsia="zh-CN"/>
        </w:rPr>
        <w:t>汾阳市消防救援大队：负责在应急专家组的指导下处理污染源，参加现场抢险、排险、救援处置工作；在处置火灾爆炸事故时，防止消防水进入水源地及其连接水体；配合公安机关维护当地社会秩序，保障人民生命财产。</w:t>
      </w:r>
    </w:p>
    <w:p w14:paraId="5BABE504">
      <w:pPr>
        <w:bidi w:val="0"/>
        <w:rPr>
          <w:rFonts w:hint="default"/>
          <w:highlight w:val="none"/>
          <w:lang w:val="en-US" w:eastAsia="zh-CN"/>
        </w:rPr>
      </w:pPr>
      <w:r>
        <w:rPr>
          <w:rFonts w:hint="default"/>
          <w:highlight w:val="none"/>
          <w:lang w:val="en-US" w:eastAsia="zh-CN"/>
        </w:rPr>
        <w:t>汾阳市融媒体中心：负责开展地下水型水源保护宣传工作。根据</w:t>
      </w:r>
      <w:r>
        <w:rPr>
          <w:rFonts w:hint="eastAsia"/>
          <w:highlight w:val="none"/>
          <w:lang w:val="en-US" w:eastAsia="zh-CN"/>
        </w:rPr>
        <w:t>汾阳市石门沟集中供水水源地</w:t>
      </w:r>
      <w:r>
        <w:rPr>
          <w:rFonts w:hint="default"/>
          <w:highlight w:val="none"/>
          <w:lang w:val="en-US" w:eastAsia="zh-CN"/>
        </w:rPr>
        <w:t>应急指挥部的安排，负责应急期间的新闻发布、对外通报和信息公开等工作，解决新闻报道中遇到的问题，正确引导舆论。</w:t>
      </w:r>
    </w:p>
    <w:p w14:paraId="713DD174">
      <w:pPr>
        <w:bidi w:val="0"/>
        <w:rPr>
          <w:rFonts w:hint="default"/>
          <w:highlight w:val="none"/>
          <w:lang w:val="en-US" w:eastAsia="zh-CN"/>
        </w:rPr>
      </w:pPr>
      <w:r>
        <w:rPr>
          <w:rFonts w:hint="default"/>
          <w:highlight w:val="none"/>
          <w:lang w:val="en-US" w:eastAsia="zh-CN"/>
        </w:rPr>
        <w:t>汾阳市电力公司：保障应急指挥救援正常供电。</w:t>
      </w:r>
    </w:p>
    <w:p w14:paraId="00213EC2">
      <w:pPr>
        <w:bidi w:val="0"/>
        <w:rPr>
          <w:rFonts w:hint="default"/>
          <w:highlight w:val="none"/>
          <w:lang w:val="en-US" w:eastAsia="zh-CN"/>
        </w:rPr>
      </w:pPr>
      <w:r>
        <w:rPr>
          <w:rFonts w:hint="default"/>
          <w:highlight w:val="none"/>
          <w:lang w:val="en-US" w:eastAsia="zh-CN"/>
        </w:rPr>
        <w:t>汾阳市自来水公司</w:t>
      </w:r>
      <w:r>
        <w:rPr>
          <w:rFonts w:hint="eastAsia"/>
          <w:highlight w:val="none"/>
          <w:lang w:val="en-US" w:eastAsia="zh-CN"/>
        </w:rPr>
        <w:t>：负责制定应急供水保障方案，指导供水单位启动深度处理设施或备用应急供水车等措施，保障居民用水。</w:t>
      </w:r>
    </w:p>
    <w:p w14:paraId="7CD12317">
      <w:pPr>
        <w:bidi w:val="0"/>
        <w:rPr>
          <w:rFonts w:hint="default" w:ascii="Times New Roman" w:hAnsi="Times New Roman" w:eastAsia="仿宋" w:cs="Times New Roman"/>
          <w:szCs w:val="28"/>
          <w:lang w:val="en-US"/>
        </w:rPr>
      </w:pPr>
      <w:r>
        <w:rPr>
          <w:rFonts w:hint="default"/>
          <w:lang w:val="en-US" w:eastAsia="zh-CN"/>
        </w:rPr>
        <w:t>应急指挥机构及成员单位职责</w:t>
      </w:r>
      <w:r>
        <w:rPr>
          <w:rFonts w:hint="eastAsia"/>
          <w:lang w:val="en-US" w:eastAsia="zh-CN"/>
        </w:rPr>
        <w:t>，见表3.2-1。</w:t>
      </w:r>
    </w:p>
    <w:p w14:paraId="102328B6">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textAlignment w:val="auto"/>
        <w:rPr>
          <w:rFonts w:hint="default" w:ascii="Times New Roman" w:hAnsi="Times New Roman" w:eastAsia="仿宋" w:cs="Times New Roman"/>
          <w:sz w:val="28"/>
          <w:szCs w:val="28"/>
        </w:rPr>
        <w:sectPr>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pPr>
    </w:p>
    <w:p w14:paraId="13BF142E">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b/>
          <w:bCs/>
          <w:sz w:val="28"/>
          <w:szCs w:val="28"/>
          <w:lang w:val="en-US" w:eastAsia="zh-CN"/>
        </w:rPr>
      </w:pPr>
      <w:r>
        <w:rPr>
          <w:rFonts w:hint="eastAsia" w:ascii="Times New Roman" w:hAnsi="Times New Roman" w:eastAsia="仿宋" w:cs="Times New Roman"/>
          <w:b/>
          <w:bCs/>
          <w:sz w:val="24"/>
          <w:szCs w:val="24"/>
          <w:lang w:val="en-US" w:eastAsia="zh-CN"/>
        </w:rPr>
        <w:t>表3</w:t>
      </w:r>
      <w:r>
        <w:rPr>
          <w:rFonts w:hint="eastAsia" w:ascii="Times New Roman" w:hAnsi="Times New Roman" w:cs="Times New Roman"/>
          <w:b/>
          <w:bCs/>
          <w:sz w:val="24"/>
          <w:szCs w:val="24"/>
          <w:lang w:val="en-US" w:eastAsia="zh-CN"/>
        </w:rPr>
        <w:t>.2</w:t>
      </w:r>
      <w:r>
        <w:rPr>
          <w:rFonts w:hint="eastAsia" w:ascii="Times New Roman" w:hAnsi="Times New Roman" w:eastAsia="仿宋" w:cs="Times New Roman"/>
          <w:b/>
          <w:bCs/>
          <w:sz w:val="24"/>
          <w:szCs w:val="24"/>
          <w:lang w:val="en-US" w:eastAsia="zh-CN"/>
        </w:rPr>
        <w:t>-1</w:t>
      </w:r>
      <w:r>
        <w:rPr>
          <w:rFonts w:hint="default" w:ascii="Times New Roman" w:hAnsi="Times New Roman" w:eastAsia="仿宋" w:cs="Times New Roman"/>
          <w:b/>
          <w:bCs/>
          <w:sz w:val="24"/>
          <w:szCs w:val="24"/>
          <w:lang w:val="en-US" w:eastAsia="zh-CN"/>
        </w:rPr>
        <w:t>应急指挥机构及成员单位职责表应急组织指挥机构表</w:t>
      </w:r>
    </w:p>
    <w:tbl>
      <w:tblPr>
        <w:tblStyle w:val="28"/>
        <w:tblW w:w="5184"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3"/>
        <w:gridCol w:w="595"/>
        <w:gridCol w:w="1"/>
        <w:gridCol w:w="1253"/>
        <w:gridCol w:w="1253"/>
        <w:gridCol w:w="1112"/>
        <w:gridCol w:w="974"/>
        <w:gridCol w:w="3977"/>
        <w:gridCol w:w="4660"/>
      </w:tblGrid>
      <w:tr w14:paraId="0D6BBF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864" w:type="pct"/>
            <w:gridSpan w:val="4"/>
            <w:noWrap w:val="0"/>
            <w:vAlign w:val="center"/>
          </w:tcPr>
          <w:p w14:paraId="2251B0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4"/>
                <w:szCs w:val="24"/>
                <w:highlight w:val="none"/>
              </w:rPr>
            </w:pPr>
            <w:bookmarkStart w:id="39" w:name="_Toc6850"/>
            <w:r>
              <w:rPr>
                <w:rFonts w:hint="default" w:ascii="Times New Roman" w:hAnsi="Times New Roman" w:eastAsia="仿宋" w:cs="Times New Roman"/>
                <w:b/>
                <w:bCs/>
                <w:sz w:val="24"/>
                <w:szCs w:val="24"/>
                <w:highlight w:val="none"/>
              </w:rPr>
              <w:t>应急组织指挥机构</w:t>
            </w:r>
          </w:p>
        </w:tc>
        <w:tc>
          <w:tcPr>
            <w:tcW w:w="432" w:type="pct"/>
            <w:noWrap w:val="0"/>
            <w:vAlign w:val="center"/>
          </w:tcPr>
          <w:p w14:paraId="5FC171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4"/>
                <w:szCs w:val="24"/>
                <w:highlight w:val="none"/>
              </w:rPr>
            </w:pPr>
            <w:r>
              <w:rPr>
                <w:rFonts w:hint="default" w:ascii="Times New Roman" w:hAnsi="Times New Roman" w:eastAsia="仿宋" w:cs="Times New Roman"/>
                <w:b/>
                <w:bCs/>
                <w:sz w:val="24"/>
                <w:szCs w:val="24"/>
                <w:highlight w:val="none"/>
              </w:rPr>
              <w:t>负责人</w:t>
            </w:r>
          </w:p>
        </w:tc>
        <w:tc>
          <w:tcPr>
            <w:tcW w:w="384" w:type="pct"/>
            <w:noWrap w:val="0"/>
            <w:vAlign w:val="center"/>
          </w:tcPr>
          <w:p w14:paraId="083D62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4"/>
                <w:szCs w:val="24"/>
                <w:highlight w:val="none"/>
              </w:rPr>
            </w:pPr>
            <w:r>
              <w:rPr>
                <w:rFonts w:hint="default" w:ascii="Times New Roman" w:hAnsi="Times New Roman" w:eastAsia="仿宋" w:cs="Times New Roman"/>
                <w:b/>
                <w:bCs/>
                <w:sz w:val="24"/>
                <w:szCs w:val="24"/>
                <w:highlight w:val="none"/>
              </w:rPr>
              <w:t>联系电话</w:t>
            </w:r>
          </w:p>
        </w:tc>
        <w:tc>
          <w:tcPr>
            <w:tcW w:w="336" w:type="pct"/>
            <w:noWrap w:val="0"/>
            <w:vAlign w:val="center"/>
          </w:tcPr>
          <w:p w14:paraId="575A0A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4"/>
                <w:szCs w:val="24"/>
                <w:highlight w:val="none"/>
              </w:rPr>
            </w:pPr>
            <w:r>
              <w:rPr>
                <w:rFonts w:hint="default" w:ascii="Times New Roman" w:hAnsi="Times New Roman" w:eastAsia="仿宋" w:cs="Times New Roman"/>
                <w:b/>
                <w:bCs/>
                <w:sz w:val="24"/>
                <w:szCs w:val="24"/>
                <w:highlight w:val="none"/>
              </w:rPr>
              <w:t>职务</w:t>
            </w:r>
          </w:p>
        </w:tc>
        <w:tc>
          <w:tcPr>
            <w:tcW w:w="1373" w:type="pct"/>
            <w:noWrap w:val="0"/>
            <w:vAlign w:val="center"/>
          </w:tcPr>
          <w:p w14:paraId="522475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4"/>
                <w:szCs w:val="24"/>
                <w:highlight w:val="none"/>
              </w:rPr>
            </w:pPr>
            <w:r>
              <w:rPr>
                <w:rFonts w:hint="default" w:ascii="Times New Roman" w:hAnsi="Times New Roman" w:eastAsia="仿宋" w:cs="Times New Roman"/>
                <w:b/>
                <w:bCs/>
                <w:sz w:val="24"/>
                <w:szCs w:val="24"/>
                <w:highlight w:val="none"/>
              </w:rPr>
              <w:t>日常职责</w:t>
            </w:r>
          </w:p>
        </w:tc>
        <w:tc>
          <w:tcPr>
            <w:tcW w:w="1609" w:type="pct"/>
            <w:noWrap w:val="0"/>
            <w:vAlign w:val="center"/>
          </w:tcPr>
          <w:p w14:paraId="658BFF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4"/>
                <w:szCs w:val="24"/>
                <w:highlight w:val="none"/>
              </w:rPr>
            </w:pPr>
            <w:r>
              <w:rPr>
                <w:rFonts w:hint="default" w:ascii="Times New Roman" w:hAnsi="Times New Roman" w:eastAsia="仿宋" w:cs="Times New Roman"/>
                <w:b/>
                <w:bCs/>
                <w:sz w:val="24"/>
                <w:szCs w:val="24"/>
                <w:highlight w:val="none"/>
              </w:rPr>
              <w:t>应急职责</w:t>
            </w:r>
          </w:p>
        </w:tc>
      </w:tr>
      <w:tr w14:paraId="632167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864" w:type="pct"/>
            <w:gridSpan w:val="4"/>
            <w:noWrap w:val="0"/>
            <w:vAlign w:val="center"/>
          </w:tcPr>
          <w:p w14:paraId="5F6D0B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总指挥</w:t>
            </w:r>
          </w:p>
        </w:tc>
        <w:tc>
          <w:tcPr>
            <w:tcW w:w="432" w:type="pct"/>
            <w:noWrap w:val="0"/>
            <w:vAlign w:val="center"/>
          </w:tcPr>
          <w:p w14:paraId="27343D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lang w:val="en-US" w:eastAsia="zh-CN"/>
              </w:rPr>
              <w:t>武胜</w:t>
            </w:r>
            <w:r>
              <w:rPr>
                <w:rFonts w:hint="default" w:ascii="Times New Roman" w:hAnsi="Times New Roman" w:eastAsia="仿宋" w:cs="Times New Roman"/>
                <w:sz w:val="24"/>
                <w:szCs w:val="24"/>
                <w:highlight w:val="none"/>
              </w:rPr>
              <w:t>强</w:t>
            </w:r>
          </w:p>
        </w:tc>
        <w:tc>
          <w:tcPr>
            <w:tcW w:w="384" w:type="pct"/>
            <w:noWrap w:val="0"/>
            <w:vAlign w:val="center"/>
          </w:tcPr>
          <w:p w14:paraId="1B1EF6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rPr>
              <w:t>0358-</w:t>
            </w:r>
            <w:r>
              <w:rPr>
                <w:rFonts w:hint="default" w:ascii="Times New Roman" w:hAnsi="Times New Roman" w:eastAsia="仿宋" w:cs="Times New Roman"/>
                <w:sz w:val="24"/>
                <w:szCs w:val="24"/>
                <w:highlight w:val="none"/>
                <w:lang w:val="en-US" w:eastAsia="zh-CN"/>
              </w:rPr>
              <w:t>7223620</w:t>
            </w:r>
          </w:p>
        </w:tc>
        <w:tc>
          <w:tcPr>
            <w:tcW w:w="336" w:type="pct"/>
            <w:noWrap w:val="0"/>
            <w:vAlign w:val="center"/>
          </w:tcPr>
          <w:p w14:paraId="5D5379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rPr>
            </w:pPr>
            <w:r>
              <w:rPr>
                <w:rFonts w:hint="default" w:ascii="Times New Roman" w:hAnsi="Times New Roman" w:eastAsia="仿宋" w:cs="Times New Roman"/>
                <w:sz w:val="24"/>
                <w:szCs w:val="24"/>
                <w:highlight w:val="none"/>
                <w:lang w:val="en-US" w:eastAsia="zh-CN"/>
              </w:rPr>
              <w:t>汾阳市政府党组成员</w:t>
            </w:r>
          </w:p>
        </w:tc>
        <w:tc>
          <w:tcPr>
            <w:tcW w:w="1373" w:type="pct"/>
            <w:noWrap w:val="0"/>
            <w:vAlign w:val="center"/>
          </w:tcPr>
          <w:p w14:paraId="5B55963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①贯彻执行国家、山西省、吕梁市人民政府及</w:t>
            </w:r>
            <w:r>
              <w:rPr>
                <w:rFonts w:hint="eastAsia" w:cs="Times New Roman"/>
                <w:sz w:val="24"/>
                <w:szCs w:val="24"/>
                <w:lang w:val="en-US" w:eastAsia="zh-CN"/>
              </w:rPr>
              <w:t>相关</w:t>
            </w:r>
            <w:r>
              <w:rPr>
                <w:rFonts w:hint="default" w:ascii="Times New Roman" w:hAnsi="Times New Roman" w:eastAsia="仿宋" w:cs="Times New Roman"/>
                <w:sz w:val="24"/>
                <w:szCs w:val="24"/>
              </w:rPr>
              <w:t>部门关于水源地突发环境事件的各项</w:t>
            </w:r>
            <w:r>
              <w:rPr>
                <w:rFonts w:hint="eastAsia" w:cs="Times New Roman"/>
                <w:sz w:val="24"/>
                <w:szCs w:val="24"/>
                <w:lang w:val="en-US" w:eastAsia="zh-CN"/>
              </w:rPr>
              <w:t>工作</w:t>
            </w:r>
            <w:r>
              <w:rPr>
                <w:rFonts w:hint="default" w:ascii="Times New Roman" w:hAnsi="Times New Roman" w:eastAsia="仿宋" w:cs="Times New Roman"/>
                <w:sz w:val="24"/>
                <w:szCs w:val="24"/>
              </w:rPr>
              <w:t>要求；</w:t>
            </w:r>
          </w:p>
          <w:p w14:paraId="60F1D4E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②</w:t>
            </w:r>
            <w:r>
              <w:rPr>
                <w:rFonts w:hint="eastAsia" w:cs="Times New Roman"/>
                <w:sz w:val="24"/>
                <w:szCs w:val="24"/>
                <w:lang w:val="en-US" w:eastAsia="zh-CN"/>
              </w:rPr>
              <w:t>牵头</w:t>
            </w:r>
            <w:r>
              <w:rPr>
                <w:rFonts w:hint="default" w:ascii="Times New Roman" w:hAnsi="Times New Roman" w:eastAsia="仿宋" w:cs="Times New Roman"/>
                <w:sz w:val="24"/>
                <w:szCs w:val="24"/>
              </w:rPr>
              <w:t>组织</w:t>
            </w:r>
            <w:r>
              <w:rPr>
                <w:rFonts w:hint="eastAsia" w:cs="Times New Roman"/>
                <w:sz w:val="24"/>
                <w:szCs w:val="24"/>
                <w:lang w:val="en-US" w:eastAsia="zh-CN"/>
              </w:rPr>
              <w:t>水源地应急预案的编制、修订与审批工作</w:t>
            </w:r>
            <w:r>
              <w:rPr>
                <w:rFonts w:hint="default" w:ascii="Times New Roman" w:hAnsi="Times New Roman" w:eastAsia="仿宋" w:cs="Times New Roman"/>
                <w:sz w:val="24"/>
                <w:szCs w:val="24"/>
              </w:rPr>
              <w:t>；</w:t>
            </w:r>
          </w:p>
          <w:p w14:paraId="2BEE2CC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③指导</w:t>
            </w:r>
            <w:r>
              <w:rPr>
                <w:rFonts w:hint="eastAsia" w:cs="Times New Roman"/>
                <w:sz w:val="24"/>
                <w:szCs w:val="24"/>
                <w:lang w:val="en-US" w:eastAsia="zh-CN"/>
              </w:rPr>
              <w:t>推进</w:t>
            </w:r>
            <w:r>
              <w:rPr>
                <w:rFonts w:hint="default" w:ascii="Times New Roman" w:hAnsi="Times New Roman" w:eastAsia="仿宋" w:cs="Times New Roman"/>
                <w:sz w:val="24"/>
                <w:szCs w:val="24"/>
              </w:rPr>
              <w:t>水源地突发环境事件应急管理体系建设</w:t>
            </w:r>
            <w:r>
              <w:rPr>
                <w:rFonts w:hint="eastAsia" w:cs="Times New Roman"/>
                <w:sz w:val="24"/>
                <w:szCs w:val="24"/>
                <w:lang w:val="en-US" w:eastAsia="zh-CN"/>
              </w:rPr>
              <w:t>工作</w:t>
            </w:r>
            <w:r>
              <w:rPr>
                <w:rFonts w:hint="default" w:ascii="Times New Roman" w:hAnsi="Times New Roman" w:eastAsia="仿宋" w:cs="Times New Roman"/>
                <w:sz w:val="24"/>
                <w:szCs w:val="24"/>
              </w:rPr>
              <w:t>；</w:t>
            </w:r>
          </w:p>
          <w:p w14:paraId="3A119A3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rPr>
              <w:t>④协调保障水源地突发环境事件应急管理工作</w:t>
            </w:r>
            <w:r>
              <w:rPr>
                <w:rFonts w:hint="eastAsia" w:cs="Times New Roman"/>
                <w:sz w:val="24"/>
                <w:szCs w:val="24"/>
                <w:lang w:val="en-US" w:eastAsia="zh-CN"/>
              </w:rPr>
              <w:t>的</w:t>
            </w:r>
            <w:r>
              <w:rPr>
                <w:rFonts w:hint="default" w:ascii="Times New Roman" w:hAnsi="Times New Roman" w:eastAsia="仿宋" w:cs="Times New Roman"/>
                <w:sz w:val="24"/>
                <w:szCs w:val="24"/>
              </w:rPr>
              <w:t>经费</w:t>
            </w:r>
          </w:p>
        </w:tc>
        <w:tc>
          <w:tcPr>
            <w:tcW w:w="1609" w:type="pct"/>
            <w:noWrap w:val="0"/>
            <w:vAlign w:val="center"/>
          </w:tcPr>
          <w:p w14:paraId="74D49F7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①</w:t>
            </w:r>
            <w:r>
              <w:rPr>
                <w:rFonts w:hint="eastAsia" w:cs="Times New Roman"/>
                <w:sz w:val="24"/>
                <w:szCs w:val="24"/>
                <w:lang w:val="en-US" w:eastAsia="zh-CN"/>
              </w:rPr>
              <w:t>当</w:t>
            </w:r>
            <w:r>
              <w:rPr>
                <w:rFonts w:hint="default" w:ascii="Times New Roman" w:hAnsi="Times New Roman" w:eastAsia="仿宋" w:cs="Times New Roman"/>
                <w:sz w:val="24"/>
                <w:szCs w:val="24"/>
              </w:rPr>
              <w:t>发生水源地突发环境事件时，</w:t>
            </w:r>
            <w:r>
              <w:rPr>
                <w:rFonts w:hint="eastAsia" w:cs="Times New Roman"/>
                <w:sz w:val="24"/>
                <w:szCs w:val="24"/>
                <w:lang w:val="en-US" w:eastAsia="zh-CN"/>
              </w:rPr>
              <w:t>总指挥</w:t>
            </w:r>
            <w:r>
              <w:rPr>
                <w:rFonts w:hint="default" w:ascii="Times New Roman" w:hAnsi="Times New Roman" w:eastAsia="仿宋" w:cs="Times New Roman"/>
                <w:sz w:val="24"/>
                <w:szCs w:val="24"/>
              </w:rPr>
              <w:t>亲自（或委托副总指挥）赶赴现场</w:t>
            </w:r>
            <w:r>
              <w:rPr>
                <w:rFonts w:hint="eastAsia" w:cs="Times New Roman"/>
                <w:sz w:val="24"/>
                <w:szCs w:val="24"/>
                <w:lang w:val="en-US" w:eastAsia="zh-CN"/>
              </w:rPr>
              <w:t>统筹</w:t>
            </w:r>
            <w:r>
              <w:rPr>
                <w:rFonts w:hint="default" w:ascii="Times New Roman" w:hAnsi="Times New Roman" w:eastAsia="仿宋" w:cs="Times New Roman"/>
                <w:sz w:val="24"/>
                <w:szCs w:val="24"/>
              </w:rPr>
              <w:t>指挥</w:t>
            </w:r>
            <w:r>
              <w:rPr>
                <w:rFonts w:hint="eastAsia" w:cs="Times New Roman"/>
                <w:sz w:val="24"/>
                <w:szCs w:val="24"/>
                <w:lang w:val="en-US" w:eastAsia="zh-CN"/>
              </w:rPr>
              <w:t>并</w:t>
            </w:r>
            <w:r>
              <w:rPr>
                <w:rFonts w:hint="default" w:ascii="Times New Roman" w:hAnsi="Times New Roman" w:eastAsia="仿宋" w:cs="Times New Roman"/>
                <w:sz w:val="24"/>
                <w:szCs w:val="24"/>
              </w:rPr>
              <w:t>组织开展应急处置</w:t>
            </w:r>
            <w:r>
              <w:rPr>
                <w:rFonts w:hint="eastAsia" w:cs="Times New Roman"/>
                <w:sz w:val="24"/>
                <w:szCs w:val="24"/>
                <w:lang w:val="en-US" w:eastAsia="zh-CN"/>
              </w:rPr>
              <w:t>工作</w:t>
            </w:r>
            <w:r>
              <w:rPr>
                <w:rFonts w:hint="default" w:ascii="Times New Roman" w:hAnsi="Times New Roman" w:eastAsia="仿宋" w:cs="Times New Roman"/>
                <w:sz w:val="24"/>
                <w:szCs w:val="24"/>
              </w:rPr>
              <w:t>；</w:t>
            </w:r>
          </w:p>
          <w:p w14:paraId="38219C5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②贯彻执行山西省、吕梁市人民政府及</w:t>
            </w:r>
            <w:r>
              <w:rPr>
                <w:rFonts w:hint="eastAsia" w:cs="Times New Roman"/>
                <w:sz w:val="24"/>
                <w:szCs w:val="24"/>
                <w:lang w:val="en-US" w:eastAsia="zh-CN"/>
              </w:rPr>
              <w:t>相关</w:t>
            </w:r>
            <w:r>
              <w:rPr>
                <w:rFonts w:hint="default" w:ascii="Times New Roman" w:hAnsi="Times New Roman" w:eastAsia="仿宋" w:cs="Times New Roman"/>
                <w:sz w:val="24"/>
                <w:szCs w:val="24"/>
              </w:rPr>
              <w:t>部门的应急指令；</w:t>
            </w:r>
          </w:p>
          <w:p w14:paraId="0F67DD0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③</w:t>
            </w:r>
            <w:r>
              <w:rPr>
                <w:rFonts w:hint="eastAsia" w:cs="Times New Roman"/>
                <w:sz w:val="24"/>
                <w:szCs w:val="24"/>
                <w:lang w:val="en-US" w:eastAsia="zh-CN"/>
              </w:rPr>
              <w:t>依据</w:t>
            </w:r>
            <w:r>
              <w:rPr>
                <w:rFonts w:hint="default" w:ascii="Times New Roman" w:hAnsi="Times New Roman" w:eastAsia="仿宋" w:cs="Times New Roman"/>
                <w:sz w:val="24"/>
                <w:szCs w:val="24"/>
              </w:rPr>
              <w:t>预警</w:t>
            </w:r>
            <w:r>
              <w:rPr>
                <w:rFonts w:hint="eastAsia" w:cs="Times New Roman"/>
                <w:sz w:val="24"/>
                <w:szCs w:val="24"/>
                <w:lang w:val="en-US" w:eastAsia="zh-CN"/>
              </w:rPr>
              <w:t>及</w:t>
            </w:r>
            <w:r>
              <w:rPr>
                <w:rFonts w:hint="default" w:ascii="Times New Roman" w:hAnsi="Times New Roman" w:eastAsia="仿宋" w:cs="Times New Roman"/>
                <w:sz w:val="24"/>
                <w:szCs w:val="24"/>
              </w:rPr>
              <w:t>应急启动</w:t>
            </w:r>
            <w:r>
              <w:rPr>
                <w:rFonts w:hint="eastAsia" w:cs="Times New Roman"/>
                <w:sz w:val="24"/>
                <w:szCs w:val="24"/>
                <w:lang w:eastAsia="zh-CN"/>
              </w:rPr>
              <w:t>、</w:t>
            </w:r>
            <w:r>
              <w:rPr>
                <w:rFonts w:hint="default" w:ascii="Times New Roman" w:hAnsi="Times New Roman" w:eastAsia="仿宋" w:cs="Times New Roman"/>
                <w:sz w:val="24"/>
                <w:szCs w:val="24"/>
              </w:rPr>
              <w:t>终止</w:t>
            </w:r>
            <w:r>
              <w:rPr>
                <w:rFonts w:hint="eastAsia" w:cs="Times New Roman"/>
                <w:sz w:val="24"/>
                <w:szCs w:val="24"/>
                <w:lang w:val="en-US" w:eastAsia="zh-CN"/>
              </w:rPr>
              <w:t>的判定</w:t>
            </w:r>
            <w:r>
              <w:rPr>
                <w:rFonts w:hint="default" w:ascii="Times New Roman" w:hAnsi="Times New Roman" w:eastAsia="仿宋" w:cs="Times New Roman"/>
                <w:sz w:val="24"/>
                <w:szCs w:val="24"/>
              </w:rPr>
              <w:t>条件，决定预案的启动或终止；</w:t>
            </w:r>
          </w:p>
          <w:p w14:paraId="6EFFDF0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④研判突发环境事件发展</w:t>
            </w:r>
            <w:r>
              <w:rPr>
                <w:rFonts w:hint="eastAsia" w:cs="Times New Roman"/>
                <w:sz w:val="24"/>
                <w:szCs w:val="24"/>
                <w:lang w:val="en-US" w:eastAsia="zh-CN"/>
              </w:rPr>
              <w:t>的</w:t>
            </w:r>
            <w:r>
              <w:rPr>
                <w:rFonts w:hint="default" w:ascii="Times New Roman" w:hAnsi="Times New Roman" w:eastAsia="仿宋" w:cs="Times New Roman"/>
                <w:sz w:val="24"/>
                <w:szCs w:val="24"/>
              </w:rPr>
              <w:t>态势，</w:t>
            </w:r>
            <w:r>
              <w:rPr>
                <w:rFonts w:hint="eastAsia" w:cs="Times New Roman"/>
                <w:sz w:val="24"/>
                <w:szCs w:val="24"/>
                <w:lang w:val="en-US" w:eastAsia="zh-CN"/>
              </w:rPr>
              <w:t>牵头</w:t>
            </w:r>
            <w:r>
              <w:rPr>
                <w:rFonts w:hint="default" w:ascii="Times New Roman" w:hAnsi="Times New Roman" w:eastAsia="仿宋" w:cs="Times New Roman"/>
                <w:sz w:val="24"/>
                <w:szCs w:val="24"/>
              </w:rPr>
              <w:t>制定并</w:t>
            </w:r>
            <w:r>
              <w:rPr>
                <w:rFonts w:hint="eastAsia" w:cs="Times New Roman"/>
                <w:sz w:val="24"/>
                <w:szCs w:val="24"/>
                <w:lang w:val="en-US" w:eastAsia="zh-CN"/>
              </w:rPr>
              <w:t>审批</w:t>
            </w:r>
            <w:r>
              <w:rPr>
                <w:rFonts w:hint="default" w:ascii="Times New Roman" w:hAnsi="Times New Roman" w:eastAsia="仿宋" w:cs="Times New Roman"/>
                <w:sz w:val="24"/>
                <w:szCs w:val="24"/>
              </w:rPr>
              <w:t>现场处置方案；</w:t>
            </w:r>
          </w:p>
          <w:p w14:paraId="3D22368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rPr>
              <w:t>⑤组织开展损害评估等后期工作</w:t>
            </w:r>
          </w:p>
        </w:tc>
      </w:tr>
      <w:tr w14:paraId="5EDA8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jc w:val="center"/>
        </w:trPr>
        <w:tc>
          <w:tcPr>
            <w:tcW w:w="431" w:type="pct"/>
            <w:gridSpan w:val="2"/>
            <w:vMerge w:val="restart"/>
            <w:noWrap w:val="0"/>
            <w:vAlign w:val="center"/>
          </w:tcPr>
          <w:p w14:paraId="25E224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副总指挥</w:t>
            </w:r>
          </w:p>
        </w:tc>
        <w:tc>
          <w:tcPr>
            <w:tcW w:w="432" w:type="pct"/>
            <w:gridSpan w:val="2"/>
            <w:noWrap w:val="0"/>
            <w:vAlign w:val="center"/>
          </w:tcPr>
          <w:p w14:paraId="631828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lang w:val="en-US" w:eastAsia="zh-CN"/>
              </w:rPr>
              <w:t>汾阳杏花村经济技术开发区</w:t>
            </w:r>
          </w:p>
        </w:tc>
        <w:tc>
          <w:tcPr>
            <w:tcW w:w="432" w:type="pct"/>
            <w:noWrap w:val="0"/>
            <w:vAlign w:val="center"/>
          </w:tcPr>
          <w:p w14:paraId="66941F8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eastAsia" w:cs="Times New Roman"/>
                <w:sz w:val="24"/>
                <w:szCs w:val="24"/>
                <w:highlight w:val="none"/>
                <w:lang w:val="en-US" w:eastAsia="zh-CN"/>
              </w:rPr>
              <w:t>郝耀光</w:t>
            </w:r>
          </w:p>
        </w:tc>
        <w:tc>
          <w:tcPr>
            <w:tcW w:w="384" w:type="pct"/>
            <w:noWrap w:val="0"/>
            <w:vAlign w:val="center"/>
          </w:tcPr>
          <w:p w14:paraId="15713DE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rPr>
            </w:pPr>
            <w:r>
              <w:rPr>
                <w:rFonts w:hint="eastAsia" w:cs="Times New Roman"/>
                <w:sz w:val="24"/>
                <w:szCs w:val="24"/>
                <w:highlight w:val="none"/>
                <w:lang w:val="en-US" w:eastAsia="zh-CN"/>
              </w:rPr>
              <w:t>0358-7529889</w:t>
            </w:r>
          </w:p>
        </w:tc>
        <w:tc>
          <w:tcPr>
            <w:tcW w:w="336" w:type="pct"/>
            <w:noWrap w:val="0"/>
            <w:vAlign w:val="center"/>
          </w:tcPr>
          <w:p w14:paraId="7C5B3B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eastAsia="zh-CN"/>
              </w:rPr>
            </w:pPr>
            <w:r>
              <w:rPr>
                <w:rFonts w:hint="eastAsia" w:cs="Times New Roman"/>
                <w:sz w:val="24"/>
                <w:szCs w:val="24"/>
                <w:highlight w:val="none"/>
                <w:lang w:val="en-US" w:eastAsia="zh-CN"/>
              </w:rPr>
              <w:t>主任</w:t>
            </w:r>
          </w:p>
        </w:tc>
        <w:tc>
          <w:tcPr>
            <w:tcW w:w="1373" w:type="pct"/>
            <w:vMerge w:val="restart"/>
            <w:noWrap w:val="0"/>
            <w:vAlign w:val="center"/>
          </w:tcPr>
          <w:p w14:paraId="280BB1A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①协助总指挥</w:t>
            </w:r>
            <w:r>
              <w:rPr>
                <w:rFonts w:hint="eastAsia" w:cs="Times New Roman"/>
                <w:sz w:val="24"/>
                <w:szCs w:val="24"/>
                <w:lang w:val="en-US" w:eastAsia="zh-CN"/>
              </w:rPr>
              <w:t>推进各项相关</w:t>
            </w:r>
            <w:r>
              <w:rPr>
                <w:rFonts w:hint="default" w:ascii="Times New Roman" w:hAnsi="Times New Roman" w:eastAsia="仿宋" w:cs="Times New Roman"/>
                <w:sz w:val="24"/>
                <w:szCs w:val="24"/>
              </w:rPr>
              <w:t>工作；</w:t>
            </w:r>
          </w:p>
          <w:p w14:paraId="272A13E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②</w:t>
            </w:r>
            <w:r>
              <w:rPr>
                <w:rFonts w:hint="eastAsia" w:cs="Times New Roman"/>
                <w:sz w:val="24"/>
                <w:szCs w:val="24"/>
                <w:lang w:val="en-US" w:eastAsia="zh-CN"/>
              </w:rPr>
              <w:t>牵头</w:t>
            </w:r>
            <w:r>
              <w:rPr>
                <w:rFonts w:hint="default" w:ascii="Times New Roman" w:hAnsi="Times New Roman" w:eastAsia="仿宋" w:cs="Times New Roman"/>
                <w:sz w:val="24"/>
                <w:szCs w:val="24"/>
              </w:rPr>
              <w:t>组织</w:t>
            </w:r>
            <w:r>
              <w:rPr>
                <w:rFonts w:hint="eastAsia" w:cs="Times New Roman"/>
                <w:sz w:val="24"/>
                <w:szCs w:val="24"/>
                <w:lang w:val="en-US" w:eastAsia="zh-CN"/>
              </w:rPr>
              <w:t>并</w:t>
            </w:r>
            <w:r>
              <w:rPr>
                <w:rFonts w:hint="default" w:ascii="Times New Roman" w:hAnsi="Times New Roman" w:eastAsia="仿宋" w:cs="Times New Roman"/>
                <w:sz w:val="24"/>
                <w:szCs w:val="24"/>
              </w:rPr>
              <w:t>指导</w:t>
            </w:r>
            <w:r>
              <w:rPr>
                <w:rFonts w:hint="eastAsia" w:cs="Times New Roman"/>
                <w:sz w:val="24"/>
                <w:szCs w:val="24"/>
                <w:lang w:val="en-US" w:eastAsia="zh-CN"/>
              </w:rPr>
              <w:t>应急</w:t>
            </w:r>
            <w:r>
              <w:rPr>
                <w:rFonts w:hint="default" w:ascii="Times New Roman" w:hAnsi="Times New Roman" w:eastAsia="仿宋" w:cs="Times New Roman"/>
                <w:sz w:val="24"/>
                <w:szCs w:val="24"/>
              </w:rPr>
              <w:t>预案培训</w:t>
            </w:r>
            <w:r>
              <w:rPr>
                <w:rFonts w:hint="eastAsia" w:cs="Times New Roman"/>
                <w:sz w:val="24"/>
                <w:szCs w:val="24"/>
                <w:lang w:eastAsia="zh-CN"/>
              </w:rPr>
              <w:t>、</w:t>
            </w:r>
            <w:r>
              <w:rPr>
                <w:rFonts w:hint="default" w:ascii="Times New Roman" w:hAnsi="Times New Roman" w:eastAsia="仿宋" w:cs="Times New Roman"/>
                <w:sz w:val="24"/>
                <w:szCs w:val="24"/>
              </w:rPr>
              <w:t>演练</w:t>
            </w:r>
            <w:r>
              <w:rPr>
                <w:rFonts w:hint="eastAsia" w:cs="Times New Roman"/>
                <w:sz w:val="24"/>
                <w:szCs w:val="24"/>
                <w:lang w:val="en-US" w:eastAsia="zh-CN"/>
              </w:rPr>
              <w:t>及</w:t>
            </w:r>
            <w:r>
              <w:rPr>
                <w:rFonts w:hint="default" w:ascii="Times New Roman" w:hAnsi="Times New Roman" w:eastAsia="仿宋" w:cs="Times New Roman"/>
                <w:sz w:val="24"/>
                <w:szCs w:val="24"/>
              </w:rPr>
              <w:t>应急救援队伍建设</w:t>
            </w:r>
            <w:r>
              <w:rPr>
                <w:rFonts w:hint="eastAsia" w:cs="Times New Roman"/>
                <w:sz w:val="24"/>
                <w:szCs w:val="24"/>
                <w:lang w:val="en-US" w:eastAsia="zh-CN"/>
              </w:rPr>
              <w:t>与</w:t>
            </w:r>
            <w:r>
              <w:rPr>
                <w:rFonts w:hint="default" w:ascii="Times New Roman" w:hAnsi="Times New Roman" w:eastAsia="仿宋" w:cs="Times New Roman"/>
                <w:sz w:val="24"/>
                <w:szCs w:val="24"/>
              </w:rPr>
              <w:t>能力评估等工作；</w:t>
            </w:r>
          </w:p>
          <w:p w14:paraId="08408F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rPr>
              <w:t>③指导开展水源地突发环境事件</w:t>
            </w:r>
            <w:r>
              <w:rPr>
                <w:rFonts w:hint="eastAsia" w:cs="Times New Roman"/>
                <w:sz w:val="24"/>
                <w:szCs w:val="24"/>
                <w:lang w:val="en-US" w:eastAsia="zh-CN"/>
              </w:rPr>
              <w:t>的</w:t>
            </w:r>
            <w:r>
              <w:rPr>
                <w:rFonts w:hint="default" w:ascii="Times New Roman" w:hAnsi="Times New Roman" w:eastAsia="仿宋" w:cs="Times New Roman"/>
                <w:sz w:val="24"/>
                <w:szCs w:val="24"/>
              </w:rPr>
              <w:t>风险防范</w:t>
            </w:r>
            <w:r>
              <w:rPr>
                <w:rFonts w:hint="eastAsia" w:cs="Times New Roman"/>
                <w:sz w:val="24"/>
                <w:szCs w:val="24"/>
                <w:lang w:val="en-US" w:eastAsia="zh-CN"/>
              </w:rPr>
              <w:t>与</w:t>
            </w:r>
            <w:r>
              <w:rPr>
                <w:rFonts w:hint="default" w:ascii="Times New Roman" w:hAnsi="Times New Roman" w:eastAsia="仿宋" w:cs="Times New Roman"/>
                <w:sz w:val="24"/>
                <w:szCs w:val="24"/>
              </w:rPr>
              <w:t>应急准备工作</w:t>
            </w:r>
          </w:p>
        </w:tc>
        <w:tc>
          <w:tcPr>
            <w:tcW w:w="1609" w:type="pct"/>
            <w:vMerge w:val="restart"/>
            <w:noWrap w:val="0"/>
            <w:vAlign w:val="center"/>
          </w:tcPr>
          <w:p w14:paraId="5117FB2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①协助总指挥</w:t>
            </w:r>
            <w:r>
              <w:rPr>
                <w:rFonts w:hint="eastAsia" w:cs="Times New Roman"/>
                <w:sz w:val="24"/>
                <w:szCs w:val="24"/>
                <w:lang w:val="en-US" w:eastAsia="zh-CN"/>
              </w:rPr>
              <w:t>统筹</w:t>
            </w:r>
            <w:r>
              <w:rPr>
                <w:rFonts w:hint="default" w:ascii="Times New Roman" w:hAnsi="Times New Roman" w:eastAsia="仿宋" w:cs="Times New Roman"/>
                <w:sz w:val="24"/>
                <w:szCs w:val="24"/>
              </w:rPr>
              <w:t>组织现场应急处置</w:t>
            </w:r>
            <w:r>
              <w:rPr>
                <w:rFonts w:hint="eastAsia" w:cs="Times New Roman"/>
                <w:sz w:val="24"/>
                <w:szCs w:val="24"/>
                <w:lang w:val="en-US" w:eastAsia="zh-CN"/>
              </w:rPr>
              <w:t>工作</w:t>
            </w:r>
            <w:r>
              <w:rPr>
                <w:rFonts w:hint="default" w:ascii="Times New Roman" w:hAnsi="Times New Roman" w:eastAsia="仿宋" w:cs="Times New Roman"/>
                <w:sz w:val="24"/>
                <w:szCs w:val="24"/>
              </w:rPr>
              <w:t>；</w:t>
            </w:r>
          </w:p>
          <w:p w14:paraId="658B489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②根据分工或总指挥</w:t>
            </w:r>
            <w:r>
              <w:rPr>
                <w:rFonts w:hint="eastAsia" w:cs="Times New Roman"/>
                <w:sz w:val="24"/>
                <w:szCs w:val="24"/>
                <w:lang w:val="en-US" w:eastAsia="zh-CN"/>
              </w:rPr>
              <w:t>的</w:t>
            </w:r>
            <w:r>
              <w:rPr>
                <w:rFonts w:hint="default" w:ascii="Times New Roman" w:hAnsi="Times New Roman" w:eastAsia="仿宋" w:cs="Times New Roman"/>
                <w:sz w:val="24"/>
                <w:szCs w:val="24"/>
              </w:rPr>
              <w:t>安排，负责现场具体</w:t>
            </w:r>
            <w:r>
              <w:rPr>
                <w:rFonts w:hint="eastAsia" w:cs="Times New Roman"/>
                <w:sz w:val="24"/>
                <w:szCs w:val="24"/>
                <w:lang w:val="en-US" w:eastAsia="zh-CN"/>
              </w:rPr>
              <w:t>的</w:t>
            </w:r>
            <w:r>
              <w:rPr>
                <w:rFonts w:hint="default" w:ascii="Times New Roman" w:hAnsi="Times New Roman" w:eastAsia="仿宋" w:cs="Times New Roman"/>
                <w:sz w:val="24"/>
                <w:szCs w:val="24"/>
              </w:rPr>
              <w:t>指挥</w:t>
            </w:r>
            <w:r>
              <w:rPr>
                <w:rFonts w:hint="eastAsia" w:cs="Times New Roman"/>
                <w:sz w:val="24"/>
                <w:szCs w:val="24"/>
                <w:lang w:val="en-US" w:eastAsia="zh-CN"/>
              </w:rPr>
              <w:t>与</w:t>
            </w:r>
            <w:r>
              <w:rPr>
                <w:rFonts w:hint="default" w:ascii="Times New Roman" w:hAnsi="Times New Roman" w:eastAsia="仿宋" w:cs="Times New Roman"/>
                <w:sz w:val="24"/>
                <w:szCs w:val="24"/>
              </w:rPr>
              <w:t>协调；</w:t>
            </w:r>
          </w:p>
          <w:p w14:paraId="091FAB7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③提出应急处置</w:t>
            </w:r>
            <w:r>
              <w:rPr>
                <w:rFonts w:hint="eastAsia" w:cs="Times New Roman"/>
                <w:sz w:val="24"/>
                <w:szCs w:val="24"/>
                <w:lang w:val="en-US" w:eastAsia="zh-CN"/>
              </w:rPr>
              <w:t>相关</w:t>
            </w:r>
            <w:r>
              <w:rPr>
                <w:rFonts w:hint="default" w:ascii="Times New Roman" w:hAnsi="Times New Roman" w:eastAsia="仿宋" w:cs="Times New Roman"/>
                <w:sz w:val="24"/>
                <w:szCs w:val="24"/>
              </w:rPr>
              <w:t>建议；</w:t>
            </w:r>
          </w:p>
          <w:p w14:paraId="5058AD3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④负责向场外人员通报应急</w:t>
            </w:r>
            <w:r>
              <w:rPr>
                <w:rFonts w:hint="eastAsia" w:cs="Times New Roman"/>
                <w:sz w:val="24"/>
                <w:szCs w:val="24"/>
                <w:lang w:val="en-US" w:eastAsia="zh-CN"/>
              </w:rPr>
              <w:t>相关</w:t>
            </w:r>
            <w:r>
              <w:rPr>
                <w:rFonts w:hint="default" w:ascii="Times New Roman" w:hAnsi="Times New Roman" w:eastAsia="仿宋" w:cs="Times New Roman"/>
                <w:sz w:val="24"/>
                <w:szCs w:val="24"/>
              </w:rPr>
              <w:t>信息；</w:t>
            </w:r>
          </w:p>
          <w:p w14:paraId="3A4DEDA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⑤负责</w:t>
            </w:r>
            <w:r>
              <w:rPr>
                <w:rFonts w:hint="eastAsia" w:cs="Times New Roman"/>
                <w:sz w:val="24"/>
                <w:szCs w:val="24"/>
                <w:lang w:val="en-US" w:eastAsia="zh-CN"/>
              </w:rPr>
              <w:t>统筹</w:t>
            </w:r>
            <w:r>
              <w:rPr>
                <w:rFonts w:hint="default" w:ascii="Times New Roman" w:hAnsi="Times New Roman" w:eastAsia="仿宋" w:cs="Times New Roman"/>
                <w:sz w:val="24"/>
                <w:szCs w:val="24"/>
              </w:rPr>
              <w:t>协调现场与场外</w:t>
            </w:r>
            <w:r>
              <w:rPr>
                <w:rFonts w:hint="eastAsia" w:cs="Times New Roman"/>
                <w:sz w:val="24"/>
                <w:szCs w:val="24"/>
                <w:lang w:val="en-US" w:eastAsia="zh-CN"/>
              </w:rPr>
              <w:t>的</w:t>
            </w:r>
            <w:r>
              <w:rPr>
                <w:rFonts w:hint="default" w:ascii="Times New Roman" w:hAnsi="Times New Roman" w:eastAsia="仿宋" w:cs="Times New Roman"/>
                <w:sz w:val="24"/>
                <w:szCs w:val="24"/>
              </w:rPr>
              <w:t>应急处置工作；</w:t>
            </w:r>
          </w:p>
          <w:p w14:paraId="16C034C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⑥</w:t>
            </w:r>
            <w:r>
              <w:rPr>
                <w:rFonts w:hint="eastAsia" w:cs="Times New Roman"/>
                <w:sz w:val="24"/>
                <w:szCs w:val="24"/>
                <w:lang w:val="en-US" w:eastAsia="zh-CN"/>
              </w:rPr>
              <w:t>当</w:t>
            </w:r>
            <w:r>
              <w:rPr>
                <w:rFonts w:hint="default" w:ascii="Times New Roman" w:hAnsi="Times New Roman" w:eastAsia="仿宋" w:cs="Times New Roman"/>
                <w:sz w:val="24"/>
                <w:szCs w:val="24"/>
              </w:rPr>
              <w:t>取水停止后，</w:t>
            </w:r>
            <w:r>
              <w:rPr>
                <w:rFonts w:hint="eastAsia" w:cs="Times New Roman"/>
                <w:sz w:val="24"/>
                <w:szCs w:val="24"/>
                <w:lang w:val="en-US" w:eastAsia="zh-CN"/>
              </w:rPr>
              <w:t>牵头</w:t>
            </w:r>
            <w:r>
              <w:rPr>
                <w:rFonts w:hint="default" w:ascii="Times New Roman" w:hAnsi="Times New Roman" w:eastAsia="仿宋" w:cs="Times New Roman"/>
                <w:sz w:val="24"/>
                <w:szCs w:val="24"/>
              </w:rPr>
              <w:t>协调保障居民</w:t>
            </w:r>
            <w:r>
              <w:rPr>
                <w:rFonts w:hint="eastAsia" w:cs="Times New Roman"/>
                <w:sz w:val="24"/>
                <w:szCs w:val="24"/>
                <w:lang w:val="en-US" w:eastAsia="zh-CN"/>
              </w:rPr>
              <w:t>的</w:t>
            </w:r>
            <w:r>
              <w:rPr>
                <w:rFonts w:hint="default" w:ascii="Times New Roman" w:hAnsi="Times New Roman" w:eastAsia="仿宋" w:cs="Times New Roman"/>
                <w:sz w:val="24"/>
                <w:szCs w:val="24"/>
              </w:rPr>
              <w:t>用水；</w:t>
            </w:r>
          </w:p>
          <w:p w14:paraId="7D7BF64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rPr>
              <w:t>⑦</w:t>
            </w:r>
            <w:r>
              <w:rPr>
                <w:rFonts w:hint="eastAsia" w:cs="Times New Roman"/>
                <w:sz w:val="24"/>
                <w:szCs w:val="24"/>
                <w:lang w:val="en-US" w:eastAsia="zh-CN"/>
              </w:rPr>
              <w:t>及时</w:t>
            </w:r>
            <w:r>
              <w:rPr>
                <w:rFonts w:hint="default" w:ascii="Times New Roman" w:hAnsi="Times New Roman" w:eastAsia="仿宋" w:cs="Times New Roman"/>
                <w:sz w:val="24"/>
                <w:szCs w:val="24"/>
              </w:rPr>
              <w:t>处置现场</w:t>
            </w:r>
            <w:r>
              <w:rPr>
                <w:rFonts w:hint="eastAsia" w:cs="Times New Roman"/>
                <w:sz w:val="24"/>
                <w:szCs w:val="24"/>
                <w:lang w:val="en-US" w:eastAsia="zh-CN"/>
              </w:rPr>
              <w:t>突发</w:t>
            </w:r>
            <w:r>
              <w:rPr>
                <w:rFonts w:hint="default" w:ascii="Times New Roman" w:hAnsi="Times New Roman" w:eastAsia="仿宋" w:cs="Times New Roman"/>
                <w:sz w:val="24"/>
                <w:szCs w:val="24"/>
              </w:rPr>
              <w:t>的</w:t>
            </w:r>
            <w:r>
              <w:rPr>
                <w:rFonts w:hint="eastAsia" w:cs="Times New Roman"/>
                <w:sz w:val="24"/>
                <w:szCs w:val="24"/>
                <w:lang w:val="en-US" w:eastAsia="zh-CN"/>
              </w:rPr>
              <w:t>各类</w:t>
            </w:r>
            <w:r>
              <w:rPr>
                <w:rFonts w:hint="default" w:ascii="Times New Roman" w:hAnsi="Times New Roman" w:eastAsia="仿宋" w:cs="Times New Roman"/>
                <w:sz w:val="24"/>
                <w:szCs w:val="24"/>
              </w:rPr>
              <w:t>紧急情况。</w:t>
            </w:r>
          </w:p>
        </w:tc>
      </w:tr>
      <w:tr w14:paraId="3AE28F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jc w:val="center"/>
        </w:trPr>
        <w:tc>
          <w:tcPr>
            <w:tcW w:w="431" w:type="pct"/>
            <w:gridSpan w:val="2"/>
            <w:vMerge w:val="continue"/>
            <w:noWrap w:val="0"/>
            <w:vAlign w:val="center"/>
          </w:tcPr>
          <w:p w14:paraId="34D672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rPr>
            </w:pPr>
          </w:p>
        </w:tc>
        <w:tc>
          <w:tcPr>
            <w:tcW w:w="432" w:type="pct"/>
            <w:gridSpan w:val="2"/>
            <w:noWrap w:val="0"/>
            <w:vAlign w:val="center"/>
          </w:tcPr>
          <w:p w14:paraId="45873A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lang w:val="en-US" w:eastAsia="zh-CN"/>
              </w:rPr>
              <w:t>杏花村镇人民政府</w:t>
            </w:r>
          </w:p>
        </w:tc>
        <w:tc>
          <w:tcPr>
            <w:tcW w:w="432" w:type="pct"/>
            <w:noWrap w:val="0"/>
            <w:vAlign w:val="center"/>
          </w:tcPr>
          <w:p w14:paraId="54DFEB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阮云波</w:t>
            </w:r>
          </w:p>
        </w:tc>
        <w:tc>
          <w:tcPr>
            <w:tcW w:w="384" w:type="pct"/>
            <w:noWrap w:val="0"/>
            <w:vAlign w:val="center"/>
          </w:tcPr>
          <w:p w14:paraId="5738FE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lang w:val="en-US" w:eastAsia="zh-CN"/>
              </w:rPr>
              <w:t>0358-2157211</w:t>
            </w:r>
          </w:p>
        </w:tc>
        <w:tc>
          <w:tcPr>
            <w:tcW w:w="336" w:type="pct"/>
            <w:noWrap w:val="0"/>
            <w:vAlign w:val="center"/>
          </w:tcPr>
          <w:p w14:paraId="5579EA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镇长</w:t>
            </w:r>
          </w:p>
        </w:tc>
        <w:tc>
          <w:tcPr>
            <w:tcW w:w="1373" w:type="pct"/>
            <w:vMerge w:val="continue"/>
            <w:noWrap w:val="0"/>
            <w:vAlign w:val="center"/>
          </w:tcPr>
          <w:p w14:paraId="5947F39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highlight w:val="none"/>
              </w:rPr>
            </w:pPr>
          </w:p>
        </w:tc>
        <w:tc>
          <w:tcPr>
            <w:tcW w:w="1609" w:type="pct"/>
            <w:vMerge w:val="continue"/>
            <w:noWrap w:val="0"/>
            <w:vAlign w:val="center"/>
          </w:tcPr>
          <w:p w14:paraId="706DF4A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highlight w:val="none"/>
              </w:rPr>
            </w:pPr>
          </w:p>
        </w:tc>
      </w:tr>
      <w:tr w14:paraId="45B4ED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jc w:val="center"/>
        </w:trPr>
        <w:tc>
          <w:tcPr>
            <w:tcW w:w="431" w:type="pct"/>
            <w:gridSpan w:val="3"/>
            <w:noWrap w:val="0"/>
            <w:vAlign w:val="center"/>
          </w:tcPr>
          <w:p w14:paraId="7473CA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eastAsia="zh-CN"/>
              </w:rPr>
            </w:pPr>
            <w:r>
              <w:rPr>
                <w:rFonts w:hint="default" w:ascii="Times New Roman" w:hAnsi="Times New Roman" w:eastAsia="仿宋" w:cs="Times New Roman"/>
                <w:sz w:val="24"/>
                <w:szCs w:val="24"/>
                <w:highlight w:val="none"/>
              </w:rPr>
              <w:t>应急指挥办公室</w:t>
            </w:r>
            <w:r>
              <w:rPr>
                <w:rFonts w:hint="default" w:ascii="Times New Roman" w:hAnsi="Times New Roman" w:eastAsia="仿宋" w:cs="Times New Roman"/>
                <w:sz w:val="24"/>
                <w:szCs w:val="24"/>
                <w:highlight w:val="none"/>
                <w:lang w:eastAsia="zh-CN"/>
              </w:rPr>
              <w:t>（</w:t>
            </w:r>
            <w:r>
              <w:rPr>
                <w:rFonts w:hint="default" w:ascii="Times New Roman" w:hAnsi="Times New Roman" w:eastAsia="仿宋" w:cs="Times New Roman"/>
                <w:sz w:val="24"/>
                <w:szCs w:val="24"/>
                <w:highlight w:val="none"/>
                <w:lang w:val="en-US" w:eastAsia="zh-CN"/>
              </w:rPr>
              <w:t>设在汾阳杏花村经济技术开发区</w:t>
            </w:r>
            <w:r>
              <w:rPr>
                <w:rFonts w:hint="default" w:ascii="Times New Roman" w:hAnsi="Times New Roman" w:eastAsia="仿宋" w:cs="Times New Roman"/>
                <w:sz w:val="24"/>
                <w:szCs w:val="24"/>
                <w:highlight w:val="none"/>
                <w:lang w:eastAsia="zh-CN"/>
              </w:rPr>
              <w:t>）</w:t>
            </w:r>
          </w:p>
        </w:tc>
        <w:tc>
          <w:tcPr>
            <w:tcW w:w="1253" w:type="dxa"/>
            <w:noWrap w:val="0"/>
            <w:vAlign w:val="center"/>
          </w:tcPr>
          <w:p w14:paraId="6B70750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lang w:val="en-US" w:eastAsia="zh-CN"/>
              </w:rPr>
              <w:t>汾阳杏花村经济技术开发区</w:t>
            </w:r>
          </w:p>
        </w:tc>
        <w:tc>
          <w:tcPr>
            <w:tcW w:w="1253" w:type="dxa"/>
            <w:noWrap w:val="0"/>
            <w:vAlign w:val="center"/>
          </w:tcPr>
          <w:p w14:paraId="0B4B9BC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highlight w:val="none"/>
                <w:lang w:val="en-US" w:eastAsia="zh-CN" w:bidi="ar-SA"/>
              </w:rPr>
            </w:pPr>
            <w:r>
              <w:rPr>
                <w:rFonts w:hint="eastAsia" w:cs="Times New Roman"/>
                <w:sz w:val="24"/>
                <w:szCs w:val="24"/>
                <w:highlight w:val="none"/>
                <w:lang w:val="en-US" w:eastAsia="zh-CN"/>
              </w:rPr>
              <w:t>郝耀光</w:t>
            </w:r>
          </w:p>
        </w:tc>
        <w:tc>
          <w:tcPr>
            <w:tcW w:w="1112" w:type="dxa"/>
            <w:noWrap w:val="0"/>
            <w:vAlign w:val="center"/>
          </w:tcPr>
          <w:p w14:paraId="7686137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highlight w:val="none"/>
                <w:lang w:val="en-US" w:eastAsia="zh-CN" w:bidi="ar-SA"/>
              </w:rPr>
            </w:pPr>
            <w:r>
              <w:rPr>
                <w:rFonts w:hint="eastAsia" w:cs="Times New Roman"/>
                <w:sz w:val="24"/>
                <w:szCs w:val="24"/>
                <w:highlight w:val="none"/>
                <w:lang w:val="en-US" w:eastAsia="zh-CN"/>
              </w:rPr>
              <w:t>0358-7529889</w:t>
            </w:r>
          </w:p>
        </w:tc>
        <w:tc>
          <w:tcPr>
            <w:tcW w:w="974" w:type="dxa"/>
            <w:noWrap w:val="0"/>
            <w:vAlign w:val="center"/>
          </w:tcPr>
          <w:p w14:paraId="523CAD5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highlight w:val="none"/>
                <w:lang w:val="en-US" w:eastAsia="zh-CN" w:bidi="ar-SA"/>
              </w:rPr>
            </w:pPr>
            <w:r>
              <w:rPr>
                <w:rFonts w:hint="eastAsia" w:cs="Times New Roman"/>
                <w:sz w:val="24"/>
                <w:szCs w:val="24"/>
                <w:highlight w:val="none"/>
                <w:lang w:val="en-US" w:eastAsia="zh-CN"/>
              </w:rPr>
              <w:t>主任</w:t>
            </w:r>
          </w:p>
        </w:tc>
        <w:tc>
          <w:tcPr>
            <w:tcW w:w="1373" w:type="pct"/>
            <w:noWrap w:val="0"/>
            <w:vAlign w:val="center"/>
          </w:tcPr>
          <w:p w14:paraId="042B415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①负责水源地应急预案的日常管理，开展预案培训和演练、应急救援队伍建设和能力评估等工作；</w:t>
            </w:r>
          </w:p>
          <w:p w14:paraId="4FACCB1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②组织开展水源地突发环境事件风险防范和应急准备工作</w:t>
            </w:r>
          </w:p>
        </w:tc>
        <w:tc>
          <w:tcPr>
            <w:tcW w:w="1609" w:type="pct"/>
            <w:noWrap w:val="0"/>
            <w:vAlign w:val="center"/>
          </w:tcPr>
          <w:p w14:paraId="06F7462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①贯彻执行总指挥、副总指挥的各项指令和要求；</w:t>
            </w:r>
          </w:p>
          <w:p w14:paraId="710783B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②负责信息汇总上报，并与有关的外部应急部门、组织和机构进行联络；</w:t>
            </w:r>
          </w:p>
          <w:p w14:paraId="2035689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③负责调动应急人员、调配应急资源和联络外部应急组织或机构；</w:t>
            </w:r>
          </w:p>
          <w:p w14:paraId="78B5606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④收集整理有关事件数据</w:t>
            </w:r>
          </w:p>
        </w:tc>
      </w:tr>
      <w:tr w14:paraId="4C53E3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restart"/>
            <w:noWrap w:val="0"/>
            <w:vAlign w:val="center"/>
          </w:tcPr>
          <w:p w14:paraId="779833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成员单位</w:t>
            </w:r>
          </w:p>
        </w:tc>
        <w:tc>
          <w:tcPr>
            <w:tcW w:w="638" w:type="pct"/>
            <w:gridSpan w:val="3"/>
            <w:noWrap w:val="0"/>
            <w:vAlign w:val="center"/>
          </w:tcPr>
          <w:p w14:paraId="68F106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4"/>
                <w:szCs w:val="24"/>
                <w:highlight w:val="none"/>
                <w:lang w:val="en-US" w:eastAsia="zh-CN" w:bidi="ar-SA"/>
              </w:rPr>
            </w:pPr>
            <w:r>
              <w:rPr>
                <w:rFonts w:hint="default" w:ascii="Times New Roman" w:hAnsi="Times New Roman" w:eastAsia="仿宋" w:cs="Times New Roman"/>
                <w:sz w:val="24"/>
                <w:szCs w:val="24"/>
                <w:highlight w:val="none"/>
                <w:lang w:val="en-US" w:eastAsia="zh-CN"/>
              </w:rPr>
              <w:t>汾阳市应急管理局</w:t>
            </w:r>
          </w:p>
        </w:tc>
        <w:tc>
          <w:tcPr>
            <w:tcW w:w="432" w:type="pct"/>
            <w:noWrap w:val="0"/>
            <w:vAlign w:val="center"/>
          </w:tcPr>
          <w:p w14:paraId="2D1E24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4"/>
                <w:szCs w:val="24"/>
                <w:highlight w:val="none"/>
                <w:lang w:val="en-US" w:eastAsia="zh-CN" w:bidi="ar-SA"/>
              </w:rPr>
            </w:pPr>
            <w:r>
              <w:rPr>
                <w:rFonts w:hint="default" w:ascii="Times New Roman" w:hAnsi="Times New Roman" w:eastAsia="仿宋" w:cs="Times New Roman"/>
                <w:sz w:val="24"/>
                <w:szCs w:val="24"/>
                <w:highlight w:val="none"/>
                <w:lang w:val="en-US" w:eastAsia="zh-CN"/>
              </w:rPr>
              <w:t>田健</w:t>
            </w:r>
          </w:p>
        </w:tc>
        <w:tc>
          <w:tcPr>
            <w:tcW w:w="384" w:type="pct"/>
            <w:noWrap w:val="0"/>
            <w:vAlign w:val="center"/>
          </w:tcPr>
          <w:p w14:paraId="362533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4"/>
                <w:szCs w:val="24"/>
                <w:highlight w:val="none"/>
                <w:lang w:val="en-US" w:eastAsia="zh-CN" w:bidi="ar-SA"/>
              </w:rPr>
            </w:pPr>
            <w:r>
              <w:rPr>
                <w:rFonts w:hint="default" w:ascii="Times New Roman" w:hAnsi="Times New Roman" w:eastAsia="仿宋" w:cs="Times New Roman"/>
                <w:sz w:val="24"/>
                <w:szCs w:val="24"/>
                <w:highlight w:val="none"/>
                <w:lang w:val="en-US" w:eastAsia="zh-CN"/>
              </w:rPr>
              <w:t>0358-7301126</w:t>
            </w:r>
          </w:p>
        </w:tc>
        <w:tc>
          <w:tcPr>
            <w:tcW w:w="336" w:type="pct"/>
            <w:noWrap w:val="0"/>
            <w:vAlign w:val="center"/>
          </w:tcPr>
          <w:p w14:paraId="5AA06F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4"/>
                <w:szCs w:val="24"/>
                <w:highlight w:val="none"/>
                <w:lang w:val="en-US" w:eastAsia="zh-CN" w:bidi="ar-SA"/>
              </w:rPr>
            </w:pPr>
            <w:r>
              <w:rPr>
                <w:rFonts w:hint="default" w:ascii="Times New Roman" w:hAnsi="Times New Roman" w:eastAsia="仿宋" w:cs="Times New Roman"/>
                <w:sz w:val="24"/>
                <w:szCs w:val="24"/>
                <w:highlight w:val="none"/>
                <w:lang w:val="en-US" w:eastAsia="zh-CN"/>
              </w:rPr>
              <w:t>局长</w:t>
            </w:r>
          </w:p>
        </w:tc>
        <w:tc>
          <w:tcPr>
            <w:tcW w:w="1373" w:type="pct"/>
            <w:noWrap w:val="0"/>
            <w:vAlign w:val="center"/>
          </w:tcPr>
          <w:p w14:paraId="3AE392A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负责安全生产监管，防范企业生产安全事故次生水源地突发环境事件，及时上报并通报事故信息。</w:t>
            </w:r>
          </w:p>
        </w:tc>
        <w:tc>
          <w:tcPr>
            <w:tcW w:w="1609" w:type="pct"/>
            <w:noWrap w:val="0"/>
            <w:vAlign w:val="center"/>
          </w:tcPr>
          <w:p w14:paraId="6BFA3D8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处置因自然灾害、企业安全生产事故、违法排污等导致的水源地突发环境事件。负责有关应急物资的日常维护和使用管理</w:t>
            </w:r>
          </w:p>
        </w:tc>
      </w:tr>
      <w:tr w14:paraId="1B90E8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0A5788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rPr>
            </w:pPr>
          </w:p>
        </w:tc>
        <w:tc>
          <w:tcPr>
            <w:tcW w:w="638" w:type="pct"/>
            <w:gridSpan w:val="3"/>
            <w:noWrap w:val="0"/>
            <w:vAlign w:val="center"/>
          </w:tcPr>
          <w:p w14:paraId="681C4A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4"/>
                <w:szCs w:val="24"/>
                <w:highlight w:val="none"/>
                <w:lang w:val="en-US" w:eastAsia="zh-CN" w:bidi="ar-SA"/>
              </w:rPr>
            </w:pPr>
            <w:r>
              <w:rPr>
                <w:rFonts w:hint="default" w:ascii="Times New Roman" w:hAnsi="Times New Roman" w:eastAsia="仿宋" w:cs="Times New Roman"/>
                <w:sz w:val="24"/>
                <w:szCs w:val="24"/>
                <w:highlight w:val="none"/>
                <w:lang w:val="en-US" w:eastAsia="zh-CN"/>
              </w:rPr>
              <w:t>吕梁市生态环境局汾阳分局</w:t>
            </w:r>
          </w:p>
        </w:tc>
        <w:tc>
          <w:tcPr>
            <w:tcW w:w="432" w:type="pct"/>
            <w:noWrap w:val="0"/>
            <w:vAlign w:val="center"/>
          </w:tcPr>
          <w:p w14:paraId="4F7CF8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4"/>
                <w:szCs w:val="24"/>
                <w:highlight w:val="none"/>
                <w:lang w:val="en-US" w:eastAsia="zh-CN" w:bidi="ar-SA"/>
              </w:rPr>
            </w:pPr>
            <w:r>
              <w:rPr>
                <w:rFonts w:hint="default" w:ascii="Times New Roman" w:hAnsi="Times New Roman" w:eastAsia="仿宋" w:cs="Times New Roman"/>
                <w:sz w:val="24"/>
                <w:szCs w:val="24"/>
                <w:highlight w:val="none"/>
                <w:lang w:val="en-US" w:eastAsia="zh-CN"/>
              </w:rPr>
              <w:t>李江鹏</w:t>
            </w:r>
          </w:p>
        </w:tc>
        <w:tc>
          <w:tcPr>
            <w:tcW w:w="384" w:type="pct"/>
            <w:noWrap w:val="0"/>
            <w:vAlign w:val="center"/>
          </w:tcPr>
          <w:p w14:paraId="1543B1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4"/>
                <w:szCs w:val="24"/>
                <w:highlight w:val="none"/>
                <w:lang w:val="en-US" w:eastAsia="zh-CN" w:bidi="ar-SA"/>
              </w:rPr>
            </w:pPr>
            <w:r>
              <w:rPr>
                <w:rFonts w:hint="default" w:ascii="Times New Roman" w:hAnsi="Times New Roman" w:eastAsia="仿宋" w:cs="Times New Roman"/>
                <w:sz w:val="24"/>
                <w:szCs w:val="24"/>
                <w:highlight w:val="none"/>
              </w:rPr>
              <w:t>0358-</w:t>
            </w:r>
            <w:r>
              <w:rPr>
                <w:rFonts w:hint="default" w:ascii="Times New Roman" w:hAnsi="Times New Roman" w:eastAsia="仿宋" w:cs="Times New Roman"/>
                <w:sz w:val="24"/>
                <w:szCs w:val="24"/>
                <w:highlight w:val="none"/>
                <w:lang w:val="en-US" w:eastAsia="zh-CN"/>
              </w:rPr>
              <w:t>7223300</w:t>
            </w:r>
          </w:p>
        </w:tc>
        <w:tc>
          <w:tcPr>
            <w:tcW w:w="336" w:type="pct"/>
            <w:noWrap w:val="0"/>
            <w:vAlign w:val="center"/>
          </w:tcPr>
          <w:p w14:paraId="77F262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4"/>
                <w:szCs w:val="24"/>
                <w:highlight w:val="none"/>
                <w:lang w:val="en-US" w:eastAsia="zh-CN" w:bidi="ar-SA"/>
              </w:rPr>
            </w:pPr>
            <w:r>
              <w:rPr>
                <w:rFonts w:hint="default" w:ascii="Times New Roman" w:hAnsi="Times New Roman" w:eastAsia="仿宋" w:cs="Times New Roman"/>
                <w:sz w:val="24"/>
                <w:szCs w:val="24"/>
                <w:highlight w:val="none"/>
                <w:lang w:val="en-US" w:eastAsia="zh-CN"/>
              </w:rPr>
              <w:t>局长</w:t>
            </w:r>
          </w:p>
        </w:tc>
        <w:tc>
          <w:tcPr>
            <w:tcW w:w="1373" w:type="pct"/>
            <w:noWrap w:val="0"/>
            <w:vAlign w:val="center"/>
          </w:tcPr>
          <w:p w14:paraId="0523D4F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仿宋" w:cs="Times New Roman"/>
                <w:sz w:val="24"/>
                <w:szCs w:val="24"/>
                <w:highlight w:val="none"/>
                <w:lang w:eastAsia="zh-CN"/>
              </w:rPr>
            </w:pPr>
            <w:r>
              <w:rPr>
                <w:rFonts w:hint="default" w:ascii="Times New Roman" w:hAnsi="Times New Roman" w:eastAsia="仿宋" w:cs="Times New Roman"/>
                <w:sz w:val="24"/>
                <w:szCs w:val="24"/>
                <w:highlight w:val="none"/>
              </w:rPr>
              <w:t>负责水源地例行监测、及时上报并通报水源地水质异常信息，开展水源地污染防治的日常监督和管理</w:t>
            </w:r>
            <w:r>
              <w:rPr>
                <w:rFonts w:hint="eastAsia" w:ascii="Times New Roman" w:hAnsi="Times New Roman" w:cs="Times New Roman"/>
                <w:sz w:val="24"/>
                <w:szCs w:val="24"/>
                <w:highlight w:val="none"/>
                <w:lang w:eastAsia="zh-CN"/>
              </w:rPr>
              <w:t>；</w:t>
            </w:r>
            <w:r>
              <w:rPr>
                <w:rFonts w:hint="default" w:ascii="Times New Roman" w:hAnsi="Times New Roman" w:eastAsia="仿宋" w:cs="Times New Roman"/>
                <w:sz w:val="24"/>
                <w:szCs w:val="24"/>
                <w:highlight w:val="none"/>
              </w:rPr>
              <w:t>组织编制、修订水源地应急预案；</w:t>
            </w:r>
          </w:p>
        </w:tc>
        <w:tc>
          <w:tcPr>
            <w:tcW w:w="1609" w:type="pct"/>
            <w:noWrap w:val="0"/>
            <w:vAlign w:val="center"/>
          </w:tcPr>
          <w:p w14:paraId="1D9C407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负责应急监测及事件排除后的跟踪监测，提出消除污染物的处置建议，督促、指导</w:t>
            </w:r>
            <w:r>
              <w:rPr>
                <w:rFonts w:hint="eastAsia" w:cs="Times New Roman"/>
                <w:sz w:val="24"/>
                <w:szCs w:val="24"/>
                <w:highlight w:val="none"/>
                <w:lang w:eastAsia="zh-CN"/>
              </w:rPr>
              <w:t>相关部门</w:t>
            </w:r>
            <w:r>
              <w:rPr>
                <w:rFonts w:hint="default" w:ascii="Times New Roman" w:hAnsi="Times New Roman" w:eastAsia="仿宋" w:cs="Times New Roman"/>
                <w:sz w:val="24"/>
                <w:szCs w:val="24"/>
                <w:highlight w:val="none"/>
              </w:rPr>
              <w:t>和单位开展水源地污染物削减处置等工作</w:t>
            </w:r>
          </w:p>
        </w:tc>
      </w:tr>
      <w:tr w14:paraId="153197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2AC520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rPr>
            </w:pPr>
          </w:p>
        </w:tc>
        <w:tc>
          <w:tcPr>
            <w:tcW w:w="638" w:type="pct"/>
            <w:gridSpan w:val="3"/>
            <w:noWrap w:val="0"/>
            <w:vAlign w:val="center"/>
          </w:tcPr>
          <w:p w14:paraId="0499EC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4"/>
                <w:szCs w:val="24"/>
                <w:highlight w:val="none"/>
                <w:lang w:val="en-US" w:eastAsia="zh-CN" w:bidi="ar-SA"/>
              </w:rPr>
            </w:pPr>
            <w:r>
              <w:rPr>
                <w:rFonts w:hint="eastAsia" w:cs="Times New Roman"/>
                <w:sz w:val="24"/>
                <w:szCs w:val="24"/>
                <w:highlight w:val="none"/>
                <w:lang w:val="en-US" w:eastAsia="zh-CN"/>
              </w:rPr>
              <w:t>汾阳市自然资源局</w:t>
            </w:r>
          </w:p>
        </w:tc>
        <w:tc>
          <w:tcPr>
            <w:tcW w:w="432" w:type="pct"/>
            <w:noWrap w:val="0"/>
            <w:vAlign w:val="center"/>
          </w:tcPr>
          <w:p w14:paraId="43693A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eastAsia="zh-CN"/>
              </w:rPr>
            </w:pPr>
            <w:r>
              <w:rPr>
                <w:rFonts w:hint="eastAsia" w:cs="Times New Roman"/>
                <w:sz w:val="24"/>
                <w:szCs w:val="24"/>
                <w:highlight w:val="none"/>
                <w:lang w:val="en-US" w:eastAsia="zh-CN"/>
              </w:rPr>
              <w:t>张云飚</w:t>
            </w:r>
          </w:p>
        </w:tc>
        <w:tc>
          <w:tcPr>
            <w:tcW w:w="384" w:type="pct"/>
            <w:noWrap w:val="0"/>
            <w:vAlign w:val="center"/>
          </w:tcPr>
          <w:p w14:paraId="73263B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0358-7223440</w:t>
            </w:r>
          </w:p>
        </w:tc>
        <w:tc>
          <w:tcPr>
            <w:tcW w:w="336" w:type="pct"/>
            <w:noWrap w:val="0"/>
            <w:vAlign w:val="center"/>
          </w:tcPr>
          <w:p w14:paraId="7C74DE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局长</w:t>
            </w:r>
          </w:p>
        </w:tc>
        <w:tc>
          <w:tcPr>
            <w:tcW w:w="1373" w:type="pct"/>
            <w:noWrap w:val="0"/>
            <w:vAlign w:val="center"/>
          </w:tcPr>
          <w:p w14:paraId="1401C89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仿宋" w:cs="Times New Roman"/>
                <w:sz w:val="24"/>
                <w:szCs w:val="24"/>
                <w:highlight w:val="none"/>
                <w:lang w:eastAsia="zh-CN"/>
              </w:rPr>
            </w:pPr>
            <w:r>
              <w:rPr>
                <w:rFonts w:hint="eastAsia" w:cs="Times New Roman"/>
                <w:sz w:val="24"/>
                <w:szCs w:val="24"/>
                <w:highlight w:val="none"/>
                <w:lang w:eastAsia="zh-CN"/>
              </w:rPr>
              <w:t>规划适用于水源地突发环境事件应急处置的场地，保障水源地突发环境事件应急处置的场地</w:t>
            </w:r>
          </w:p>
        </w:tc>
        <w:tc>
          <w:tcPr>
            <w:tcW w:w="1609" w:type="pct"/>
            <w:noWrap w:val="0"/>
            <w:vAlign w:val="center"/>
          </w:tcPr>
          <w:p w14:paraId="5402BA8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负责指导由突发环境事件造成国土空间生态破坏的应急处置、调查处理和生态修复</w:t>
            </w:r>
          </w:p>
        </w:tc>
      </w:tr>
      <w:tr w14:paraId="45846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0D6ED3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rPr>
            </w:pPr>
          </w:p>
        </w:tc>
        <w:tc>
          <w:tcPr>
            <w:tcW w:w="638" w:type="pct"/>
            <w:gridSpan w:val="3"/>
            <w:noWrap w:val="0"/>
            <w:vAlign w:val="center"/>
          </w:tcPr>
          <w:p w14:paraId="3C6900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4"/>
                <w:szCs w:val="24"/>
                <w:highlight w:val="none"/>
                <w:lang w:val="en-US" w:eastAsia="zh-CN" w:bidi="ar-SA"/>
              </w:rPr>
            </w:pPr>
            <w:r>
              <w:rPr>
                <w:rFonts w:hint="default" w:ascii="Times New Roman" w:hAnsi="Times New Roman" w:eastAsia="仿宋" w:cs="Times New Roman"/>
                <w:sz w:val="24"/>
                <w:szCs w:val="24"/>
                <w:highlight w:val="none"/>
                <w:lang w:val="en-US" w:eastAsia="zh-CN"/>
              </w:rPr>
              <w:t>汾阳市工科局</w:t>
            </w:r>
          </w:p>
        </w:tc>
        <w:tc>
          <w:tcPr>
            <w:tcW w:w="432" w:type="pct"/>
            <w:noWrap w:val="0"/>
            <w:vAlign w:val="center"/>
          </w:tcPr>
          <w:p w14:paraId="53F04B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路进春</w:t>
            </w:r>
          </w:p>
        </w:tc>
        <w:tc>
          <w:tcPr>
            <w:tcW w:w="384" w:type="pct"/>
            <w:noWrap w:val="0"/>
            <w:vAlign w:val="center"/>
          </w:tcPr>
          <w:p w14:paraId="4BD7E0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rPr>
            </w:pPr>
            <w:r>
              <w:rPr>
                <w:rFonts w:hint="default" w:ascii="Times New Roman" w:hAnsi="Times New Roman" w:eastAsia="仿宋" w:cs="Times New Roman"/>
                <w:sz w:val="24"/>
                <w:szCs w:val="24"/>
                <w:highlight w:val="none"/>
                <w:lang w:val="en-US" w:eastAsia="zh-CN"/>
              </w:rPr>
              <w:t>0358-7336046</w:t>
            </w:r>
          </w:p>
        </w:tc>
        <w:tc>
          <w:tcPr>
            <w:tcW w:w="336" w:type="pct"/>
            <w:noWrap w:val="0"/>
            <w:vAlign w:val="center"/>
          </w:tcPr>
          <w:p w14:paraId="3121BB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局长</w:t>
            </w:r>
          </w:p>
        </w:tc>
        <w:tc>
          <w:tcPr>
            <w:tcW w:w="1373" w:type="pct"/>
            <w:noWrap w:val="0"/>
            <w:vAlign w:val="center"/>
          </w:tcPr>
          <w:p w14:paraId="457D503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负责应急状态下紧缺物资生产组织工作</w:t>
            </w:r>
          </w:p>
        </w:tc>
        <w:tc>
          <w:tcPr>
            <w:tcW w:w="1609" w:type="pct"/>
            <w:noWrap w:val="0"/>
            <w:vAlign w:val="center"/>
          </w:tcPr>
          <w:p w14:paraId="296C0AB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做好通信保障应急工作，确保应急处置现场的通信网络畅通</w:t>
            </w:r>
          </w:p>
        </w:tc>
      </w:tr>
      <w:tr w14:paraId="3947F1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3348F8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rPr>
            </w:pPr>
          </w:p>
        </w:tc>
        <w:tc>
          <w:tcPr>
            <w:tcW w:w="638" w:type="pct"/>
            <w:gridSpan w:val="3"/>
            <w:noWrap w:val="0"/>
            <w:vAlign w:val="center"/>
          </w:tcPr>
          <w:p w14:paraId="2A4104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4"/>
                <w:szCs w:val="24"/>
                <w:highlight w:val="none"/>
                <w:lang w:val="en-US" w:eastAsia="zh-CN" w:bidi="ar-SA"/>
              </w:rPr>
            </w:pPr>
            <w:r>
              <w:rPr>
                <w:rFonts w:hint="default" w:ascii="Times New Roman" w:hAnsi="Times New Roman" w:eastAsia="仿宋" w:cs="Times New Roman"/>
                <w:sz w:val="24"/>
                <w:szCs w:val="24"/>
                <w:highlight w:val="none"/>
                <w:lang w:val="en-US" w:eastAsia="zh-CN"/>
              </w:rPr>
              <w:t>汾阳市交通运输局</w:t>
            </w:r>
          </w:p>
        </w:tc>
        <w:tc>
          <w:tcPr>
            <w:tcW w:w="432" w:type="pct"/>
            <w:noWrap w:val="0"/>
            <w:vAlign w:val="center"/>
          </w:tcPr>
          <w:p w14:paraId="451605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何雄</w:t>
            </w:r>
          </w:p>
        </w:tc>
        <w:tc>
          <w:tcPr>
            <w:tcW w:w="384" w:type="pct"/>
            <w:noWrap w:val="0"/>
            <w:vAlign w:val="center"/>
          </w:tcPr>
          <w:p w14:paraId="5A5956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rPr>
            </w:pPr>
            <w:r>
              <w:rPr>
                <w:rFonts w:hint="default" w:ascii="Times New Roman" w:hAnsi="Times New Roman" w:eastAsia="仿宋" w:cs="Times New Roman"/>
                <w:sz w:val="24"/>
                <w:szCs w:val="24"/>
                <w:highlight w:val="none"/>
                <w:lang w:val="en-US" w:eastAsia="zh-CN"/>
              </w:rPr>
              <w:t>0358-7222228</w:t>
            </w:r>
          </w:p>
        </w:tc>
        <w:tc>
          <w:tcPr>
            <w:tcW w:w="336" w:type="pct"/>
            <w:noWrap w:val="0"/>
            <w:vAlign w:val="center"/>
          </w:tcPr>
          <w:p w14:paraId="02E132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局长</w:t>
            </w:r>
          </w:p>
        </w:tc>
        <w:tc>
          <w:tcPr>
            <w:tcW w:w="1373" w:type="pct"/>
            <w:noWrap w:val="0"/>
            <w:vAlign w:val="center"/>
          </w:tcPr>
          <w:p w14:paraId="7AE5CA6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负责危险化学品运输车辆跨越水源保护区道路桥梁的日常应急管理工作，建设维护道路桥梁应急工程设施</w:t>
            </w:r>
          </w:p>
        </w:tc>
        <w:tc>
          <w:tcPr>
            <w:tcW w:w="1609" w:type="pct"/>
            <w:noWrap w:val="0"/>
            <w:vAlign w:val="center"/>
          </w:tcPr>
          <w:p w14:paraId="35D6C3B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协助处置交通事故次生的水源地突发环境事件，事故发生后及时启用道路桥梁应急工程设施，并负责保障应急物资运输车辆快速通行</w:t>
            </w:r>
          </w:p>
        </w:tc>
      </w:tr>
      <w:tr w14:paraId="51AFD1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068606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rPr>
            </w:pPr>
          </w:p>
        </w:tc>
        <w:tc>
          <w:tcPr>
            <w:tcW w:w="638" w:type="pct"/>
            <w:gridSpan w:val="3"/>
            <w:noWrap w:val="0"/>
            <w:vAlign w:val="center"/>
          </w:tcPr>
          <w:p w14:paraId="495F0B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汾阳市住房和城乡建设管理局</w:t>
            </w:r>
          </w:p>
        </w:tc>
        <w:tc>
          <w:tcPr>
            <w:tcW w:w="432" w:type="pct"/>
            <w:noWrap w:val="0"/>
            <w:vAlign w:val="center"/>
          </w:tcPr>
          <w:p w14:paraId="5BE051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eastAsia="zh-CN"/>
              </w:rPr>
            </w:pPr>
            <w:r>
              <w:rPr>
                <w:rFonts w:hint="eastAsia" w:ascii="Times New Roman" w:hAnsi="Times New Roman" w:cs="Times New Roman"/>
                <w:sz w:val="24"/>
                <w:szCs w:val="24"/>
                <w:highlight w:val="none"/>
                <w:lang w:val="en-US" w:eastAsia="zh-CN"/>
              </w:rPr>
              <w:t>李智平</w:t>
            </w:r>
          </w:p>
        </w:tc>
        <w:tc>
          <w:tcPr>
            <w:tcW w:w="384" w:type="pct"/>
            <w:noWrap w:val="0"/>
            <w:vAlign w:val="center"/>
          </w:tcPr>
          <w:p w14:paraId="6FF7B7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0358-722</w:t>
            </w:r>
            <w:r>
              <w:rPr>
                <w:rFonts w:hint="eastAsia" w:ascii="Times New Roman" w:hAnsi="Times New Roman" w:cs="Times New Roman"/>
                <w:sz w:val="24"/>
                <w:szCs w:val="24"/>
                <w:highlight w:val="none"/>
                <w:lang w:val="en-US" w:eastAsia="zh-CN"/>
              </w:rPr>
              <w:t>3</w:t>
            </w:r>
            <w:r>
              <w:rPr>
                <w:rFonts w:hint="default" w:ascii="Times New Roman" w:hAnsi="Times New Roman" w:eastAsia="仿宋" w:cs="Times New Roman"/>
                <w:sz w:val="24"/>
                <w:szCs w:val="24"/>
                <w:highlight w:val="none"/>
                <w:lang w:val="en-US" w:eastAsia="zh-CN"/>
              </w:rPr>
              <w:t>2</w:t>
            </w:r>
            <w:r>
              <w:rPr>
                <w:rFonts w:hint="eastAsia" w:ascii="Times New Roman" w:hAnsi="Times New Roman" w:cs="Times New Roman"/>
                <w:sz w:val="24"/>
                <w:szCs w:val="24"/>
                <w:highlight w:val="none"/>
                <w:lang w:val="en-US" w:eastAsia="zh-CN"/>
              </w:rPr>
              <w:t>91</w:t>
            </w:r>
          </w:p>
        </w:tc>
        <w:tc>
          <w:tcPr>
            <w:tcW w:w="336" w:type="pct"/>
            <w:noWrap w:val="0"/>
            <w:vAlign w:val="center"/>
          </w:tcPr>
          <w:p w14:paraId="6CEA9E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局长</w:t>
            </w:r>
          </w:p>
        </w:tc>
        <w:tc>
          <w:tcPr>
            <w:tcW w:w="1373" w:type="pct"/>
            <w:noWrap w:val="0"/>
            <w:vAlign w:val="center"/>
          </w:tcPr>
          <w:p w14:paraId="1AB911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sz w:val="24"/>
                <w:szCs w:val="24"/>
                <w:highlight w:val="none"/>
                <w:lang w:val="en-US" w:eastAsia="zh-CN"/>
              </w:rPr>
            </w:pPr>
            <w:r>
              <w:rPr>
                <w:rFonts w:hint="eastAsia" w:ascii="Times New Roman" w:hAnsi="Times New Roman" w:cs="Times New Roman"/>
                <w:sz w:val="24"/>
                <w:szCs w:val="24"/>
                <w:highlight w:val="none"/>
                <w:lang w:val="en-US" w:eastAsia="zh-CN"/>
              </w:rPr>
              <w:t>-</w:t>
            </w:r>
          </w:p>
        </w:tc>
        <w:tc>
          <w:tcPr>
            <w:tcW w:w="1609" w:type="pct"/>
            <w:noWrap w:val="0"/>
            <w:vAlign w:val="center"/>
          </w:tcPr>
          <w:p w14:paraId="31FFF81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指导</w:t>
            </w:r>
            <w:r>
              <w:rPr>
                <w:rFonts w:hint="eastAsia" w:cs="Times New Roman"/>
                <w:sz w:val="24"/>
                <w:szCs w:val="24"/>
                <w:highlight w:val="none"/>
                <w:lang w:val="en-US" w:eastAsia="zh-CN"/>
              </w:rPr>
              <w:t>市</w:t>
            </w:r>
            <w:r>
              <w:rPr>
                <w:rFonts w:hint="default" w:ascii="Times New Roman" w:hAnsi="Times New Roman" w:eastAsia="仿宋" w:cs="Times New Roman"/>
                <w:sz w:val="24"/>
                <w:szCs w:val="24"/>
                <w:highlight w:val="none"/>
              </w:rPr>
              <w:t>自来水公司的应急救援工作，组织</w:t>
            </w:r>
            <w:r>
              <w:rPr>
                <w:rFonts w:hint="eastAsia" w:cs="Times New Roman"/>
                <w:sz w:val="24"/>
                <w:szCs w:val="24"/>
                <w:highlight w:val="none"/>
                <w:lang w:val="en-US" w:eastAsia="zh-CN"/>
              </w:rPr>
              <w:t>市</w:t>
            </w:r>
            <w:r>
              <w:rPr>
                <w:rFonts w:hint="default" w:ascii="Times New Roman" w:hAnsi="Times New Roman" w:eastAsia="仿宋" w:cs="Times New Roman"/>
                <w:sz w:val="24"/>
                <w:szCs w:val="24"/>
                <w:highlight w:val="none"/>
              </w:rPr>
              <w:t>自来水公司进行应急监测，向事故水源地应急供水等应急工作。</w:t>
            </w:r>
          </w:p>
        </w:tc>
      </w:tr>
      <w:tr w14:paraId="26115E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7FCC4D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rPr>
            </w:pPr>
          </w:p>
        </w:tc>
        <w:tc>
          <w:tcPr>
            <w:tcW w:w="638" w:type="pct"/>
            <w:gridSpan w:val="3"/>
            <w:noWrap w:val="0"/>
            <w:vAlign w:val="center"/>
          </w:tcPr>
          <w:p w14:paraId="2FDEB5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4"/>
                <w:szCs w:val="24"/>
                <w:highlight w:val="none"/>
                <w:lang w:val="en-US" w:eastAsia="zh-CN" w:bidi="ar-SA"/>
              </w:rPr>
            </w:pPr>
            <w:r>
              <w:rPr>
                <w:rFonts w:hint="default" w:ascii="Times New Roman" w:hAnsi="Times New Roman" w:eastAsia="仿宋" w:cs="Times New Roman"/>
                <w:sz w:val="24"/>
                <w:szCs w:val="24"/>
                <w:highlight w:val="none"/>
                <w:lang w:val="en-US" w:eastAsia="zh-CN"/>
              </w:rPr>
              <w:t>汾阳市农业农村局</w:t>
            </w:r>
          </w:p>
        </w:tc>
        <w:tc>
          <w:tcPr>
            <w:tcW w:w="432" w:type="pct"/>
            <w:noWrap w:val="0"/>
            <w:vAlign w:val="center"/>
          </w:tcPr>
          <w:p w14:paraId="4B28FD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任正业</w:t>
            </w:r>
          </w:p>
        </w:tc>
        <w:tc>
          <w:tcPr>
            <w:tcW w:w="384" w:type="pct"/>
            <w:noWrap w:val="0"/>
            <w:vAlign w:val="center"/>
          </w:tcPr>
          <w:p w14:paraId="3293E7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rPr>
            </w:pPr>
            <w:r>
              <w:rPr>
                <w:rFonts w:hint="default" w:ascii="Times New Roman" w:hAnsi="Times New Roman" w:eastAsia="仿宋" w:cs="Times New Roman"/>
                <w:sz w:val="24"/>
                <w:szCs w:val="24"/>
                <w:highlight w:val="none"/>
                <w:lang w:val="en-US" w:eastAsia="zh-CN"/>
              </w:rPr>
              <w:t>0358-7223</w:t>
            </w:r>
            <w:r>
              <w:rPr>
                <w:rFonts w:hint="eastAsia" w:ascii="Times New Roman" w:hAnsi="Times New Roman" w:cs="Times New Roman"/>
                <w:sz w:val="24"/>
                <w:szCs w:val="24"/>
                <w:highlight w:val="none"/>
                <w:lang w:val="en-US" w:eastAsia="zh-CN"/>
              </w:rPr>
              <w:t>304</w:t>
            </w:r>
          </w:p>
        </w:tc>
        <w:tc>
          <w:tcPr>
            <w:tcW w:w="336" w:type="pct"/>
            <w:noWrap w:val="0"/>
            <w:vAlign w:val="center"/>
          </w:tcPr>
          <w:p w14:paraId="6C3726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局长</w:t>
            </w:r>
          </w:p>
        </w:tc>
        <w:tc>
          <w:tcPr>
            <w:tcW w:w="1373" w:type="pct"/>
            <w:noWrap w:val="0"/>
            <w:vAlign w:val="center"/>
          </w:tcPr>
          <w:p w14:paraId="1E9C2A8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highlight w:val="none"/>
                <w:lang w:eastAsia="zh-CN"/>
              </w:rPr>
            </w:pPr>
            <w:r>
              <w:rPr>
                <w:rFonts w:hint="default" w:ascii="Times New Roman" w:hAnsi="Times New Roman" w:eastAsia="仿宋" w:cs="Times New Roman"/>
                <w:sz w:val="24"/>
                <w:szCs w:val="24"/>
                <w:highlight w:val="none"/>
              </w:rPr>
              <w:t>管理暴雨期间入河农灌退水排放行为，防范农业面源导致的水源地突发环境事件</w:t>
            </w:r>
            <w:r>
              <w:rPr>
                <w:rFonts w:hint="default" w:ascii="Times New Roman" w:hAnsi="Times New Roman" w:eastAsia="仿宋" w:cs="Times New Roman"/>
                <w:sz w:val="24"/>
                <w:szCs w:val="24"/>
                <w:highlight w:val="none"/>
                <w:lang w:eastAsia="zh-CN"/>
              </w:rPr>
              <w:t>；</w:t>
            </w:r>
          </w:p>
        </w:tc>
        <w:tc>
          <w:tcPr>
            <w:tcW w:w="1609" w:type="pct"/>
            <w:noWrap w:val="0"/>
            <w:vAlign w:val="center"/>
          </w:tcPr>
          <w:p w14:paraId="260E9DF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highlight w:val="none"/>
                <w:lang w:eastAsia="zh-CN"/>
              </w:rPr>
            </w:pPr>
            <w:r>
              <w:rPr>
                <w:rFonts w:hint="default" w:ascii="Times New Roman" w:hAnsi="Times New Roman" w:eastAsia="仿宋" w:cs="Times New Roman"/>
                <w:sz w:val="24"/>
                <w:szCs w:val="24"/>
                <w:highlight w:val="none"/>
              </w:rPr>
              <w:t>协助处置因农业面源、渔业养殖导致的水源地突发环境事件。对具有农灌功能的水源地，在应急期间暂停农灌取水</w:t>
            </w:r>
            <w:r>
              <w:rPr>
                <w:rFonts w:hint="default" w:ascii="Times New Roman" w:hAnsi="Times New Roman" w:eastAsia="仿宋" w:cs="Times New Roman"/>
                <w:sz w:val="24"/>
                <w:szCs w:val="24"/>
                <w:highlight w:val="none"/>
                <w:lang w:eastAsia="zh-CN"/>
              </w:rPr>
              <w:t>；按照应急指挥部要求，利用水利工程进行污染团拦截、降污或调水稀释等工作；</w:t>
            </w:r>
          </w:p>
        </w:tc>
      </w:tr>
      <w:tr w14:paraId="5B102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3C1772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rPr>
            </w:pPr>
          </w:p>
        </w:tc>
        <w:tc>
          <w:tcPr>
            <w:tcW w:w="638" w:type="pct"/>
            <w:gridSpan w:val="3"/>
            <w:noWrap w:val="0"/>
            <w:vAlign w:val="center"/>
          </w:tcPr>
          <w:p w14:paraId="37CB7D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eastAsia="zh-CN"/>
              </w:rPr>
            </w:pPr>
            <w:r>
              <w:rPr>
                <w:rFonts w:hint="eastAsia" w:ascii="Times New Roman" w:hAnsi="Times New Roman" w:cs="Times New Roman"/>
                <w:sz w:val="24"/>
                <w:szCs w:val="24"/>
                <w:highlight w:val="none"/>
                <w:lang w:val="en-US" w:eastAsia="zh-CN"/>
              </w:rPr>
              <w:t>汾阳市水务局</w:t>
            </w:r>
          </w:p>
        </w:tc>
        <w:tc>
          <w:tcPr>
            <w:tcW w:w="432" w:type="pct"/>
            <w:noWrap w:val="0"/>
            <w:vAlign w:val="center"/>
          </w:tcPr>
          <w:p w14:paraId="05664D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eastAsia="zh-CN"/>
              </w:rPr>
            </w:pPr>
            <w:r>
              <w:rPr>
                <w:rFonts w:hint="eastAsia" w:ascii="Times New Roman" w:hAnsi="Times New Roman" w:cs="Times New Roman"/>
                <w:sz w:val="24"/>
                <w:szCs w:val="24"/>
                <w:highlight w:val="none"/>
                <w:lang w:val="en-US" w:eastAsia="zh-CN"/>
              </w:rPr>
              <w:t>张明煜</w:t>
            </w:r>
          </w:p>
        </w:tc>
        <w:tc>
          <w:tcPr>
            <w:tcW w:w="384" w:type="pct"/>
            <w:noWrap w:val="0"/>
            <w:vAlign w:val="center"/>
          </w:tcPr>
          <w:p w14:paraId="5BECD0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4"/>
                <w:szCs w:val="24"/>
                <w:highlight w:val="none"/>
                <w:lang w:val="en-US" w:eastAsia="zh-CN" w:bidi="ar-SA"/>
              </w:rPr>
            </w:pPr>
            <w:r>
              <w:rPr>
                <w:rFonts w:hint="default" w:ascii="Times New Roman" w:hAnsi="Times New Roman" w:eastAsia="仿宋" w:cs="Times New Roman"/>
                <w:sz w:val="24"/>
                <w:szCs w:val="24"/>
                <w:highlight w:val="none"/>
                <w:lang w:val="en-US" w:eastAsia="zh-CN"/>
              </w:rPr>
              <w:t>0358-7223296</w:t>
            </w:r>
          </w:p>
        </w:tc>
        <w:tc>
          <w:tcPr>
            <w:tcW w:w="336" w:type="pct"/>
            <w:noWrap w:val="0"/>
            <w:vAlign w:val="center"/>
          </w:tcPr>
          <w:p w14:paraId="7BD1B0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4"/>
                <w:szCs w:val="24"/>
                <w:highlight w:val="none"/>
                <w:lang w:val="en-US" w:eastAsia="zh-CN" w:bidi="ar-SA"/>
              </w:rPr>
            </w:pPr>
            <w:r>
              <w:rPr>
                <w:rFonts w:hint="default" w:ascii="Times New Roman" w:hAnsi="Times New Roman" w:eastAsia="仿宋" w:cs="Times New Roman"/>
                <w:sz w:val="24"/>
                <w:szCs w:val="24"/>
                <w:highlight w:val="none"/>
                <w:lang w:val="en-US" w:eastAsia="zh-CN"/>
              </w:rPr>
              <w:t>局长</w:t>
            </w:r>
          </w:p>
        </w:tc>
        <w:tc>
          <w:tcPr>
            <w:tcW w:w="1373" w:type="pct"/>
            <w:noWrap w:val="0"/>
            <w:vAlign w:val="center"/>
          </w:tcPr>
          <w:p w14:paraId="09C7A3B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lang w:eastAsia="zh-CN"/>
              </w:rPr>
              <w:t>负责指导水源地水利设施建设和管理；</w:t>
            </w:r>
          </w:p>
        </w:tc>
        <w:tc>
          <w:tcPr>
            <w:tcW w:w="1609" w:type="pct"/>
            <w:noWrap w:val="0"/>
            <w:vAlign w:val="center"/>
          </w:tcPr>
          <w:p w14:paraId="151CED0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lang w:eastAsia="zh-CN"/>
              </w:rPr>
              <w:t>负责协调提供与水源地突发环境事件相关的水文监测资料；配合</w:t>
            </w:r>
            <w:r>
              <w:rPr>
                <w:rFonts w:hint="eastAsia" w:cs="Times New Roman"/>
                <w:sz w:val="24"/>
                <w:szCs w:val="24"/>
                <w:highlight w:val="none"/>
                <w:lang w:eastAsia="zh-CN"/>
              </w:rPr>
              <w:t>相关部门</w:t>
            </w:r>
            <w:r>
              <w:rPr>
                <w:rFonts w:hint="default" w:ascii="Times New Roman" w:hAnsi="Times New Roman" w:eastAsia="仿宋" w:cs="Times New Roman"/>
                <w:sz w:val="24"/>
                <w:szCs w:val="24"/>
                <w:highlight w:val="none"/>
                <w:lang w:eastAsia="zh-CN"/>
              </w:rPr>
              <w:t>开展对水源水质及其受污染原因的调查和监测；参与分析总结饮用水水源地突发环境事件应急处置工作</w:t>
            </w:r>
          </w:p>
        </w:tc>
      </w:tr>
      <w:tr w14:paraId="590735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31599E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rPr>
            </w:pPr>
          </w:p>
        </w:tc>
        <w:tc>
          <w:tcPr>
            <w:tcW w:w="638" w:type="pct"/>
            <w:gridSpan w:val="3"/>
            <w:noWrap w:val="0"/>
            <w:vAlign w:val="center"/>
          </w:tcPr>
          <w:p w14:paraId="5E5D93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4"/>
                <w:szCs w:val="24"/>
                <w:highlight w:val="none"/>
                <w:lang w:val="en-US" w:eastAsia="zh-CN" w:bidi="ar-SA"/>
              </w:rPr>
            </w:pPr>
            <w:r>
              <w:rPr>
                <w:rFonts w:hint="default" w:ascii="Times New Roman" w:hAnsi="Times New Roman" w:eastAsia="仿宋" w:cs="Times New Roman"/>
                <w:sz w:val="24"/>
                <w:szCs w:val="24"/>
                <w:highlight w:val="none"/>
                <w:lang w:val="en-US" w:eastAsia="zh-CN"/>
              </w:rPr>
              <w:t>汾阳市公安局</w:t>
            </w:r>
          </w:p>
        </w:tc>
        <w:tc>
          <w:tcPr>
            <w:tcW w:w="432" w:type="pct"/>
            <w:noWrap w:val="0"/>
            <w:vAlign w:val="center"/>
          </w:tcPr>
          <w:p w14:paraId="7C0647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李建军</w:t>
            </w:r>
          </w:p>
        </w:tc>
        <w:tc>
          <w:tcPr>
            <w:tcW w:w="384" w:type="pct"/>
            <w:noWrap w:val="0"/>
            <w:vAlign w:val="center"/>
          </w:tcPr>
          <w:p w14:paraId="45DC31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rPr>
            </w:pPr>
            <w:r>
              <w:rPr>
                <w:rFonts w:hint="default" w:ascii="Times New Roman" w:hAnsi="Times New Roman" w:eastAsia="仿宋" w:cs="Times New Roman"/>
                <w:sz w:val="24"/>
                <w:szCs w:val="24"/>
                <w:highlight w:val="none"/>
                <w:lang w:val="en-US" w:eastAsia="zh-CN"/>
              </w:rPr>
              <w:t>0358-7336784</w:t>
            </w:r>
          </w:p>
        </w:tc>
        <w:tc>
          <w:tcPr>
            <w:tcW w:w="336" w:type="pct"/>
            <w:noWrap w:val="0"/>
            <w:vAlign w:val="center"/>
          </w:tcPr>
          <w:p w14:paraId="509FAD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局长</w:t>
            </w:r>
          </w:p>
        </w:tc>
        <w:tc>
          <w:tcPr>
            <w:tcW w:w="1373" w:type="pct"/>
            <w:noWrap w:val="0"/>
            <w:vAlign w:val="center"/>
          </w:tcPr>
          <w:p w14:paraId="0412215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查处导致水源地突发环境事件的违法犯罪行为</w:t>
            </w:r>
          </w:p>
        </w:tc>
        <w:tc>
          <w:tcPr>
            <w:tcW w:w="1609" w:type="pct"/>
            <w:noWrap w:val="0"/>
            <w:vAlign w:val="center"/>
          </w:tcPr>
          <w:p w14:paraId="1A694BF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负责组织地下水型水源地突发环境事件应急救援治安维护，交通管制，危险区域实施治安警戒，疏散群众，维护社会稳定</w:t>
            </w:r>
          </w:p>
        </w:tc>
      </w:tr>
      <w:tr w14:paraId="4C5CEB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170DBD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rPr>
            </w:pPr>
          </w:p>
        </w:tc>
        <w:tc>
          <w:tcPr>
            <w:tcW w:w="638" w:type="pct"/>
            <w:gridSpan w:val="3"/>
            <w:noWrap w:val="0"/>
            <w:vAlign w:val="center"/>
          </w:tcPr>
          <w:p w14:paraId="4611C1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4"/>
                <w:szCs w:val="24"/>
                <w:highlight w:val="none"/>
                <w:lang w:val="en-US" w:eastAsia="zh-CN" w:bidi="ar-SA"/>
              </w:rPr>
            </w:pPr>
            <w:r>
              <w:rPr>
                <w:rFonts w:hint="default" w:ascii="Times New Roman" w:hAnsi="Times New Roman" w:eastAsia="仿宋" w:cs="Times New Roman"/>
                <w:sz w:val="24"/>
                <w:szCs w:val="24"/>
                <w:highlight w:val="none"/>
                <w:lang w:val="en-US" w:eastAsia="zh-CN"/>
              </w:rPr>
              <w:t>汾阳市财政局</w:t>
            </w:r>
          </w:p>
        </w:tc>
        <w:tc>
          <w:tcPr>
            <w:tcW w:w="432" w:type="pct"/>
            <w:noWrap w:val="0"/>
            <w:vAlign w:val="center"/>
          </w:tcPr>
          <w:p w14:paraId="48A4EF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张宁</w:t>
            </w:r>
          </w:p>
        </w:tc>
        <w:tc>
          <w:tcPr>
            <w:tcW w:w="384" w:type="pct"/>
            <w:noWrap w:val="0"/>
            <w:vAlign w:val="center"/>
          </w:tcPr>
          <w:p w14:paraId="7E9CE8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rPr>
            </w:pPr>
            <w:r>
              <w:rPr>
                <w:rFonts w:hint="default" w:ascii="Times New Roman" w:hAnsi="Times New Roman" w:eastAsia="仿宋" w:cs="Times New Roman"/>
                <w:sz w:val="24"/>
                <w:szCs w:val="24"/>
                <w:highlight w:val="none"/>
                <w:lang w:val="en-US" w:eastAsia="zh-CN"/>
              </w:rPr>
              <w:t>0358-7333348</w:t>
            </w:r>
          </w:p>
        </w:tc>
        <w:tc>
          <w:tcPr>
            <w:tcW w:w="336" w:type="pct"/>
            <w:noWrap w:val="0"/>
            <w:vAlign w:val="center"/>
          </w:tcPr>
          <w:p w14:paraId="27A105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局长</w:t>
            </w:r>
          </w:p>
        </w:tc>
        <w:tc>
          <w:tcPr>
            <w:tcW w:w="1373" w:type="pct"/>
            <w:noWrap w:val="0"/>
            <w:vAlign w:val="center"/>
          </w:tcPr>
          <w:p w14:paraId="7546CB5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负责保障水源地突发环境事件应急管理工作和应急处置期间的费用</w:t>
            </w:r>
          </w:p>
        </w:tc>
        <w:tc>
          <w:tcPr>
            <w:tcW w:w="1609" w:type="pct"/>
            <w:noWrap w:val="0"/>
            <w:vAlign w:val="center"/>
          </w:tcPr>
          <w:p w14:paraId="789D4D5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负责保障水源地突发环境事件应急管理工作和应急处置期间的费用</w:t>
            </w:r>
          </w:p>
        </w:tc>
      </w:tr>
      <w:tr w14:paraId="7D4EEC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7DAF00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rPr>
            </w:pPr>
          </w:p>
        </w:tc>
        <w:tc>
          <w:tcPr>
            <w:tcW w:w="638" w:type="pct"/>
            <w:gridSpan w:val="3"/>
            <w:noWrap w:val="0"/>
            <w:vAlign w:val="center"/>
          </w:tcPr>
          <w:p w14:paraId="247F93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4"/>
                <w:szCs w:val="24"/>
                <w:highlight w:val="none"/>
                <w:lang w:val="en-US" w:eastAsia="zh-CN" w:bidi="ar-SA"/>
              </w:rPr>
            </w:pPr>
            <w:r>
              <w:rPr>
                <w:rFonts w:hint="default" w:ascii="Times New Roman" w:hAnsi="Times New Roman" w:eastAsia="仿宋" w:cs="Times New Roman"/>
                <w:sz w:val="24"/>
                <w:szCs w:val="24"/>
                <w:highlight w:val="none"/>
                <w:lang w:val="en-US" w:eastAsia="zh-CN"/>
              </w:rPr>
              <w:t>汾阳市民政局</w:t>
            </w:r>
          </w:p>
        </w:tc>
        <w:tc>
          <w:tcPr>
            <w:tcW w:w="432" w:type="pct"/>
            <w:noWrap w:val="0"/>
            <w:vAlign w:val="center"/>
          </w:tcPr>
          <w:p w14:paraId="08152C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eastAsia="zh-CN"/>
              </w:rPr>
            </w:pPr>
            <w:r>
              <w:rPr>
                <w:rFonts w:hint="eastAsia" w:ascii="Times New Roman" w:hAnsi="Times New Roman" w:cs="Times New Roman"/>
                <w:sz w:val="24"/>
                <w:szCs w:val="24"/>
                <w:highlight w:val="none"/>
                <w:lang w:val="en-US" w:eastAsia="zh-CN"/>
              </w:rPr>
              <w:t>董瑞杰</w:t>
            </w:r>
          </w:p>
        </w:tc>
        <w:tc>
          <w:tcPr>
            <w:tcW w:w="384" w:type="pct"/>
            <w:noWrap w:val="0"/>
            <w:vAlign w:val="center"/>
          </w:tcPr>
          <w:p w14:paraId="17F297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rPr>
            </w:pPr>
            <w:r>
              <w:rPr>
                <w:rFonts w:hint="default" w:ascii="Times New Roman" w:hAnsi="Times New Roman" w:eastAsia="仿宋" w:cs="Times New Roman"/>
                <w:sz w:val="24"/>
                <w:szCs w:val="24"/>
                <w:highlight w:val="none"/>
                <w:lang w:val="en-US" w:eastAsia="zh-CN"/>
              </w:rPr>
              <w:t>0358-7</w:t>
            </w:r>
            <w:r>
              <w:rPr>
                <w:rFonts w:hint="eastAsia" w:ascii="Times New Roman" w:hAnsi="Times New Roman" w:cs="Times New Roman"/>
                <w:sz w:val="24"/>
                <w:szCs w:val="24"/>
                <w:highlight w:val="none"/>
                <w:lang w:val="en-US" w:eastAsia="zh-CN"/>
              </w:rPr>
              <w:t>22</w:t>
            </w:r>
            <w:r>
              <w:rPr>
                <w:rFonts w:hint="default" w:ascii="Times New Roman" w:hAnsi="Times New Roman" w:eastAsia="仿宋" w:cs="Times New Roman"/>
                <w:sz w:val="24"/>
                <w:szCs w:val="24"/>
                <w:highlight w:val="none"/>
                <w:lang w:val="en-US" w:eastAsia="zh-CN"/>
              </w:rPr>
              <w:t>33</w:t>
            </w:r>
            <w:r>
              <w:rPr>
                <w:rFonts w:hint="eastAsia" w:ascii="Times New Roman" w:hAnsi="Times New Roman" w:cs="Times New Roman"/>
                <w:sz w:val="24"/>
                <w:szCs w:val="24"/>
                <w:highlight w:val="none"/>
                <w:lang w:val="en-US" w:eastAsia="zh-CN"/>
              </w:rPr>
              <w:t>71</w:t>
            </w:r>
          </w:p>
        </w:tc>
        <w:tc>
          <w:tcPr>
            <w:tcW w:w="336" w:type="pct"/>
            <w:noWrap w:val="0"/>
            <w:vAlign w:val="center"/>
          </w:tcPr>
          <w:p w14:paraId="55CE59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局长</w:t>
            </w:r>
          </w:p>
        </w:tc>
        <w:tc>
          <w:tcPr>
            <w:tcW w:w="1373" w:type="pct"/>
            <w:noWrap w:val="0"/>
            <w:vAlign w:val="center"/>
          </w:tcPr>
          <w:p w14:paraId="2E845E9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负责应急物资发放</w:t>
            </w:r>
          </w:p>
        </w:tc>
        <w:tc>
          <w:tcPr>
            <w:tcW w:w="1609" w:type="pct"/>
            <w:noWrap w:val="0"/>
            <w:vAlign w:val="center"/>
          </w:tcPr>
          <w:p w14:paraId="7DB1ADA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负责应急物资发放</w:t>
            </w:r>
          </w:p>
        </w:tc>
      </w:tr>
      <w:tr w14:paraId="7FB6C1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2FC3B0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rPr>
            </w:pPr>
          </w:p>
        </w:tc>
        <w:tc>
          <w:tcPr>
            <w:tcW w:w="638" w:type="pct"/>
            <w:gridSpan w:val="3"/>
            <w:noWrap w:val="0"/>
            <w:vAlign w:val="center"/>
          </w:tcPr>
          <w:p w14:paraId="1C6EA7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4"/>
                <w:szCs w:val="24"/>
                <w:highlight w:val="none"/>
                <w:lang w:val="en-US" w:eastAsia="zh-CN" w:bidi="ar-SA"/>
              </w:rPr>
            </w:pPr>
            <w:r>
              <w:rPr>
                <w:rFonts w:hint="default" w:ascii="Times New Roman" w:hAnsi="Times New Roman" w:eastAsia="仿宋" w:cs="Times New Roman"/>
                <w:sz w:val="24"/>
                <w:szCs w:val="24"/>
                <w:highlight w:val="none"/>
                <w:lang w:val="en-US" w:eastAsia="zh-CN"/>
              </w:rPr>
              <w:t>汾阳市教育体育局</w:t>
            </w:r>
          </w:p>
        </w:tc>
        <w:tc>
          <w:tcPr>
            <w:tcW w:w="432" w:type="pct"/>
            <w:noWrap w:val="0"/>
            <w:vAlign w:val="center"/>
          </w:tcPr>
          <w:p w14:paraId="078FE0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武素文</w:t>
            </w:r>
          </w:p>
        </w:tc>
        <w:tc>
          <w:tcPr>
            <w:tcW w:w="384" w:type="pct"/>
            <w:noWrap w:val="0"/>
            <w:vAlign w:val="center"/>
          </w:tcPr>
          <w:p w14:paraId="201F71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rPr>
            </w:pPr>
            <w:r>
              <w:rPr>
                <w:rFonts w:hint="default" w:ascii="Times New Roman" w:hAnsi="Times New Roman" w:eastAsia="仿宋" w:cs="Times New Roman"/>
                <w:sz w:val="24"/>
                <w:szCs w:val="24"/>
                <w:highlight w:val="none"/>
                <w:lang w:val="en-US" w:eastAsia="zh-CN"/>
              </w:rPr>
              <w:t>0358-223288</w:t>
            </w:r>
          </w:p>
        </w:tc>
        <w:tc>
          <w:tcPr>
            <w:tcW w:w="336" w:type="pct"/>
            <w:noWrap w:val="0"/>
            <w:vAlign w:val="center"/>
          </w:tcPr>
          <w:p w14:paraId="177E31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局长</w:t>
            </w:r>
          </w:p>
        </w:tc>
        <w:tc>
          <w:tcPr>
            <w:tcW w:w="1373" w:type="pct"/>
            <w:noWrap w:val="0"/>
            <w:vAlign w:val="center"/>
          </w:tcPr>
          <w:p w14:paraId="1705DD7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负责全</w:t>
            </w:r>
            <w:r>
              <w:rPr>
                <w:rFonts w:hint="eastAsia" w:cs="Times New Roman"/>
                <w:sz w:val="24"/>
                <w:szCs w:val="24"/>
                <w:highlight w:val="none"/>
                <w:lang w:val="en-US" w:eastAsia="zh-CN"/>
              </w:rPr>
              <w:t>市</w:t>
            </w:r>
            <w:r>
              <w:rPr>
                <w:rFonts w:hint="default" w:ascii="Times New Roman" w:hAnsi="Times New Roman" w:eastAsia="仿宋" w:cs="Times New Roman"/>
                <w:sz w:val="24"/>
                <w:szCs w:val="24"/>
                <w:highlight w:val="none"/>
              </w:rPr>
              <w:t>各类学校的突发环境事件应急避险、救援等宣传教育工作</w:t>
            </w:r>
          </w:p>
        </w:tc>
        <w:tc>
          <w:tcPr>
            <w:tcW w:w="1609" w:type="pct"/>
            <w:noWrap w:val="0"/>
            <w:vAlign w:val="center"/>
          </w:tcPr>
          <w:p w14:paraId="30B7C7F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在突发事件涉及学校的情形下，指导学校制定安全饮水方案并组织实施，做好学生的临时安置和教学工作</w:t>
            </w:r>
          </w:p>
        </w:tc>
      </w:tr>
      <w:tr w14:paraId="6A0048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491E83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rPr>
            </w:pPr>
          </w:p>
        </w:tc>
        <w:tc>
          <w:tcPr>
            <w:tcW w:w="638" w:type="pct"/>
            <w:gridSpan w:val="3"/>
            <w:noWrap w:val="0"/>
            <w:vAlign w:val="center"/>
          </w:tcPr>
          <w:p w14:paraId="3850B9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4"/>
                <w:szCs w:val="24"/>
                <w:highlight w:val="none"/>
                <w:lang w:val="en-US" w:eastAsia="zh-CN" w:bidi="ar-SA"/>
              </w:rPr>
            </w:pPr>
            <w:r>
              <w:rPr>
                <w:rFonts w:hint="default" w:ascii="Times New Roman" w:hAnsi="Times New Roman" w:eastAsia="仿宋" w:cs="Times New Roman"/>
                <w:sz w:val="24"/>
                <w:szCs w:val="24"/>
                <w:highlight w:val="none"/>
                <w:lang w:val="en-US" w:eastAsia="zh-CN"/>
              </w:rPr>
              <w:t>汾阳市卫生健康局</w:t>
            </w:r>
          </w:p>
        </w:tc>
        <w:tc>
          <w:tcPr>
            <w:tcW w:w="432" w:type="pct"/>
            <w:noWrap w:val="0"/>
            <w:vAlign w:val="center"/>
          </w:tcPr>
          <w:p w14:paraId="7607D8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任淑宏</w:t>
            </w:r>
          </w:p>
        </w:tc>
        <w:tc>
          <w:tcPr>
            <w:tcW w:w="384" w:type="pct"/>
            <w:noWrap w:val="0"/>
            <w:vAlign w:val="center"/>
          </w:tcPr>
          <w:p w14:paraId="242641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rPr>
            </w:pPr>
            <w:r>
              <w:rPr>
                <w:rFonts w:hint="default" w:ascii="Times New Roman" w:hAnsi="Times New Roman" w:eastAsia="仿宋" w:cs="Times New Roman"/>
                <w:sz w:val="24"/>
                <w:szCs w:val="24"/>
                <w:highlight w:val="none"/>
                <w:lang w:val="en-US" w:eastAsia="zh-CN"/>
              </w:rPr>
              <w:t>0358-7282368</w:t>
            </w:r>
          </w:p>
        </w:tc>
        <w:tc>
          <w:tcPr>
            <w:tcW w:w="336" w:type="pct"/>
            <w:noWrap w:val="0"/>
            <w:vAlign w:val="center"/>
          </w:tcPr>
          <w:p w14:paraId="2827C0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局长</w:t>
            </w:r>
          </w:p>
        </w:tc>
        <w:tc>
          <w:tcPr>
            <w:tcW w:w="1373" w:type="pct"/>
            <w:vMerge w:val="restart"/>
            <w:noWrap w:val="0"/>
            <w:vAlign w:val="center"/>
          </w:tcPr>
          <w:p w14:paraId="5302DB4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负责自来水管网末梢水水质卫生日常管理，及时上报并通报管网末梢水水质异常信息</w:t>
            </w:r>
          </w:p>
        </w:tc>
        <w:tc>
          <w:tcPr>
            <w:tcW w:w="1609" w:type="pct"/>
            <w:vMerge w:val="restart"/>
            <w:noWrap w:val="0"/>
            <w:vAlign w:val="center"/>
          </w:tcPr>
          <w:p w14:paraId="732C273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负责管网末梢水水质应急监测，确保应急期间居民饮水卫生安全。组织、协调、指导开展突发环境事件应急医疗卫生救援、疾病预防控制工作</w:t>
            </w:r>
          </w:p>
        </w:tc>
      </w:tr>
      <w:tr w14:paraId="54B3E4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24D764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rPr>
            </w:pPr>
          </w:p>
        </w:tc>
        <w:tc>
          <w:tcPr>
            <w:tcW w:w="638" w:type="pct"/>
            <w:gridSpan w:val="3"/>
            <w:noWrap w:val="0"/>
            <w:vAlign w:val="center"/>
          </w:tcPr>
          <w:p w14:paraId="3C6F9B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4"/>
                <w:szCs w:val="24"/>
                <w:highlight w:val="none"/>
                <w:lang w:val="en-US" w:eastAsia="zh-CN" w:bidi="ar-SA"/>
              </w:rPr>
            </w:pPr>
            <w:r>
              <w:rPr>
                <w:rFonts w:hint="default" w:ascii="Times New Roman" w:hAnsi="Times New Roman" w:eastAsia="仿宋" w:cs="Times New Roman"/>
                <w:sz w:val="24"/>
                <w:szCs w:val="24"/>
                <w:highlight w:val="none"/>
                <w:lang w:val="en-US" w:eastAsia="zh-CN"/>
              </w:rPr>
              <w:t>汾阳市疾病预防控制中心</w:t>
            </w:r>
          </w:p>
        </w:tc>
        <w:tc>
          <w:tcPr>
            <w:tcW w:w="432" w:type="pct"/>
            <w:noWrap w:val="0"/>
            <w:vAlign w:val="center"/>
          </w:tcPr>
          <w:p w14:paraId="7487C7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梁庆胜</w:t>
            </w:r>
          </w:p>
        </w:tc>
        <w:tc>
          <w:tcPr>
            <w:tcW w:w="384" w:type="pct"/>
            <w:noWrap w:val="0"/>
            <w:vAlign w:val="center"/>
          </w:tcPr>
          <w:p w14:paraId="4AFD01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lang w:val="en-US" w:eastAsia="zh-CN"/>
              </w:rPr>
              <w:t>0358-7332360</w:t>
            </w:r>
          </w:p>
        </w:tc>
        <w:tc>
          <w:tcPr>
            <w:tcW w:w="336" w:type="pct"/>
            <w:noWrap w:val="0"/>
            <w:vAlign w:val="center"/>
          </w:tcPr>
          <w:p w14:paraId="6F5021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主任</w:t>
            </w:r>
          </w:p>
        </w:tc>
        <w:tc>
          <w:tcPr>
            <w:tcW w:w="1373" w:type="pct"/>
            <w:vMerge w:val="continue"/>
            <w:noWrap w:val="0"/>
            <w:vAlign w:val="center"/>
          </w:tcPr>
          <w:p w14:paraId="6CA9C60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highlight w:val="none"/>
              </w:rPr>
            </w:pPr>
          </w:p>
        </w:tc>
        <w:tc>
          <w:tcPr>
            <w:tcW w:w="1609" w:type="pct"/>
            <w:vMerge w:val="continue"/>
            <w:noWrap w:val="0"/>
            <w:vAlign w:val="center"/>
          </w:tcPr>
          <w:p w14:paraId="5626D7D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highlight w:val="none"/>
              </w:rPr>
            </w:pPr>
          </w:p>
        </w:tc>
      </w:tr>
      <w:tr w14:paraId="7C5B1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202156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rPr>
            </w:pPr>
          </w:p>
        </w:tc>
        <w:tc>
          <w:tcPr>
            <w:tcW w:w="638" w:type="pct"/>
            <w:gridSpan w:val="3"/>
            <w:noWrap w:val="0"/>
            <w:vAlign w:val="center"/>
          </w:tcPr>
          <w:p w14:paraId="668780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4"/>
                <w:szCs w:val="24"/>
                <w:highlight w:val="none"/>
                <w:lang w:val="en-US" w:eastAsia="zh-CN" w:bidi="ar-SA"/>
              </w:rPr>
            </w:pPr>
            <w:r>
              <w:rPr>
                <w:rFonts w:hint="default" w:ascii="Times New Roman" w:hAnsi="Times New Roman" w:eastAsia="仿宋" w:cs="Times New Roman"/>
                <w:sz w:val="24"/>
                <w:szCs w:val="24"/>
                <w:highlight w:val="none"/>
                <w:lang w:val="en-US" w:eastAsia="zh-CN"/>
              </w:rPr>
              <w:t>汾阳市自来水公司</w:t>
            </w:r>
          </w:p>
        </w:tc>
        <w:tc>
          <w:tcPr>
            <w:tcW w:w="432" w:type="pct"/>
            <w:noWrap w:val="0"/>
            <w:vAlign w:val="center"/>
          </w:tcPr>
          <w:p w14:paraId="077B8C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岳晓</w:t>
            </w:r>
            <w:r>
              <w:rPr>
                <w:rFonts w:hint="eastAsia" w:ascii="Times New Roman" w:hAnsi="Times New Roman" w:cs="Times New Roman"/>
                <w:sz w:val="24"/>
                <w:szCs w:val="24"/>
                <w:highlight w:val="none"/>
                <w:lang w:val="en-US" w:eastAsia="zh-CN"/>
              </w:rPr>
              <w:t>明</w:t>
            </w:r>
          </w:p>
        </w:tc>
        <w:tc>
          <w:tcPr>
            <w:tcW w:w="384" w:type="pct"/>
            <w:noWrap w:val="0"/>
            <w:vAlign w:val="center"/>
          </w:tcPr>
          <w:p w14:paraId="6949AA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rPr>
            </w:pPr>
            <w:r>
              <w:rPr>
                <w:rFonts w:hint="default" w:ascii="Times New Roman" w:hAnsi="Times New Roman" w:eastAsia="仿宋" w:cs="Times New Roman"/>
                <w:sz w:val="24"/>
                <w:szCs w:val="24"/>
                <w:highlight w:val="none"/>
                <w:lang w:val="en-US" w:eastAsia="zh-CN"/>
              </w:rPr>
              <w:t>0358-7222814</w:t>
            </w:r>
          </w:p>
        </w:tc>
        <w:tc>
          <w:tcPr>
            <w:tcW w:w="336" w:type="pct"/>
            <w:noWrap w:val="0"/>
            <w:vAlign w:val="center"/>
          </w:tcPr>
          <w:p w14:paraId="64CD72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经理</w:t>
            </w:r>
          </w:p>
        </w:tc>
        <w:tc>
          <w:tcPr>
            <w:tcW w:w="1373" w:type="pct"/>
            <w:noWrap w:val="0"/>
            <w:vAlign w:val="center"/>
          </w:tcPr>
          <w:p w14:paraId="4BC65D0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负责制定应急供水保障方案，指导供水单位启动深度处理设施或备用应急供水车等措施，保障居民用水</w:t>
            </w:r>
          </w:p>
        </w:tc>
        <w:tc>
          <w:tcPr>
            <w:tcW w:w="1609" w:type="pct"/>
            <w:noWrap w:val="0"/>
            <w:vAlign w:val="center"/>
          </w:tcPr>
          <w:p w14:paraId="7E4EC5A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负责制定应急供水保障方案，指导供水单位启动深度处理设施或备用应急供水车等措施，保障居民用水</w:t>
            </w:r>
          </w:p>
        </w:tc>
      </w:tr>
      <w:tr w14:paraId="3BC556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52B85E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rPr>
            </w:pPr>
          </w:p>
        </w:tc>
        <w:tc>
          <w:tcPr>
            <w:tcW w:w="638" w:type="pct"/>
            <w:gridSpan w:val="3"/>
            <w:noWrap w:val="0"/>
            <w:vAlign w:val="center"/>
          </w:tcPr>
          <w:p w14:paraId="2C980E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4"/>
                <w:szCs w:val="24"/>
                <w:highlight w:val="none"/>
                <w:lang w:val="en-US" w:eastAsia="zh-CN" w:bidi="ar-SA"/>
              </w:rPr>
            </w:pPr>
            <w:r>
              <w:rPr>
                <w:rFonts w:hint="default" w:ascii="Times New Roman" w:hAnsi="Times New Roman" w:eastAsia="仿宋" w:cs="Times New Roman"/>
                <w:sz w:val="24"/>
                <w:szCs w:val="24"/>
                <w:highlight w:val="none"/>
                <w:lang w:val="en-US" w:eastAsia="zh-CN"/>
              </w:rPr>
              <w:t>汾阳市消防救援大队</w:t>
            </w:r>
          </w:p>
        </w:tc>
        <w:tc>
          <w:tcPr>
            <w:tcW w:w="432" w:type="pct"/>
            <w:noWrap w:val="0"/>
            <w:vAlign w:val="center"/>
          </w:tcPr>
          <w:p w14:paraId="2433C8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王云林</w:t>
            </w:r>
          </w:p>
        </w:tc>
        <w:tc>
          <w:tcPr>
            <w:tcW w:w="384" w:type="pct"/>
            <w:noWrap w:val="0"/>
            <w:vAlign w:val="center"/>
          </w:tcPr>
          <w:p w14:paraId="2082F9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rPr>
            </w:pPr>
            <w:r>
              <w:rPr>
                <w:rFonts w:hint="default" w:ascii="Times New Roman" w:hAnsi="Times New Roman" w:eastAsia="仿宋" w:cs="Times New Roman"/>
                <w:sz w:val="24"/>
                <w:szCs w:val="24"/>
                <w:highlight w:val="none"/>
                <w:lang w:val="en-US" w:eastAsia="zh-CN"/>
              </w:rPr>
              <w:t>0358-7541580</w:t>
            </w:r>
          </w:p>
        </w:tc>
        <w:tc>
          <w:tcPr>
            <w:tcW w:w="336" w:type="pct"/>
            <w:noWrap w:val="0"/>
            <w:vAlign w:val="center"/>
          </w:tcPr>
          <w:p w14:paraId="3F39A0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队长</w:t>
            </w:r>
          </w:p>
        </w:tc>
        <w:tc>
          <w:tcPr>
            <w:tcW w:w="1373" w:type="pct"/>
            <w:noWrap w:val="0"/>
            <w:vAlign w:val="center"/>
          </w:tcPr>
          <w:p w14:paraId="3C3BC23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在处置火灾爆炸事故时，防止消防水进入水源地及其连接水体；配合公安机关维护当地社会秩序，保障人民生命财产</w:t>
            </w:r>
          </w:p>
        </w:tc>
        <w:tc>
          <w:tcPr>
            <w:tcW w:w="1609" w:type="pct"/>
            <w:noWrap w:val="0"/>
            <w:vAlign w:val="center"/>
          </w:tcPr>
          <w:p w14:paraId="564F36F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负责在应急专家组的指导下处理污染源，参加现场抢险、排险、救援处置工作</w:t>
            </w:r>
          </w:p>
        </w:tc>
      </w:tr>
      <w:tr w14:paraId="334C4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509271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rPr>
            </w:pPr>
          </w:p>
        </w:tc>
        <w:tc>
          <w:tcPr>
            <w:tcW w:w="638" w:type="pct"/>
            <w:gridSpan w:val="3"/>
            <w:noWrap w:val="0"/>
            <w:vAlign w:val="center"/>
          </w:tcPr>
          <w:p w14:paraId="05C0F5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4"/>
                <w:szCs w:val="24"/>
                <w:highlight w:val="none"/>
                <w:lang w:val="en-US" w:eastAsia="zh-CN" w:bidi="ar-SA"/>
              </w:rPr>
            </w:pPr>
            <w:r>
              <w:rPr>
                <w:rFonts w:hint="default" w:ascii="Times New Roman" w:hAnsi="Times New Roman" w:eastAsia="仿宋" w:cs="Times New Roman"/>
                <w:sz w:val="24"/>
                <w:szCs w:val="24"/>
                <w:highlight w:val="none"/>
                <w:lang w:val="en-US" w:eastAsia="zh-CN"/>
              </w:rPr>
              <w:t>汾阳市电力公司</w:t>
            </w:r>
          </w:p>
        </w:tc>
        <w:tc>
          <w:tcPr>
            <w:tcW w:w="432" w:type="pct"/>
            <w:noWrap w:val="0"/>
            <w:vAlign w:val="center"/>
          </w:tcPr>
          <w:p w14:paraId="69ADDE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竹瑞博</w:t>
            </w:r>
          </w:p>
        </w:tc>
        <w:tc>
          <w:tcPr>
            <w:tcW w:w="384" w:type="pct"/>
            <w:noWrap w:val="0"/>
            <w:vAlign w:val="center"/>
          </w:tcPr>
          <w:p w14:paraId="590A3F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rPr>
            </w:pPr>
            <w:r>
              <w:rPr>
                <w:rFonts w:hint="default" w:ascii="Times New Roman" w:hAnsi="Times New Roman" w:eastAsia="仿宋" w:cs="Times New Roman"/>
                <w:sz w:val="24"/>
                <w:szCs w:val="24"/>
                <w:highlight w:val="none"/>
                <w:lang w:val="en-US" w:eastAsia="zh-CN"/>
              </w:rPr>
              <w:t>0358-7234234</w:t>
            </w:r>
          </w:p>
        </w:tc>
        <w:tc>
          <w:tcPr>
            <w:tcW w:w="336" w:type="pct"/>
            <w:noWrap w:val="0"/>
            <w:vAlign w:val="center"/>
          </w:tcPr>
          <w:p w14:paraId="48456D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经理</w:t>
            </w:r>
          </w:p>
        </w:tc>
        <w:tc>
          <w:tcPr>
            <w:tcW w:w="1373" w:type="pct"/>
            <w:noWrap w:val="0"/>
            <w:vAlign w:val="center"/>
          </w:tcPr>
          <w:p w14:paraId="379B788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保障应急指挥救援正常供电</w:t>
            </w:r>
          </w:p>
        </w:tc>
        <w:tc>
          <w:tcPr>
            <w:tcW w:w="1609" w:type="pct"/>
            <w:noWrap w:val="0"/>
            <w:vAlign w:val="center"/>
          </w:tcPr>
          <w:p w14:paraId="357C8BC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保障应急指挥救援正常供电</w:t>
            </w:r>
          </w:p>
        </w:tc>
      </w:tr>
      <w:tr w14:paraId="6F05D8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2C76B1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rPr>
            </w:pPr>
          </w:p>
        </w:tc>
        <w:tc>
          <w:tcPr>
            <w:tcW w:w="638" w:type="pct"/>
            <w:gridSpan w:val="3"/>
            <w:noWrap w:val="0"/>
            <w:vAlign w:val="center"/>
          </w:tcPr>
          <w:p w14:paraId="615380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4"/>
                <w:szCs w:val="24"/>
                <w:highlight w:val="none"/>
                <w:lang w:val="en-US" w:eastAsia="zh-CN" w:bidi="ar-SA"/>
              </w:rPr>
            </w:pPr>
            <w:r>
              <w:rPr>
                <w:rFonts w:hint="default" w:ascii="Times New Roman" w:hAnsi="Times New Roman" w:eastAsia="仿宋" w:cs="Times New Roman"/>
                <w:sz w:val="24"/>
                <w:szCs w:val="24"/>
                <w:highlight w:val="none"/>
                <w:lang w:val="en-US" w:eastAsia="zh-CN"/>
              </w:rPr>
              <w:t>汾阳市气象局</w:t>
            </w:r>
          </w:p>
        </w:tc>
        <w:tc>
          <w:tcPr>
            <w:tcW w:w="432" w:type="pct"/>
            <w:noWrap w:val="0"/>
            <w:vAlign w:val="center"/>
          </w:tcPr>
          <w:p w14:paraId="517DFD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王健雄</w:t>
            </w:r>
          </w:p>
        </w:tc>
        <w:tc>
          <w:tcPr>
            <w:tcW w:w="384" w:type="pct"/>
            <w:noWrap w:val="0"/>
            <w:vAlign w:val="center"/>
          </w:tcPr>
          <w:p w14:paraId="44E530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lang w:val="en-US" w:eastAsia="zh-CN"/>
              </w:rPr>
              <w:t>0358-7391360</w:t>
            </w:r>
          </w:p>
        </w:tc>
        <w:tc>
          <w:tcPr>
            <w:tcW w:w="336" w:type="pct"/>
            <w:noWrap w:val="0"/>
            <w:vAlign w:val="center"/>
          </w:tcPr>
          <w:p w14:paraId="0CEA22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局长</w:t>
            </w:r>
          </w:p>
        </w:tc>
        <w:tc>
          <w:tcPr>
            <w:tcW w:w="1373" w:type="pct"/>
            <w:noWrap w:val="0"/>
            <w:vAlign w:val="center"/>
          </w:tcPr>
          <w:p w14:paraId="7202135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eastAsia" w:ascii="Times New Roman" w:hAnsi="Times New Roman" w:cs="Times New Roman"/>
                <w:sz w:val="24"/>
                <w:szCs w:val="24"/>
                <w:highlight w:val="none"/>
                <w:lang w:val="en-US" w:eastAsia="zh-CN"/>
              </w:rPr>
              <w:t>及</w:t>
            </w:r>
            <w:r>
              <w:rPr>
                <w:rFonts w:hint="default" w:ascii="Times New Roman" w:hAnsi="Times New Roman" w:eastAsia="仿宋" w:cs="Times New Roman"/>
                <w:sz w:val="24"/>
                <w:szCs w:val="24"/>
                <w:highlight w:val="none"/>
              </w:rPr>
              <w:t>时上报、通报和发布暴雨、洪水等气象信息</w:t>
            </w:r>
          </w:p>
        </w:tc>
        <w:tc>
          <w:tcPr>
            <w:tcW w:w="1609" w:type="pct"/>
            <w:noWrap w:val="0"/>
            <w:vAlign w:val="center"/>
          </w:tcPr>
          <w:p w14:paraId="7E7C74D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负责应急期间对事发地的天气开展气象要素的实时监测，及时提供应急事件预警预报所需的气象资料信息、天气预报和气象灾害预报、预警信息等气象信息</w:t>
            </w:r>
          </w:p>
        </w:tc>
      </w:tr>
      <w:tr w14:paraId="476935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73A071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rPr>
            </w:pPr>
          </w:p>
        </w:tc>
        <w:tc>
          <w:tcPr>
            <w:tcW w:w="638" w:type="pct"/>
            <w:gridSpan w:val="3"/>
            <w:shd w:val="clear" w:color="auto" w:fill="auto"/>
            <w:noWrap w:val="0"/>
            <w:vAlign w:val="center"/>
          </w:tcPr>
          <w:p w14:paraId="2259DA2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highlight w:val="none"/>
                <w:lang w:val="en-US" w:eastAsia="zh-CN" w:bidi="zh-CN"/>
              </w:rPr>
            </w:pPr>
            <w:r>
              <w:rPr>
                <w:rFonts w:hint="eastAsia" w:cs="Times New Roman"/>
                <w:sz w:val="24"/>
                <w:szCs w:val="24"/>
                <w:highlight w:val="none"/>
                <w:lang w:val="en-US" w:eastAsia="zh-CN"/>
              </w:rPr>
              <w:t>汾阳市事业服务中心</w:t>
            </w:r>
          </w:p>
        </w:tc>
        <w:tc>
          <w:tcPr>
            <w:tcW w:w="432" w:type="pct"/>
            <w:shd w:val="clear" w:color="auto" w:fill="auto"/>
            <w:noWrap w:val="0"/>
            <w:vAlign w:val="center"/>
          </w:tcPr>
          <w:p w14:paraId="5CC200E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highlight w:val="none"/>
                <w:lang w:val="en-US" w:eastAsia="zh-CN" w:bidi="zh-CN"/>
              </w:rPr>
            </w:pPr>
            <w:r>
              <w:rPr>
                <w:rFonts w:hint="eastAsia" w:cs="Times New Roman"/>
                <w:sz w:val="24"/>
                <w:szCs w:val="24"/>
                <w:highlight w:val="none"/>
                <w:lang w:val="en-US" w:eastAsia="zh-CN"/>
              </w:rPr>
              <w:t>赵学峰</w:t>
            </w:r>
          </w:p>
        </w:tc>
        <w:tc>
          <w:tcPr>
            <w:tcW w:w="384" w:type="pct"/>
            <w:shd w:val="clear" w:color="auto" w:fill="auto"/>
            <w:noWrap w:val="0"/>
            <w:vAlign w:val="center"/>
          </w:tcPr>
          <w:p w14:paraId="5329EB7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highlight w:val="none"/>
                <w:lang w:val="en-US" w:eastAsia="zh-CN" w:bidi="zh-CN"/>
              </w:rPr>
            </w:pPr>
            <w:r>
              <w:rPr>
                <w:rFonts w:hint="eastAsia" w:cs="Times New Roman"/>
                <w:sz w:val="24"/>
                <w:szCs w:val="24"/>
                <w:highlight w:val="none"/>
                <w:lang w:val="en-US" w:eastAsia="zh-CN"/>
              </w:rPr>
              <w:t>0358-7236879</w:t>
            </w:r>
          </w:p>
        </w:tc>
        <w:tc>
          <w:tcPr>
            <w:tcW w:w="336" w:type="pct"/>
            <w:shd w:val="clear" w:color="auto" w:fill="auto"/>
            <w:noWrap w:val="0"/>
            <w:vAlign w:val="center"/>
          </w:tcPr>
          <w:p w14:paraId="682C5ED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highlight w:val="none"/>
                <w:lang w:val="en-US" w:eastAsia="zh-CN" w:bidi="zh-CN"/>
              </w:rPr>
            </w:pPr>
            <w:r>
              <w:rPr>
                <w:rFonts w:hint="eastAsia" w:cs="Times New Roman"/>
                <w:sz w:val="24"/>
                <w:szCs w:val="24"/>
                <w:highlight w:val="none"/>
                <w:lang w:val="en-US" w:eastAsia="zh-CN"/>
              </w:rPr>
              <w:t>主任</w:t>
            </w:r>
          </w:p>
        </w:tc>
        <w:tc>
          <w:tcPr>
            <w:tcW w:w="1373" w:type="pct"/>
            <w:shd w:val="clear" w:color="auto" w:fill="auto"/>
            <w:noWrap w:val="0"/>
            <w:vAlign w:val="center"/>
          </w:tcPr>
          <w:p w14:paraId="0DFD0AA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000000"/>
                <w:kern w:val="2"/>
                <w:sz w:val="24"/>
                <w:szCs w:val="24"/>
                <w:highlight w:val="none"/>
                <w:lang w:val="en-US" w:eastAsia="zh-CN" w:bidi="zh-CN"/>
              </w:rPr>
            </w:pPr>
            <w:r>
              <w:rPr>
                <w:rFonts w:hint="eastAsia" w:cs="Times New Roman"/>
                <w:sz w:val="24"/>
                <w:szCs w:val="24"/>
                <w:lang w:val="en-US" w:eastAsia="zh-CN"/>
              </w:rPr>
              <w:t>配合住房和城乡建设局进行日常管理工作</w:t>
            </w:r>
          </w:p>
        </w:tc>
        <w:tc>
          <w:tcPr>
            <w:tcW w:w="1609" w:type="pct"/>
            <w:shd w:val="clear" w:color="auto" w:fill="auto"/>
            <w:noWrap w:val="0"/>
            <w:vAlign w:val="center"/>
          </w:tcPr>
          <w:p w14:paraId="5CE0084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000000"/>
                <w:kern w:val="2"/>
                <w:sz w:val="24"/>
                <w:szCs w:val="24"/>
                <w:highlight w:val="none"/>
                <w:lang w:val="en-US" w:eastAsia="zh-CN" w:bidi="zh-CN"/>
              </w:rPr>
            </w:pPr>
            <w:r>
              <w:rPr>
                <w:rFonts w:hint="eastAsia" w:cs="Times New Roman"/>
                <w:sz w:val="24"/>
                <w:szCs w:val="24"/>
                <w:lang w:val="en-US" w:eastAsia="zh-CN"/>
              </w:rPr>
              <w:t>配合住房和城乡建设局开展应急工作</w:t>
            </w:r>
          </w:p>
        </w:tc>
      </w:tr>
      <w:tr w14:paraId="43283B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47AF4D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rPr>
            </w:pPr>
          </w:p>
        </w:tc>
        <w:tc>
          <w:tcPr>
            <w:tcW w:w="638" w:type="pct"/>
            <w:gridSpan w:val="3"/>
            <w:shd w:val="clear" w:color="auto" w:fill="auto"/>
            <w:noWrap w:val="0"/>
            <w:vAlign w:val="center"/>
          </w:tcPr>
          <w:p w14:paraId="701EDC1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仿宋" w:cs="Times New Roman"/>
                <w:color w:val="000000"/>
                <w:kern w:val="2"/>
                <w:sz w:val="24"/>
                <w:szCs w:val="24"/>
                <w:highlight w:val="none"/>
                <w:lang w:val="en-US" w:eastAsia="zh-CN" w:bidi="zh-CN"/>
              </w:rPr>
            </w:pPr>
            <w:r>
              <w:rPr>
                <w:rFonts w:hint="default" w:ascii="Times New Roman" w:hAnsi="Times New Roman" w:eastAsia="仿宋" w:cs="Times New Roman"/>
                <w:sz w:val="24"/>
                <w:szCs w:val="24"/>
                <w:highlight w:val="none"/>
                <w:lang w:val="en-US" w:eastAsia="zh-CN"/>
              </w:rPr>
              <w:t>山西杏花村汾酒集团有限责任公司</w:t>
            </w:r>
          </w:p>
        </w:tc>
        <w:tc>
          <w:tcPr>
            <w:tcW w:w="432" w:type="pct"/>
            <w:shd w:val="clear" w:color="auto" w:fill="auto"/>
            <w:noWrap w:val="0"/>
            <w:vAlign w:val="center"/>
          </w:tcPr>
          <w:p w14:paraId="1CD5035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仿宋" w:cs="Times New Roman"/>
                <w:color w:val="000000"/>
                <w:kern w:val="2"/>
                <w:sz w:val="24"/>
                <w:szCs w:val="24"/>
                <w:highlight w:val="none"/>
                <w:lang w:val="en-US" w:eastAsia="zh-CN" w:bidi="ar-SA"/>
              </w:rPr>
            </w:pPr>
            <w:r>
              <w:rPr>
                <w:rFonts w:hint="eastAsia" w:cs="Times New Roman"/>
                <w:sz w:val="24"/>
                <w:szCs w:val="24"/>
                <w:highlight w:val="none"/>
                <w:lang w:val="en-US" w:eastAsia="zh-CN"/>
              </w:rPr>
              <w:t>袁清茂</w:t>
            </w:r>
          </w:p>
        </w:tc>
        <w:tc>
          <w:tcPr>
            <w:tcW w:w="384" w:type="pct"/>
            <w:shd w:val="clear" w:color="auto" w:fill="auto"/>
            <w:noWrap w:val="0"/>
            <w:vAlign w:val="center"/>
          </w:tcPr>
          <w:p w14:paraId="02361CA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仿宋" w:cs="Times New Roman"/>
                <w:color w:val="000000"/>
                <w:kern w:val="2"/>
                <w:sz w:val="24"/>
                <w:szCs w:val="24"/>
                <w:highlight w:val="none"/>
                <w:lang w:val="en-US" w:eastAsia="zh-CN" w:bidi="ar-SA"/>
              </w:rPr>
            </w:pPr>
            <w:r>
              <w:rPr>
                <w:rFonts w:hint="eastAsia" w:cs="Times New Roman"/>
                <w:sz w:val="24"/>
                <w:szCs w:val="24"/>
                <w:highlight w:val="none"/>
                <w:lang w:val="en-US" w:eastAsia="zh-CN"/>
              </w:rPr>
              <w:t>0358-7229026</w:t>
            </w:r>
          </w:p>
        </w:tc>
        <w:tc>
          <w:tcPr>
            <w:tcW w:w="336" w:type="pct"/>
            <w:shd w:val="clear" w:color="auto" w:fill="auto"/>
            <w:noWrap w:val="0"/>
            <w:vAlign w:val="center"/>
          </w:tcPr>
          <w:p w14:paraId="5893BEE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仿宋" w:cs="Times New Roman"/>
                <w:color w:val="000000"/>
                <w:kern w:val="2"/>
                <w:sz w:val="24"/>
                <w:szCs w:val="24"/>
                <w:highlight w:val="none"/>
                <w:lang w:val="en-US" w:eastAsia="zh-CN" w:bidi="ar-SA"/>
              </w:rPr>
            </w:pPr>
            <w:r>
              <w:rPr>
                <w:rFonts w:hint="default" w:ascii="Times New Roman" w:hAnsi="Times New Roman" w:eastAsia="仿宋" w:cs="Times New Roman"/>
                <w:sz w:val="24"/>
                <w:szCs w:val="24"/>
                <w:highlight w:val="none"/>
                <w:lang w:val="en-US" w:eastAsia="zh-CN"/>
              </w:rPr>
              <w:t>董事长</w:t>
            </w:r>
          </w:p>
        </w:tc>
        <w:tc>
          <w:tcPr>
            <w:tcW w:w="1373" w:type="pct"/>
            <w:shd w:val="clear" w:color="auto" w:fill="auto"/>
            <w:noWrap w:val="0"/>
            <w:vAlign w:val="center"/>
          </w:tcPr>
          <w:p w14:paraId="1BD6F98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cs="Times New Roman"/>
                <w:sz w:val="24"/>
                <w:szCs w:val="24"/>
                <w:lang w:val="en-US" w:eastAsia="zh-CN"/>
              </w:rPr>
            </w:pPr>
            <w:r>
              <w:rPr>
                <w:rFonts w:hint="eastAsia" w:cs="Times New Roman"/>
                <w:sz w:val="24"/>
                <w:szCs w:val="24"/>
                <w:lang w:val="en-US" w:eastAsia="zh-CN"/>
              </w:rPr>
              <w:t>负责水源地日常保护</w:t>
            </w:r>
          </w:p>
        </w:tc>
        <w:tc>
          <w:tcPr>
            <w:tcW w:w="1609" w:type="pct"/>
            <w:shd w:val="clear" w:color="auto" w:fill="auto"/>
            <w:noWrap w:val="0"/>
            <w:vAlign w:val="center"/>
          </w:tcPr>
          <w:p w14:paraId="759616D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cs="Times New Roman"/>
                <w:sz w:val="24"/>
                <w:szCs w:val="24"/>
                <w:lang w:val="en-US" w:eastAsia="zh-CN"/>
              </w:rPr>
            </w:pPr>
            <w:r>
              <w:rPr>
                <w:rFonts w:hint="eastAsia" w:cs="Times New Roman"/>
                <w:sz w:val="24"/>
                <w:szCs w:val="24"/>
                <w:lang w:val="en-US" w:eastAsia="zh-CN"/>
              </w:rPr>
              <w:t>配合指挥部调配</w:t>
            </w:r>
          </w:p>
        </w:tc>
      </w:tr>
      <w:tr w14:paraId="18A184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4546BE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rPr>
            </w:pPr>
          </w:p>
        </w:tc>
        <w:tc>
          <w:tcPr>
            <w:tcW w:w="638" w:type="pct"/>
            <w:gridSpan w:val="3"/>
            <w:noWrap w:val="0"/>
            <w:vAlign w:val="center"/>
          </w:tcPr>
          <w:p w14:paraId="45F3C3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4"/>
                <w:szCs w:val="24"/>
                <w:highlight w:val="none"/>
                <w:lang w:val="en-US" w:eastAsia="zh-CN" w:bidi="ar-SA"/>
              </w:rPr>
            </w:pPr>
            <w:r>
              <w:rPr>
                <w:rFonts w:hint="default" w:ascii="Times New Roman" w:hAnsi="Times New Roman" w:eastAsia="仿宋" w:cs="Times New Roman"/>
                <w:sz w:val="24"/>
                <w:szCs w:val="24"/>
                <w:highlight w:val="none"/>
                <w:lang w:val="en-US" w:eastAsia="zh-CN"/>
              </w:rPr>
              <w:t>汾阳市融媒体中心</w:t>
            </w:r>
          </w:p>
        </w:tc>
        <w:tc>
          <w:tcPr>
            <w:tcW w:w="432" w:type="pct"/>
            <w:noWrap w:val="0"/>
            <w:vAlign w:val="center"/>
          </w:tcPr>
          <w:p w14:paraId="0FF5A2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张利军</w:t>
            </w:r>
          </w:p>
        </w:tc>
        <w:tc>
          <w:tcPr>
            <w:tcW w:w="384" w:type="pct"/>
            <w:noWrap w:val="0"/>
            <w:vAlign w:val="center"/>
          </w:tcPr>
          <w:p w14:paraId="5FF431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lang w:val="en-US" w:eastAsia="zh-CN"/>
              </w:rPr>
              <w:t>0358-7221311</w:t>
            </w:r>
          </w:p>
        </w:tc>
        <w:tc>
          <w:tcPr>
            <w:tcW w:w="336" w:type="pct"/>
            <w:noWrap w:val="0"/>
            <w:vAlign w:val="center"/>
          </w:tcPr>
          <w:p w14:paraId="1AF754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主任</w:t>
            </w:r>
          </w:p>
        </w:tc>
        <w:tc>
          <w:tcPr>
            <w:tcW w:w="1373" w:type="pct"/>
            <w:noWrap w:val="0"/>
            <w:vAlign w:val="center"/>
          </w:tcPr>
          <w:p w14:paraId="7173C74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负责开展地下水型水源保护宣传工作</w:t>
            </w:r>
          </w:p>
        </w:tc>
        <w:tc>
          <w:tcPr>
            <w:tcW w:w="1609" w:type="pct"/>
            <w:noWrap w:val="0"/>
            <w:vAlign w:val="center"/>
          </w:tcPr>
          <w:p w14:paraId="259C443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根据水源地应急指挥部的安排，负责应急期间的新闻发布、对外通报和信息公开等工作，解决新闻报道中遇到的问题，正确引导舆论</w:t>
            </w:r>
          </w:p>
        </w:tc>
      </w:tr>
    </w:tbl>
    <w:p w14:paraId="2BC9C441">
      <w:pPr>
        <w:jc w:val="center"/>
        <w:rPr>
          <w:rFonts w:hint="default" w:ascii="Times New Roman" w:hAnsi="Times New Roman" w:eastAsia="仿宋" w:cs="Times New Roman"/>
          <w:b/>
          <w:bCs/>
          <w:sz w:val="28"/>
          <w:szCs w:val="28"/>
        </w:rPr>
        <w:sectPr>
          <w:pgSz w:w="16838" w:h="11905" w:orient="landscape"/>
          <w:pgMar w:top="1803" w:right="1440" w:bottom="1803" w:left="1440" w:header="884" w:footer="1060" w:gutter="0"/>
          <w:pgBorders>
            <w:top w:val="none" w:sz="0" w:space="0"/>
            <w:left w:val="none" w:sz="0" w:space="0"/>
            <w:bottom w:val="none" w:sz="0" w:space="0"/>
            <w:right w:val="none" w:sz="0" w:space="0"/>
          </w:pgBorders>
          <w:pgNumType w:fmt="decimal"/>
          <w:cols w:space="0" w:num="1"/>
          <w:rtlGutter w:val="0"/>
          <w:docGrid w:linePitch="0" w:charSpace="0"/>
        </w:sectPr>
      </w:pPr>
    </w:p>
    <w:p w14:paraId="1A12FF97">
      <w:pPr>
        <w:pStyle w:val="3"/>
        <w:bidi w:val="0"/>
        <w:rPr>
          <w:rFonts w:hint="default"/>
        </w:rPr>
      </w:pPr>
      <w:bookmarkStart w:id="40" w:name="_Toc527"/>
      <w:r>
        <w:rPr>
          <w:rFonts w:hint="default"/>
        </w:rPr>
        <w:t>3.3 现场应急指挥部</w:t>
      </w:r>
      <w:bookmarkEnd w:id="39"/>
      <w:bookmarkEnd w:id="40"/>
      <w:r>
        <w:rPr>
          <w:rFonts w:hint="default"/>
        </w:rPr>
        <w:t xml:space="preserve"> </w:t>
      </w:r>
    </w:p>
    <w:p w14:paraId="3FE70683">
      <w:pPr>
        <w:bidi w:val="0"/>
        <w:rPr>
          <w:rFonts w:hint="default"/>
        </w:rPr>
      </w:pPr>
      <w:r>
        <w:rPr>
          <w:rFonts w:hint="default"/>
        </w:rPr>
        <w:t>在</w:t>
      </w:r>
      <w:r>
        <w:rPr>
          <w:rFonts w:hint="eastAsia"/>
          <w:lang w:val="en-US" w:eastAsia="zh-CN"/>
        </w:rPr>
        <w:t>汾阳市石门沟集中供水水源地</w:t>
      </w:r>
      <w:r>
        <w:rPr>
          <w:rFonts w:hint="default"/>
        </w:rPr>
        <w:t>突发环境事件发生后，当信息研判和会商判断</w:t>
      </w:r>
      <w:r>
        <w:rPr>
          <w:rFonts w:hint="eastAsia"/>
          <w:lang w:val="en-US" w:eastAsia="zh-CN"/>
        </w:rPr>
        <w:t>汾阳市石门沟集中供水水源地</w:t>
      </w:r>
      <w:r>
        <w:rPr>
          <w:rFonts w:hint="default"/>
        </w:rPr>
        <w:t>水质可能受影响时，</w:t>
      </w:r>
      <w:r>
        <w:rPr>
          <w:rFonts w:hint="eastAsia"/>
          <w:lang w:val="en-US" w:eastAsia="zh-CN"/>
        </w:rPr>
        <w:t>汾阳市石门沟集中供水水源地</w:t>
      </w:r>
      <w:r>
        <w:rPr>
          <w:rFonts w:hint="default"/>
        </w:rPr>
        <w:t>应急指挥部转换为现场应急指挥部，组织协调相关力量，按照预案实施应急状态处置工作。现场指挥部的主要工作职责如下：</w:t>
      </w:r>
    </w:p>
    <w:p w14:paraId="779F9147">
      <w:pPr>
        <w:bidi w:val="0"/>
        <w:rPr>
          <w:rFonts w:hint="default"/>
        </w:rPr>
      </w:pPr>
      <w:r>
        <w:rPr>
          <w:rFonts w:hint="default"/>
        </w:rPr>
        <w:t>（</w:t>
      </w:r>
      <w:r>
        <w:rPr>
          <w:rFonts w:hint="default"/>
          <w:lang w:val="en-US" w:eastAsia="zh-CN"/>
        </w:rPr>
        <w:t>1</w:t>
      </w:r>
      <w:r>
        <w:rPr>
          <w:rFonts w:hint="default"/>
        </w:rPr>
        <w:t>）贯彻国家应急工作方针，根据</w:t>
      </w:r>
      <w:r>
        <w:rPr>
          <w:rFonts w:hint="eastAsia"/>
          <w:lang w:eastAsia="zh-CN"/>
        </w:rPr>
        <w:t>汾阳市人民政府</w:t>
      </w:r>
      <w:r>
        <w:rPr>
          <w:rFonts w:hint="default"/>
        </w:rPr>
        <w:t>应急工作原则和方案，组织有关职能部门对事故发生地区进行技术支持和支援；</w:t>
      </w:r>
    </w:p>
    <w:p w14:paraId="26A68950">
      <w:pPr>
        <w:bidi w:val="0"/>
        <w:rPr>
          <w:rFonts w:hint="default"/>
        </w:rPr>
      </w:pPr>
      <w:r>
        <w:rPr>
          <w:rFonts w:hint="default"/>
        </w:rPr>
        <w:t>（</w:t>
      </w:r>
      <w:r>
        <w:rPr>
          <w:rFonts w:hint="default"/>
          <w:lang w:val="en-US" w:eastAsia="zh-CN"/>
        </w:rPr>
        <w:t>2</w:t>
      </w:r>
      <w:r>
        <w:rPr>
          <w:rFonts w:hint="default"/>
        </w:rPr>
        <w:t>）领导和协调</w:t>
      </w:r>
      <w:r>
        <w:rPr>
          <w:rFonts w:hint="eastAsia"/>
          <w:lang w:val="en-US" w:eastAsia="zh-CN"/>
        </w:rPr>
        <w:t>汾阳市石门沟集中供水水源地</w:t>
      </w:r>
      <w:r>
        <w:rPr>
          <w:rFonts w:hint="default"/>
        </w:rPr>
        <w:t>突发环境事件应急工作；</w:t>
      </w:r>
    </w:p>
    <w:p w14:paraId="617D04C1">
      <w:pPr>
        <w:bidi w:val="0"/>
        <w:rPr>
          <w:rFonts w:hint="default"/>
        </w:rPr>
      </w:pPr>
      <w:r>
        <w:rPr>
          <w:rFonts w:hint="default"/>
        </w:rPr>
        <w:t>（</w:t>
      </w:r>
      <w:r>
        <w:rPr>
          <w:rFonts w:hint="default"/>
          <w:lang w:val="en-US" w:eastAsia="zh-CN"/>
        </w:rPr>
        <w:t>3</w:t>
      </w:r>
      <w:r>
        <w:rPr>
          <w:rFonts w:hint="default"/>
        </w:rPr>
        <w:t>）及时了解掌握</w:t>
      </w:r>
      <w:r>
        <w:rPr>
          <w:rFonts w:hint="eastAsia"/>
          <w:lang w:val="en-US" w:eastAsia="zh-CN"/>
        </w:rPr>
        <w:t>汾阳市石门沟集中供水水源地</w:t>
      </w:r>
      <w:r>
        <w:rPr>
          <w:rFonts w:hint="default"/>
        </w:rPr>
        <w:t>突发环境事件情况，根据情况需要，向应急指挥部报告事故情况和提出应急措施的建议；</w:t>
      </w:r>
    </w:p>
    <w:p w14:paraId="56C0E676">
      <w:pPr>
        <w:bidi w:val="0"/>
        <w:rPr>
          <w:rFonts w:hint="default"/>
        </w:rPr>
      </w:pPr>
      <w:r>
        <w:rPr>
          <w:rFonts w:hint="default"/>
        </w:rPr>
        <w:t>（</w:t>
      </w:r>
      <w:r>
        <w:rPr>
          <w:rFonts w:hint="default"/>
          <w:lang w:val="en-US" w:eastAsia="zh-CN"/>
        </w:rPr>
        <w:t>4</w:t>
      </w:r>
      <w:r>
        <w:rPr>
          <w:rFonts w:hint="default"/>
        </w:rPr>
        <w:t>）组织协调指挥部各职能组按照预案迅速开展抢险救灾工作，力争将损失降到最低程度；</w:t>
      </w:r>
    </w:p>
    <w:p w14:paraId="3E898AF7">
      <w:pPr>
        <w:bidi w:val="0"/>
        <w:rPr>
          <w:rFonts w:hint="default"/>
        </w:rPr>
      </w:pPr>
      <w:r>
        <w:rPr>
          <w:rFonts w:hint="default"/>
        </w:rPr>
        <w:t>（</w:t>
      </w:r>
      <w:r>
        <w:rPr>
          <w:rFonts w:hint="default"/>
          <w:lang w:val="en-US" w:eastAsia="zh-CN"/>
        </w:rPr>
        <w:t>5</w:t>
      </w:r>
      <w:r>
        <w:rPr>
          <w:rFonts w:hint="default"/>
        </w:rPr>
        <w:t>）根据事故发生状态，统一部署抢险预案的实施工作，并对应急工作中发生的争议采取紧急处理措施；</w:t>
      </w:r>
    </w:p>
    <w:p w14:paraId="2AA8CB4F">
      <w:pPr>
        <w:bidi w:val="0"/>
        <w:rPr>
          <w:rFonts w:hint="default"/>
        </w:rPr>
      </w:pPr>
      <w:r>
        <w:rPr>
          <w:rFonts w:hint="default"/>
        </w:rPr>
        <w:t>（6）在本行政区域内紧急征用各类物资、设备、人员和占用场地，在事故处理后及时归还或给予补偿。做好稳定社会秩序和伤亡人员的善后和安抚工作；</w:t>
      </w:r>
    </w:p>
    <w:p w14:paraId="2DEBCCBF">
      <w:pPr>
        <w:bidi w:val="0"/>
        <w:rPr>
          <w:rFonts w:hint="default"/>
        </w:rPr>
      </w:pPr>
      <w:r>
        <w:rPr>
          <w:rFonts w:hint="default"/>
        </w:rPr>
        <w:t>（</w:t>
      </w:r>
      <w:r>
        <w:rPr>
          <w:rFonts w:hint="default"/>
          <w:lang w:val="en-US" w:eastAsia="zh-CN"/>
        </w:rPr>
        <w:t>7</w:t>
      </w:r>
      <w:r>
        <w:rPr>
          <w:rFonts w:hint="default"/>
        </w:rPr>
        <w:t>）组织事故应急技术研究和应急知识宣传教育等工作；</w:t>
      </w:r>
    </w:p>
    <w:p w14:paraId="47544F45">
      <w:pPr>
        <w:bidi w:val="0"/>
        <w:rPr>
          <w:rFonts w:hint="default"/>
        </w:rPr>
      </w:pPr>
      <w:r>
        <w:rPr>
          <w:rFonts w:hint="default"/>
        </w:rPr>
        <w:t>（</w:t>
      </w:r>
      <w:r>
        <w:rPr>
          <w:rFonts w:hint="default"/>
          <w:lang w:val="en-US" w:eastAsia="zh-CN"/>
        </w:rPr>
        <w:t>8</w:t>
      </w:r>
      <w:r>
        <w:rPr>
          <w:rFonts w:hint="default"/>
        </w:rPr>
        <w:t>）负责</w:t>
      </w:r>
      <w:r>
        <w:rPr>
          <w:rFonts w:hint="eastAsia"/>
          <w:lang w:val="en-US" w:eastAsia="zh-CN"/>
        </w:rPr>
        <w:t>汾阳市石门沟集中供水水源地</w:t>
      </w:r>
      <w:r>
        <w:rPr>
          <w:rFonts w:hint="default"/>
        </w:rPr>
        <w:t>突发环境事件应急信息的接收、核实、处理、传递、通报、报告，及现场新闻报道的指导、审查工作；</w:t>
      </w:r>
    </w:p>
    <w:p w14:paraId="408E181B">
      <w:pPr>
        <w:bidi w:val="0"/>
        <w:rPr>
          <w:rFonts w:hint="default"/>
        </w:rPr>
      </w:pPr>
      <w:r>
        <w:rPr>
          <w:rFonts w:hint="default"/>
        </w:rPr>
        <w:t>（</w:t>
      </w:r>
      <w:r>
        <w:rPr>
          <w:rFonts w:hint="default"/>
          <w:lang w:val="en-US" w:eastAsia="zh-CN"/>
        </w:rPr>
        <w:t>9</w:t>
      </w:r>
      <w:r>
        <w:rPr>
          <w:rFonts w:hint="default"/>
        </w:rPr>
        <w:t>）处理其他有关集中式饮用水源突发环境事件应急的重要事项；</w:t>
      </w:r>
    </w:p>
    <w:p w14:paraId="6E6BC97C">
      <w:pPr>
        <w:bidi w:val="0"/>
        <w:rPr>
          <w:rFonts w:hint="default"/>
        </w:rPr>
      </w:pPr>
      <w:r>
        <w:rPr>
          <w:rFonts w:hint="default"/>
        </w:rPr>
        <w:t>（</w:t>
      </w:r>
      <w:r>
        <w:rPr>
          <w:rFonts w:hint="default"/>
          <w:lang w:val="en-US" w:eastAsia="zh-CN"/>
        </w:rPr>
        <w:t>10</w:t>
      </w:r>
      <w:r>
        <w:rPr>
          <w:rFonts w:hint="default"/>
        </w:rPr>
        <w:t>）如已发生二次危害，立即组织相关部门采取有效措施控制事态发展。</w:t>
      </w:r>
    </w:p>
    <w:p w14:paraId="17A842D6">
      <w:pPr>
        <w:pStyle w:val="3"/>
        <w:bidi w:val="0"/>
        <w:rPr>
          <w:rFonts w:hint="default"/>
        </w:rPr>
      </w:pPr>
      <w:bookmarkStart w:id="41" w:name="_Toc9895"/>
      <w:bookmarkStart w:id="42" w:name="_Toc26022"/>
      <w:r>
        <w:rPr>
          <w:rFonts w:hint="default"/>
        </w:rPr>
        <w:t>3.4 现场应急工作组</w:t>
      </w:r>
      <w:bookmarkEnd w:id="41"/>
      <w:bookmarkEnd w:id="42"/>
    </w:p>
    <w:p w14:paraId="0BD751C3">
      <w:pPr>
        <w:bidi w:val="0"/>
        <w:rPr>
          <w:rFonts w:hint="default"/>
          <w:highlight w:val="none"/>
          <w:lang w:val="en-US" w:eastAsia="zh-CN"/>
        </w:rPr>
      </w:pPr>
      <w:r>
        <w:rPr>
          <w:rFonts w:hint="default"/>
          <w:highlight w:val="none"/>
          <w:lang w:val="en-US" w:eastAsia="zh-CN"/>
        </w:rPr>
        <w:t>现场应急指挥部根据事件类型及工作需要，设立应急处置组、应急监测组、应急供水保障组、应急物资保障组、医疗救治组、宣传报道组和应急专家组等。应急指挥部根据收集的突发事件信息和现场具体情况进行决策，指挥各应急小组进行应急处置、水质污染监测、居民供水保障、医疗救助、应急物资调用、应急信息发布及后期处置等相关工作。各组牵头单位负责人为各组组长，各组成员单位配合工作。</w:t>
      </w:r>
    </w:p>
    <w:p w14:paraId="17A50FE1">
      <w:pPr>
        <w:pStyle w:val="4"/>
        <w:bidi w:val="0"/>
        <w:rPr>
          <w:rFonts w:hint="eastAsia"/>
          <w:highlight w:val="none"/>
          <w:lang w:val="en-US" w:eastAsia="zh-CN"/>
        </w:rPr>
      </w:pPr>
      <w:bookmarkStart w:id="43" w:name="_Toc29275"/>
      <w:bookmarkStart w:id="44" w:name="_Toc12248"/>
      <w:r>
        <w:rPr>
          <w:rFonts w:hint="eastAsia"/>
          <w:highlight w:val="none"/>
          <w:lang w:val="en-US" w:eastAsia="zh-CN"/>
        </w:rPr>
        <w:t>3.4.1应急处置组</w:t>
      </w:r>
      <w:bookmarkEnd w:id="43"/>
      <w:bookmarkEnd w:id="44"/>
    </w:p>
    <w:p w14:paraId="199AAE6D">
      <w:pPr>
        <w:rPr>
          <w:rFonts w:hint="default"/>
          <w:highlight w:val="none"/>
          <w:lang w:val="en-US" w:eastAsia="zh-CN"/>
        </w:rPr>
      </w:pPr>
      <w:r>
        <w:rPr>
          <w:rFonts w:hint="default"/>
          <w:highlight w:val="none"/>
          <w:lang w:val="en-US" w:eastAsia="zh-CN"/>
        </w:rPr>
        <w:t>牵头单位：吕梁市生态环境局汾阳分局。</w:t>
      </w:r>
    </w:p>
    <w:p w14:paraId="5E2596EC">
      <w:pPr>
        <w:rPr>
          <w:rFonts w:hint="default"/>
          <w:highlight w:val="none"/>
          <w:lang w:val="en-US" w:eastAsia="zh-CN"/>
        </w:rPr>
      </w:pPr>
      <w:r>
        <w:rPr>
          <w:rFonts w:hint="default"/>
          <w:highlight w:val="none"/>
          <w:lang w:val="en-US" w:eastAsia="zh-CN"/>
        </w:rPr>
        <w:t>成员单位：山西杏花村汾酒集团有限责任公司</w:t>
      </w:r>
      <w:r>
        <w:rPr>
          <w:rFonts w:hint="eastAsia"/>
          <w:highlight w:val="none"/>
          <w:lang w:val="en-US" w:eastAsia="zh-CN"/>
        </w:rPr>
        <w:t>、</w:t>
      </w:r>
      <w:r>
        <w:rPr>
          <w:rFonts w:hint="default"/>
          <w:highlight w:val="none"/>
          <w:lang w:val="en-US" w:eastAsia="zh-CN"/>
        </w:rPr>
        <w:t>汾阳市应急管理局、</w:t>
      </w:r>
      <w:r>
        <w:rPr>
          <w:rFonts w:hint="eastAsia"/>
          <w:highlight w:val="none"/>
          <w:lang w:val="en-US" w:eastAsia="zh-CN"/>
        </w:rPr>
        <w:t>汾阳市交通运输局、汾阳市农业农村局、汾阳市水务局、汾阳市住房和城乡建设管理局</w:t>
      </w:r>
      <w:r>
        <w:rPr>
          <w:rFonts w:hint="default"/>
          <w:highlight w:val="none"/>
          <w:lang w:val="en-US" w:eastAsia="zh-CN"/>
        </w:rPr>
        <w:t>、</w:t>
      </w:r>
      <w:r>
        <w:rPr>
          <w:rFonts w:hint="eastAsia"/>
          <w:highlight w:val="none"/>
          <w:lang w:val="en-US" w:eastAsia="zh-CN"/>
        </w:rPr>
        <w:t>汾阳市自然资源局</w:t>
      </w:r>
      <w:r>
        <w:rPr>
          <w:rFonts w:hint="default"/>
          <w:highlight w:val="none"/>
          <w:lang w:val="en-US" w:eastAsia="zh-CN"/>
        </w:rPr>
        <w:t>、汾阳市公安局、汾阳市消防救援大队、</w:t>
      </w:r>
      <w:r>
        <w:rPr>
          <w:rFonts w:hint="eastAsia"/>
          <w:highlight w:val="none"/>
          <w:lang w:val="en-US" w:eastAsia="zh-CN"/>
        </w:rPr>
        <w:t>杏花村镇人民政府</w:t>
      </w:r>
      <w:r>
        <w:rPr>
          <w:rFonts w:hint="default"/>
          <w:highlight w:val="none"/>
          <w:lang w:val="en-US" w:eastAsia="zh-CN"/>
        </w:rPr>
        <w:t>。</w:t>
      </w:r>
    </w:p>
    <w:p w14:paraId="76B5ED7C">
      <w:pPr>
        <w:rPr>
          <w:rFonts w:hint="default"/>
          <w:highlight w:val="none"/>
          <w:lang w:val="en-US" w:eastAsia="zh-CN"/>
        </w:rPr>
      </w:pPr>
      <w:r>
        <w:rPr>
          <w:rFonts w:hint="default"/>
          <w:highlight w:val="none"/>
          <w:lang w:val="en-US" w:eastAsia="zh-CN"/>
        </w:rPr>
        <w:t>主要职责：（1）制定应急处置方案；（2）负责现场污染物消除、围堵和削减，以及污染物收集、转运和异地处置等工作。</w:t>
      </w:r>
    </w:p>
    <w:p w14:paraId="1266FACF">
      <w:pPr>
        <w:pStyle w:val="4"/>
        <w:bidi w:val="0"/>
        <w:rPr>
          <w:rFonts w:hint="eastAsia"/>
          <w:highlight w:val="none"/>
          <w:lang w:val="en-US" w:eastAsia="zh-CN"/>
        </w:rPr>
      </w:pPr>
      <w:bookmarkStart w:id="45" w:name="_Toc28928"/>
      <w:bookmarkStart w:id="46" w:name="_Toc10625"/>
      <w:r>
        <w:rPr>
          <w:rFonts w:hint="eastAsia"/>
          <w:highlight w:val="none"/>
          <w:lang w:val="en-US" w:eastAsia="zh-CN"/>
        </w:rPr>
        <w:t>3.4.2应急监测组</w:t>
      </w:r>
      <w:bookmarkEnd w:id="45"/>
      <w:bookmarkEnd w:id="46"/>
    </w:p>
    <w:p w14:paraId="6DCD2F5A">
      <w:pPr>
        <w:rPr>
          <w:rFonts w:hint="default"/>
          <w:highlight w:val="none"/>
          <w:lang w:val="en-US" w:eastAsia="zh-CN"/>
        </w:rPr>
      </w:pPr>
      <w:r>
        <w:rPr>
          <w:rFonts w:hint="default"/>
          <w:highlight w:val="none"/>
          <w:lang w:val="en-US" w:eastAsia="zh-CN"/>
        </w:rPr>
        <w:t>牵头单位：吕梁市生态环境局汾阳分局。</w:t>
      </w:r>
    </w:p>
    <w:p w14:paraId="309B4126">
      <w:pPr>
        <w:rPr>
          <w:rFonts w:hint="default"/>
          <w:highlight w:val="none"/>
          <w:lang w:val="en-US" w:eastAsia="zh-CN"/>
        </w:rPr>
      </w:pPr>
      <w:r>
        <w:rPr>
          <w:rFonts w:hint="default"/>
          <w:highlight w:val="none"/>
          <w:lang w:val="en-US" w:eastAsia="zh-CN"/>
        </w:rPr>
        <w:t>成员单位：山西杏花村汾酒集团有限责任公司</w:t>
      </w:r>
      <w:r>
        <w:rPr>
          <w:rFonts w:hint="eastAsia"/>
          <w:highlight w:val="none"/>
          <w:lang w:val="en-US" w:eastAsia="zh-CN"/>
        </w:rPr>
        <w:t>、</w:t>
      </w:r>
      <w:r>
        <w:rPr>
          <w:rFonts w:hint="default"/>
          <w:highlight w:val="none"/>
          <w:lang w:val="en-US" w:eastAsia="zh-CN"/>
        </w:rPr>
        <w:t>汾阳市应急管理局、</w:t>
      </w:r>
      <w:r>
        <w:rPr>
          <w:rFonts w:hint="eastAsia"/>
          <w:highlight w:val="none"/>
          <w:lang w:val="en-US" w:eastAsia="zh-CN"/>
        </w:rPr>
        <w:t>汾阳市农业农村局、汾阳市水务局</w:t>
      </w:r>
      <w:r>
        <w:rPr>
          <w:rFonts w:hint="default"/>
          <w:highlight w:val="none"/>
          <w:lang w:val="en-US" w:eastAsia="zh-CN"/>
        </w:rPr>
        <w:t>、汾阳市卫生健康局、汾阳市气象局。</w:t>
      </w:r>
    </w:p>
    <w:p w14:paraId="5584C4CD">
      <w:pPr>
        <w:rPr>
          <w:rFonts w:hint="default"/>
          <w:highlight w:val="none"/>
          <w:lang w:val="en-US" w:eastAsia="zh-CN"/>
        </w:rPr>
      </w:pPr>
      <w:r>
        <w:rPr>
          <w:rFonts w:hint="default"/>
          <w:highlight w:val="none"/>
          <w:lang w:val="en-US" w:eastAsia="zh-CN"/>
        </w:rPr>
        <w:t>主要职责：（1）负责制定应急监测方案；（2）负责在污染带上游、下游分别设置断面进行应急监测；（3）负责应急期间的水源地、水厂和管网末梢水的水质监测。</w:t>
      </w:r>
    </w:p>
    <w:p w14:paraId="6E94B6DA">
      <w:pPr>
        <w:pStyle w:val="4"/>
        <w:bidi w:val="0"/>
        <w:rPr>
          <w:rFonts w:hint="eastAsia"/>
          <w:highlight w:val="none"/>
          <w:lang w:val="en-US" w:eastAsia="zh-CN"/>
        </w:rPr>
      </w:pPr>
      <w:bookmarkStart w:id="47" w:name="_Toc25907"/>
      <w:bookmarkStart w:id="48" w:name="_Toc23279"/>
      <w:r>
        <w:rPr>
          <w:rFonts w:hint="eastAsia"/>
          <w:highlight w:val="none"/>
          <w:lang w:val="en-US" w:eastAsia="zh-CN"/>
        </w:rPr>
        <w:t>3.4.3应急供水保障组</w:t>
      </w:r>
      <w:bookmarkEnd w:id="47"/>
      <w:bookmarkEnd w:id="48"/>
    </w:p>
    <w:p w14:paraId="533397BB">
      <w:pPr>
        <w:rPr>
          <w:rFonts w:hint="default"/>
          <w:highlight w:val="none"/>
          <w:lang w:val="en-US" w:eastAsia="zh-CN"/>
        </w:rPr>
      </w:pPr>
      <w:r>
        <w:rPr>
          <w:rFonts w:hint="default"/>
          <w:highlight w:val="none"/>
          <w:lang w:val="en-US" w:eastAsia="zh-CN"/>
        </w:rPr>
        <w:t>牵头单位：</w:t>
      </w:r>
      <w:r>
        <w:rPr>
          <w:rFonts w:hint="eastAsia"/>
          <w:highlight w:val="none"/>
          <w:lang w:val="en-US" w:eastAsia="zh-CN"/>
        </w:rPr>
        <w:t>汾阳市交通运输局、汾阳市住房和城乡建设管理局、汾阳市农业农村局、汾阳市水务局、汾阳市自来水公司</w:t>
      </w:r>
      <w:r>
        <w:rPr>
          <w:rFonts w:hint="default"/>
          <w:highlight w:val="none"/>
          <w:lang w:val="en-US" w:eastAsia="zh-CN"/>
        </w:rPr>
        <w:t>。</w:t>
      </w:r>
    </w:p>
    <w:p w14:paraId="3886198D">
      <w:pPr>
        <w:rPr>
          <w:rFonts w:hint="default"/>
          <w:highlight w:val="none"/>
          <w:lang w:val="en-US" w:eastAsia="zh-CN"/>
        </w:rPr>
      </w:pPr>
      <w:r>
        <w:rPr>
          <w:rFonts w:hint="default"/>
          <w:highlight w:val="none"/>
          <w:lang w:val="en-US" w:eastAsia="zh-CN"/>
        </w:rPr>
        <w:t>成员单位：汾阳市应急管理局、吕梁市生态环境局汾阳分局、山西杏花村汾酒集团有限责任公司</w:t>
      </w:r>
      <w:r>
        <w:rPr>
          <w:rFonts w:hint="eastAsia"/>
          <w:highlight w:val="none"/>
          <w:lang w:val="en-US" w:eastAsia="zh-CN"/>
        </w:rPr>
        <w:t>、杏花村镇人民政府</w:t>
      </w:r>
      <w:r>
        <w:rPr>
          <w:rFonts w:hint="default"/>
          <w:highlight w:val="none"/>
          <w:lang w:val="en-US" w:eastAsia="zh-CN"/>
        </w:rPr>
        <w:t>。</w:t>
      </w:r>
    </w:p>
    <w:p w14:paraId="5424DE9B">
      <w:pPr>
        <w:rPr>
          <w:rFonts w:hint="default"/>
          <w:highlight w:val="none"/>
          <w:lang w:val="en-US" w:eastAsia="zh-CN"/>
        </w:rPr>
      </w:pPr>
      <w:r>
        <w:rPr>
          <w:rFonts w:hint="default"/>
          <w:highlight w:val="none"/>
          <w:lang w:val="en-US" w:eastAsia="zh-CN"/>
        </w:rPr>
        <w:t>主要职责：制定应急供水保障方案，指导供水单位启动深度处理设施或启用备用水源及调配应急供水车等保障措施，保障居民用水。</w:t>
      </w:r>
    </w:p>
    <w:p w14:paraId="7EB122B4">
      <w:pPr>
        <w:pStyle w:val="4"/>
        <w:bidi w:val="0"/>
        <w:rPr>
          <w:rFonts w:hint="eastAsia"/>
          <w:highlight w:val="none"/>
          <w:lang w:val="en-US" w:eastAsia="zh-CN"/>
        </w:rPr>
      </w:pPr>
      <w:bookmarkStart w:id="49" w:name="_Toc18329"/>
      <w:bookmarkStart w:id="50" w:name="_Toc23782"/>
      <w:r>
        <w:rPr>
          <w:rFonts w:hint="eastAsia"/>
          <w:highlight w:val="none"/>
          <w:lang w:val="en-US" w:eastAsia="zh-CN"/>
        </w:rPr>
        <w:t>3.4.4应急物资保障组</w:t>
      </w:r>
      <w:bookmarkEnd w:id="49"/>
      <w:bookmarkEnd w:id="50"/>
    </w:p>
    <w:p w14:paraId="10EA0CD5">
      <w:pPr>
        <w:rPr>
          <w:rFonts w:hint="default"/>
          <w:highlight w:val="none"/>
          <w:lang w:val="en-US" w:eastAsia="zh-CN"/>
        </w:rPr>
      </w:pPr>
      <w:r>
        <w:rPr>
          <w:rFonts w:hint="default"/>
          <w:highlight w:val="none"/>
          <w:lang w:val="en-US" w:eastAsia="zh-CN"/>
        </w:rPr>
        <w:t>牵头单位：汾阳市应急管理局</w:t>
      </w:r>
      <w:r>
        <w:rPr>
          <w:rFonts w:hint="eastAsia"/>
          <w:highlight w:val="none"/>
          <w:lang w:val="en-US" w:eastAsia="zh-CN"/>
        </w:rPr>
        <w:t>。</w:t>
      </w:r>
    </w:p>
    <w:p w14:paraId="67D24B16">
      <w:pPr>
        <w:rPr>
          <w:rFonts w:hint="default"/>
          <w:highlight w:val="none"/>
          <w:lang w:val="en-US" w:eastAsia="zh-CN"/>
        </w:rPr>
      </w:pPr>
      <w:r>
        <w:rPr>
          <w:rFonts w:hint="default"/>
          <w:highlight w:val="none"/>
          <w:lang w:val="en-US" w:eastAsia="zh-CN"/>
        </w:rPr>
        <w:t>成员单位：山西杏花村汾酒集团有限责任公司</w:t>
      </w:r>
      <w:r>
        <w:rPr>
          <w:rFonts w:hint="eastAsia"/>
          <w:highlight w:val="none"/>
          <w:lang w:val="en-US" w:eastAsia="zh-CN"/>
        </w:rPr>
        <w:t>、汾阳市交通运输局、汾阳市住房和城乡建设管理局、汾阳市农业农村局、汾阳市水务局</w:t>
      </w:r>
      <w:r>
        <w:rPr>
          <w:rFonts w:hint="default"/>
          <w:highlight w:val="none"/>
          <w:lang w:val="en-US" w:eastAsia="zh-CN"/>
        </w:rPr>
        <w:t>、汾阳市公安局、汾阳市财政局、汾阳市卫生健康局、汾阳市电力公司。</w:t>
      </w:r>
    </w:p>
    <w:p w14:paraId="1D09A699">
      <w:pPr>
        <w:rPr>
          <w:rFonts w:hint="default"/>
          <w:highlight w:val="none"/>
          <w:lang w:val="en-US" w:eastAsia="zh-CN"/>
        </w:rPr>
      </w:pPr>
      <w:r>
        <w:rPr>
          <w:rFonts w:hint="default"/>
          <w:highlight w:val="none"/>
          <w:lang w:val="en-US" w:eastAsia="zh-CN"/>
        </w:rPr>
        <w:t>主要职责：制定应急物资保障方案；负责调配应急物资、协调运输车辆；负责协调补偿征用物资、应急救援和污染物处置等费用。</w:t>
      </w:r>
    </w:p>
    <w:p w14:paraId="0386000D">
      <w:pPr>
        <w:pStyle w:val="4"/>
        <w:bidi w:val="0"/>
        <w:rPr>
          <w:rFonts w:hint="eastAsia"/>
          <w:highlight w:val="none"/>
          <w:lang w:val="en-US" w:eastAsia="zh-CN"/>
        </w:rPr>
      </w:pPr>
      <w:bookmarkStart w:id="51" w:name="_Toc19161"/>
      <w:bookmarkStart w:id="52" w:name="_Toc10799"/>
      <w:r>
        <w:rPr>
          <w:rFonts w:hint="eastAsia"/>
          <w:highlight w:val="none"/>
          <w:lang w:val="en-US" w:eastAsia="zh-CN"/>
        </w:rPr>
        <w:t>3.4.5医疗救治组</w:t>
      </w:r>
      <w:bookmarkEnd w:id="51"/>
      <w:bookmarkEnd w:id="52"/>
    </w:p>
    <w:p w14:paraId="534D0E6F">
      <w:pPr>
        <w:rPr>
          <w:rFonts w:hint="default"/>
          <w:highlight w:val="none"/>
          <w:lang w:val="en-US" w:eastAsia="zh-CN"/>
        </w:rPr>
      </w:pPr>
      <w:r>
        <w:rPr>
          <w:rFonts w:hint="default"/>
          <w:highlight w:val="none"/>
          <w:lang w:val="en-US" w:eastAsia="zh-CN"/>
        </w:rPr>
        <w:t>牵头单位：汾阳市卫生健康局</w:t>
      </w:r>
      <w:r>
        <w:rPr>
          <w:rFonts w:hint="eastAsia"/>
          <w:highlight w:val="none"/>
          <w:lang w:val="en-US" w:eastAsia="zh-CN"/>
        </w:rPr>
        <w:t>、汾阳市疾病预防控制中心。</w:t>
      </w:r>
    </w:p>
    <w:p w14:paraId="27DCECC0">
      <w:pPr>
        <w:rPr>
          <w:rFonts w:hint="default"/>
          <w:highlight w:val="none"/>
          <w:lang w:val="en-US" w:eastAsia="zh-CN"/>
        </w:rPr>
      </w:pPr>
      <w:r>
        <w:rPr>
          <w:rFonts w:hint="default"/>
          <w:highlight w:val="none"/>
          <w:lang w:val="en-US" w:eastAsia="zh-CN"/>
        </w:rPr>
        <w:t>成员单位：汾阳市消防救援大队、汾阳市公安局、</w:t>
      </w:r>
      <w:r>
        <w:rPr>
          <w:rFonts w:hint="eastAsia"/>
          <w:highlight w:val="none"/>
          <w:lang w:val="en-US" w:eastAsia="zh-CN"/>
        </w:rPr>
        <w:t>山西杏花村汾酒集团有限责任公司</w:t>
      </w:r>
      <w:r>
        <w:rPr>
          <w:rFonts w:hint="default"/>
          <w:highlight w:val="none"/>
          <w:lang w:val="en-US" w:eastAsia="zh-CN"/>
        </w:rPr>
        <w:t>。</w:t>
      </w:r>
    </w:p>
    <w:p w14:paraId="2732DBB9">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主要职责：（1）负责救治伤员；（2）负责事故现场的卫生防疫和监督工作；（3）及时向应急指挥部报告人员伤亡等情况。</w:t>
      </w:r>
    </w:p>
    <w:p w14:paraId="376E03B2">
      <w:pPr>
        <w:pStyle w:val="4"/>
        <w:bidi w:val="0"/>
        <w:rPr>
          <w:rFonts w:hint="eastAsia"/>
          <w:highlight w:val="none"/>
          <w:lang w:val="en-US" w:eastAsia="zh-CN"/>
        </w:rPr>
      </w:pPr>
      <w:bookmarkStart w:id="53" w:name="_Toc18017"/>
      <w:bookmarkStart w:id="54" w:name="_Toc19467"/>
      <w:r>
        <w:rPr>
          <w:rFonts w:hint="eastAsia"/>
          <w:highlight w:val="none"/>
          <w:lang w:val="en-US" w:eastAsia="zh-CN"/>
        </w:rPr>
        <w:t>3.4.6宣传报道组</w:t>
      </w:r>
      <w:bookmarkEnd w:id="53"/>
      <w:bookmarkEnd w:id="54"/>
    </w:p>
    <w:p w14:paraId="0A65F732">
      <w:pPr>
        <w:bidi w:val="0"/>
        <w:rPr>
          <w:rFonts w:hint="default"/>
          <w:highlight w:val="none"/>
          <w:lang w:val="en-US" w:eastAsia="zh-CN"/>
        </w:rPr>
      </w:pPr>
      <w:r>
        <w:rPr>
          <w:rFonts w:hint="default"/>
          <w:highlight w:val="none"/>
          <w:lang w:val="en-US" w:eastAsia="zh-CN"/>
        </w:rPr>
        <w:t>牵头单位：</w:t>
      </w:r>
      <w:r>
        <w:rPr>
          <w:rFonts w:hint="eastAsia"/>
          <w:b w:val="0"/>
          <w:bCs w:val="0"/>
          <w:highlight w:val="none"/>
          <w:lang w:val="en-US" w:eastAsia="zh-CN"/>
        </w:rPr>
        <w:t>汾阳</w:t>
      </w:r>
      <w:r>
        <w:rPr>
          <w:rFonts w:hint="default"/>
          <w:b w:val="0"/>
          <w:bCs w:val="0"/>
          <w:highlight w:val="none"/>
          <w:lang w:val="en-US" w:eastAsia="zh-CN"/>
        </w:rPr>
        <w:t>市融媒体中心</w:t>
      </w:r>
      <w:r>
        <w:rPr>
          <w:rFonts w:hint="eastAsia"/>
          <w:b w:val="0"/>
          <w:bCs w:val="0"/>
          <w:highlight w:val="none"/>
          <w:lang w:val="en-US" w:eastAsia="zh-CN"/>
        </w:rPr>
        <w:t>。</w:t>
      </w:r>
    </w:p>
    <w:p w14:paraId="0C247070">
      <w:pPr>
        <w:bidi w:val="0"/>
        <w:rPr>
          <w:rFonts w:hint="default"/>
          <w:highlight w:val="none"/>
          <w:lang w:val="en-US" w:eastAsia="zh-CN"/>
        </w:rPr>
      </w:pPr>
      <w:r>
        <w:rPr>
          <w:rFonts w:hint="default"/>
          <w:highlight w:val="none"/>
          <w:lang w:val="en-US" w:eastAsia="zh-CN"/>
        </w:rPr>
        <w:t>成员单位：汾阳市民政局。</w:t>
      </w:r>
    </w:p>
    <w:p w14:paraId="6F453558">
      <w:pPr>
        <w:bidi w:val="0"/>
        <w:rPr>
          <w:rFonts w:hint="default"/>
          <w:highlight w:val="none"/>
          <w:lang w:val="en-US" w:eastAsia="zh-CN"/>
        </w:rPr>
      </w:pPr>
      <w:r>
        <w:rPr>
          <w:rFonts w:hint="default"/>
          <w:highlight w:val="none"/>
          <w:lang w:val="en-US" w:eastAsia="zh-CN"/>
        </w:rPr>
        <w:t>主要职责：（1）负责宣传报道工作；（2）加强舆情收集分析，正确引导社会舆论。</w:t>
      </w:r>
    </w:p>
    <w:p w14:paraId="358CDD80">
      <w:pPr>
        <w:pStyle w:val="4"/>
        <w:bidi w:val="0"/>
        <w:rPr>
          <w:rFonts w:hint="eastAsia"/>
          <w:highlight w:val="none"/>
          <w:lang w:val="en-US" w:eastAsia="zh-CN"/>
        </w:rPr>
      </w:pPr>
      <w:bookmarkStart w:id="55" w:name="_Toc11483"/>
      <w:bookmarkStart w:id="56" w:name="_Toc18632"/>
      <w:r>
        <w:rPr>
          <w:rFonts w:hint="eastAsia"/>
          <w:highlight w:val="none"/>
          <w:lang w:val="en-US" w:eastAsia="zh-CN"/>
        </w:rPr>
        <w:t>3.4.7应急专家组</w:t>
      </w:r>
      <w:bookmarkEnd w:id="55"/>
      <w:bookmarkEnd w:id="56"/>
    </w:p>
    <w:p w14:paraId="1B2A1721">
      <w:pPr>
        <w:rPr>
          <w:rFonts w:hint="default"/>
          <w:highlight w:val="none"/>
          <w:lang w:val="en-US" w:eastAsia="zh-CN"/>
        </w:rPr>
      </w:pPr>
      <w:r>
        <w:rPr>
          <w:rFonts w:hint="default"/>
          <w:highlight w:val="none"/>
          <w:lang w:val="en-US" w:eastAsia="zh-CN"/>
        </w:rPr>
        <w:t>牵头单位：吕梁市生态环境局汾阳分局</w:t>
      </w:r>
    </w:p>
    <w:p w14:paraId="1D8FCC16">
      <w:pPr>
        <w:rPr>
          <w:rFonts w:hint="default"/>
          <w:highlight w:val="none"/>
          <w:lang w:val="en-US" w:eastAsia="zh-CN"/>
        </w:rPr>
      </w:pPr>
      <w:r>
        <w:rPr>
          <w:rFonts w:hint="default"/>
          <w:highlight w:val="none"/>
          <w:lang w:val="en-US" w:eastAsia="zh-CN"/>
        </w:rPr>
        <w:t>成员单位：汾阳市应急管理局、</w:t>
      </w:r>
      <w:r>
        <w:rPr>
          <w:rFonts w:hint="eastAsia"/>
          <w:highlight w:val="none"/>
          <w:lang w:val="en-US" w:eastAsia="zh-CN"/>
        </w:rPr>
        <w:t>汾阳市交通运输局、汾阳市住房和城乡建设管理局、汾阳市农业农村局、汾阳市水务局</w:t>
      </w:r>
      <w:r>
        <w:rPr>
          <w:rFonts w:hint="default"/>
          <w:highlight w:val="none"/>
          <w:lang w:val="en-US" w:eastAsia="zh-CN"/>
        </w:rPr>
        <w:t>、专家组。</w:t>
      </w:r>
    </w:p>
    <w:p w14:paraId="5D677409">
      <w:pPr>
        <w:bidi w:val="0"/>
        <w:rPr>
          <w:rFonts w:hint="default"/>
        </w:rPr>
      </w:pPr>
      <w:r>
        <w:rPr>
          <w:rFonts w:hint="default"/>
          <w:highlight w:val="none"/>
          <w:lang w:val="en-US" w:eastAsia="zh-CN"/>
        </w:rPr>
        <w:t>主要职责：为现场应急处置提供技术支持。</w:t>
      </w:r>
    </w:p>
    <w:p w14:paraId="7CF1A986">
      <w:pPr>
        <w:bidi w:val="0"/>
        <w:rPr>
          <w:rFonts w:hint="default" w:ascii="Times New Roman" w:hAnsi="Times New Roman" w:eastAsia="仿宋" w:cs="Times New Roman"/>
          <w:szCs w:val="28"/>
          <w:highlight w:val="none"/>
        </w:rPr>
      </w:pPr>
      <w:r>
        <w:rPr>
          <w:rFonts w:hint="default"/>
        </w:rPr>
        <w:t>工作组设置、组成和职责可根据实际工作需要作适当调整。现场应急工作组职责见</w:t>
      </w:r>
      <w:r>
        <w:rPr>
          <w:rFonts w:hint="eastAsia"/>
          <w:lang w:val="en-US" w:eastAsia="zh-CN"/>
        </w:rPr>
        <w:t>表3.4-1</w:t>
      </w:r>
      <w:r>
        <w:rPr>
          <w:rFonts w:hint="default"/>
        </w:rPr>
        <w:t>。</w:t>
      </w:r>
    </w:p>
    <w:p w14:paraId="372A0337">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textAlignment w:val="auto"/>
        <w:rPr>
          <w:rFonts w:hint="default" w:ascii="Times New Roman" w:hAnsi="Times New Roman" w:eastAsia="仿宋" w:cs="Times New Roman"/>
          <w:sz w:val="28"/>
          <w:szCs w:val="28"/>
          <w:highlight w:val="none"/>
        </w:rPr>
        <w:sectPr>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pPr>
    </w:p>
    <w:p w14:paraId="309F5702">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b/>
          <w:bCs/>
          <w:sz w:val="24"/>
          <w:szCs w:val="24"/>
          <w:lang w:val="en-US" w:eastAsia="zh-CN"/>
        </w:rPr>
      </w:pPr>
      <w:r>
        <w:rPr>
          <w:rFonts w:hint="eastAsia" w:ascii="Times New Roman" w:hAnsi="Times New Roman" w:eastAsia="仿宋" w:cs="Times New Roman"/>
          <w:b/>
          <w:bCs/>
          <w:sz w:val="24"/>
          <w:szCs w:val="24"/>
          <w:lang w:val="en-US" w:eastAsia="zh-CN"/>
        </w:rPr>
        <w:t>表3</w:t>
      </w:r>
      <w:r>
        <w:rPr>
          <w:rFonts w:hint="eastAsia" w:ascii="Times New Roman" w:hAnsi="Times New Roman" w:cs="Times New Roman"/>
          <w:b/>
          <w:bCs/>
          <w:sz w:val="24"/>
          <w:szCs w:val="24"/>
          <w:lang w:val="en-US" w:eastAsia="zh-CN"/>
        </w:rPr>
        <w:t>.4</w:t>
      </w:r>
      <w:r>
        <w:rPr>
          <w:rFonts w:hint="eastAsia" w:ascii="Times New Roman" w:hAnsi="Times New Roman" w:eastAsia="仿宋" w:cs="Times New Roman"/>
          <w:b/>
          <w:bCs/>
          <w:sz w:val="24"/>
          <w:szCs w:val="24"/>
          <w:lang w:val="en-US" w:eastAsia="zh-CN"/>
        </w:rPr>
        <w:t>-</w:t>
      </w:r>
      <w:r>
        <w:rPr>
          <w:rFonts w:hint="eastAsia" w:ascii="Times New Roman" w:hAnsi="Times New Roman" w:cs="Times New Roman"/>
          <w:b/>
          <w:bCs/>
          <w:sz w:val="24"/>
          <w:szCs w:val="24"/>
          <w:lang w:val="en-US" w:eastAsia="zh-CN"/>
        </w:rPr>
        <w:t>1</w:t>
      </w:r>
      <w:r>
        <w:rPr>
          <w:rFonts w:hint="default" w:ascii="Times New Roman" w:hAnsi="Times New Roman" w:eastAsia="仿宋" w:cs="Times New Roman"/>
          <w:b/>
          <w:bCs/>
          <w:sz w:val="24"/>
          <w:szCs w:val="24"/>
          <w:lang w:val="en-US" w:eastAsia="zh-CN"/>
        </w:rPr>
        <w:t>应急工作组职责表</w:t>
      </w:r>
    </w:p>
    <w:tbl>
      <w:tblPr>
        <w:tblStyle w:val="28"/>
        <w:tblW w:w="136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01"/>
        <w:gridCol w:w="934"/>
        <w:gridCol w:w="6076"/>
        <w:gridCol w:w="5600"/>
      </w:tblGrid>
      <w:tr w14:paraId="39E9D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atLeast"/>
          <w:jc w:val="center"/>
        </w:trPr>
        <w:tc>
          <w:tcPr>
            <w:tcW w:w="8011" w:type="dxa"/>
            <w:gridSpan w:val="3"/>
            <w:noWrap w:val="0"/>
            <w:vAlign w:val="center"/>
          </w:tcPr>
          <w:p w14:paraId="209ABD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bCs/>
                <w:sz w:val="24"/>
                <w:szCs w:val="24"/>
                <w:highlight w:val="none"/>
              </w:rPr>
            </w:pPr>
            <w:r>
              <w:rPr>
                <w:rFonts w:hint="default" w:ascii="Times New Roman" w:hAnsi="Times New Roman" w:eastAsia="仿宋" w:cs="Times New Roman"/>
                <w:b/>
                <w:bCs/>
                <w:sz w:val="24"/>
                <w:szCs w:val="24"/>
                <w:highlight w:val="none"/>
              </w:rPr>
              <w:t>现场应急工作组</w:t>
            </w:r>
          </w:p>
        </w:tc>
        <w:tc>
          <w:tcPr>
            <w:tcW w:w="5600" w:type="dxa"/>
            <w:noWrap w:val="0"/>
            <w:vAlign w:val="center"/>
          </w:tcPr>
          <w:p w14:paraId="04D3D1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bCs/>
                <w:sz w:val="24"/>
                <w:szCs w:val="24"/>
                <w:highlight w:val="none"/>
              </w:rPr>
            </w:pPr>
            <w:r>
              <w:rPr>
                <w:rFonts w:hint="default" w:ascii="Times New Roman" w:hAnsi="Times New Roman" w:eastAsia="仿宋" w:cs="Times New Roman"/>
                <w:b/>
                <w:bCs/>
                <w:sz w:val="24"/>
                <w:szCs w:val="24"/>
                <w:highlight w:val="none"/>
              </w:rPr>
              <w:t>应急职责</w:t>
            </w:r>
          </w:p>
        </w:tc>
      </w:tr>
      <w:tr w14:paraId="22386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1001" w:type="dxa"/>
            <w:vMerge w:val="restart"/>
            <w:noWrap w:val="0"/>
            <w:vAlign w:val="center"/>
          </w:tcPr>
          <w:p w14:paraId="7923BC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应急处置组</w:t>
            </w:r>
          </w:p>
        </w:tc>
        <w:tc>
          <w:tcPr>
            <w:tcW w:w="934" w:type="dxa"/>
            <w:noWrap w:val="0"/>
            <w:vAlign w:val="center"/>
          </w:tcPr>
          <w:p w14:paraId="5DA2A3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牵头单位</w:t>
            </w:r>
          </w:p>
        </w:tc>
        <w:tc>
          <w:tcPr>
            <w:tcW w:w="6076" w:type="dxa"/>
            <w:noWrap w:val="0"/>
            <w:vAlign w:val="center"/>
          </w:tcPr>
          <w:p w14:paraId="3BC5D5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吕梁市生态环境局汾阳分局</w:t>
            </w:r>
          </w:p>
        </w:tc>
        <w:tc>
          <w:tcPr>
            <w:tcW w:w="5600" w:type="dxa"/>
            <w:vMerge w:val="restart"/>
            <w:noWrap w:val="0"/>
            <w:vAlign w:val="center"/>
          </w:tcPr>
          <w:p w14:paraId="39B9C9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（1）制定应急处置方案；</w:t>
            </w:r>
          </w:p>
          <w:p w14:paraId="34B481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（2）负责现场污染物消除、围堵和削减，以及污染物收集、转运和异地处置等工作。</w:t>
            </w:r>
          </w:p>
        </w:tc>
      </w:tr>
      <w:tr w14:paraId="77FFB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0" w:hRule="atLeast"/>
          <w:jc w:val="center"/>
        </w:trPr>
        <w:tc>
          <w:tcPr>
            <w:tcW w:w="1001" w:type="dxa"/>
            <w:vMerge w:val="continue"/>
            <w:noWrap w:val="0"/>
            <w:vAlign w:val="center"/>
          </w:tcPr>
          <w:p w14:paraId="576E04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sz w:val="24"/>
                <w:szCs w:val="24"/>
                <w:highlight w:val="none"/>
              </w:rPr>
            </w:pPr>
          </w:p>
        </w:tc>
        <w:tc>
          <w:tcPr>
            <w:tcW w:w="934" w:type="dxa"/>
            <w:noWrap w:val="0"/>
            <w:vAlign w:val="center"/>
          </w:tcPr>
          <w:p w14:paraId="10B67C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成员单位</w:t>
            </w:r>
          </w:p>
        </w:tc>
        <w:tc>
          <w:tcPr>
            <w:tcW w:w="6076" w:type="dxa"/>
            <w:noWrap w:val="0"/>
            <w:vAlign w:val="center"/>
          </w:tcPr>
          <w:p w14:paraId="7F53D4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lang w:val="en-US" w:eastAsia="zh-CN"/>
              </w:rPr>
              <w:t>山西杏花村汾酒集团有限责任公司、汾阳市应急管理局、汾阳市交通运输局、汾阳市农业农村局、汾阳市水务局、汾阳市住房和城乡建设管理局、</w:t>
            </w:r>
            <w:r>
              <w:rPr>
                <w:rFonts w:hint="eastAsia" w:cs="Times New Roman"/>
                <w:sz w:val="24"/>
                <w:szCs w:val="24"/>
                <w:highlight w:val="none"/>
                <w:lang w:val="en-US" w:eastAsia="zh-CN"/>
              </w:rPr>
              <w:t>汾阳市自然资源局</w:t>
            </w:r>
            <w:r>
              <w:rPr>
                <w:rFonts w:hint="default" w:ascii="Times New Roman" w:hAnsi="Times New Roman" w:eastAsia="仿宋" w:cs="Times New Roman"/>
                <w:sz w:val="24"/>
                <w:szCs w:val="24"/>
                <w:highlight w:val="none"/>
                <w:lang w:val="en-US" w:eastAsia="zh-CN"/>
              </w:rPr>
              <w:t>、汾阳市公安局、汾阳市消防救援大队、杏花村镇人民政府</w:t>
            </w:r>
          </w:p>
        </w:tc>
        <w:tc>
          <w:tcPr>
            <w:tcW w:w="5600" w:type="dxa"/>
            <w:vMerge w:val="continue"/>
            <w:noWrap w:val="0"/>
            <w:vAlign w:val="center"/>
          </w:tcPr>
          <w:p w14:paraId="07BD47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sz w:val="24"/>
                <w:szCs w:val="24"/>
                <w:highlight w:val="none"/>
              </w:rPr>
            </w:pPr>
          </w:p>
        </w:tc>
      </w:tr>
      <w:tr w14:paraId="5A01E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1001" w:type="dxa"/>
            <w:vMerge w:val="restart"/>
            <w:noWrap w:val="0"/>
            <w:vAlign w:val="center"/>
          </w:tcPr>
          <w:p w14:paraId="4FCE6F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应急监测组</w:t>
            </w:r>
          </w:p>
        </w:tc>
        <w:tc>
          <w:tcPr>
            <w:tcW w:w="934" w:type="dxa"/>
            <w:noWrap w:val="0"/>
            <w:vAlign w:val="center"/>
          </w:tcPr>
          <w:p w14:paraId="0B5118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牵头单位</w:t>
            </w:r>
          </w:p>
        </w:tc>
        <w:tc>
          <w:tcPr>
            <w:tcW w:w="6076" w:type="dxa"/>
            <w:noWrap w:val="0"/>
            <w:vAlign w:val="center"/>
          </w:tcPr>
          <w:p w14:paraId="29B7A2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吕梁市生态环境局汾阳分局</w:t>
            </w:r>
          </w:p>
        </w:tc>
        <w:tc>
          <w:tcPr>
            <w:tcW w:w="5600" w:type="dxa"/>
            <w:vMerge w:val="restart"/>
            <w:noWrap w:val="0"/>
            <w:vAlign w:val="center"/>
          </w:tcPr>
          <w:p w14:paraId="180E98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（1）负责制定应急监测方案；</w:t>
            </w:r>
          </w:p>
          <w:p w14:paraId="39FE8D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（2）负责在污染带上游、下游分别设置断面进行应急监测；</w:t>
            </w:r>
          </w:p>
          <w:p w14:paraId="741B83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（3）负责应急期间的水源地、水厂和管网末梢水的水质监测。</w:t>
            </w:r>
          </w:p>
        </w:tc>
      </w:tr>
      <w:tr w14:paraId="5ED06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4" w:hRule="atLeast"/>
          <w:jc w:val="center"/>
        </w:trPr>
        <w:tc>
          <w:tcPr>
            <w:tcW w:w="1001" w:type="dxa"/>
            <w:vMerge w:val="continue"/>
            <w:noWrap w:val="0"/>
            <w:vAlign w:val="center"/>
          </w:tcPr>
          <w:p w14:paraId="5CA167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sz w:val="24"/>
                <w:szCs w:val="24"/>
                <w:highlight w:val="none"/>
              </w:rPr>
            </w:pPr>
          </w:p>
        </w:tc>
        <w:tc>
          <w:tcPr>
            <w:tcW w:w="934" w:type="dxa"/>
            <w:noWrap w:val="0"/>
            <w:vAlign w:val="center"/>
          </w:tcPr>
          <w:p w14:paraId="4EABC5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成员单位</w:t>
            </w:r>
          </w:p>
        </w:tc>
        <w:tc>
          <w:tcPr>
            <w:tcW w:w="6076" w:type="dxa"/>
            <w:noWrap w:val="0"/>
            <w:vAlign w:val="center"/>
          </w:tcPr>
          <w:p w14:paraId="0022D9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lang w:val="en-US" w:eastAsia="zh-CN"/>
              </w:rPr>
              <w:t>山西杏花村汾酒集团有限责任公司、汾阳市应急管理局、汾阳市农业农村局、汾阳市水务局、汾阳市卫生健康局、汾阳市气象局</w:t>
            </w:r>
          </w:p>
        </w:tc>
        <w:tc>
          <w:tcPr>
            <w:tcW w:w="5600" w:type="dxa"/>
            <w:vMerge w:val="continue"/>
            <w:noWrap w:val="0"/>
            <w:vAlign w:val="center"/>
          </w:tcPr>
          <w:p w14:paraId="285925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sz w:val="24"/>
                <w:szCs w:val="24"/>
                <w:highlight w:val="none"/>
              </w:rPr>
            </w:pPr>
          </w:p>
        </w:tc>
      </w:tr>
      <w:tr w14:paraId="467A4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1001" w:type="dxa"/>
            <w:vMerge w:val="restart"/>
            <w:noWrap w:val="0"/>
            <w:vAlign w:val="center"/>
          </w:tcPr>
          <w:p w14:paraId="58CF27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应急供水</w:t>
            </w:r>
          </w:p>
          <w:p w14:paraId="622923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保障组</w:t>
            </w:r>
          </w:p>
        </w:tc>
        <w:tc>
          <w:tcPr>
            <w:tcW w:w="934" w:type="dxa"/>
            <w:noWrap w:val="0"/>
            <w:vAlign w:val="center"/>
          </w:tcPr>
          <w:p w14:paraId="4972B1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牵头单位</w:t>
            </w:r>
          </w:p>
        </w:tc>
        <w:tc>
          <w:tcPr>
            <w:tcW w:w="6076" w:type="dxa"/>
            <w:noWrap w:val="0"/>
            <w:vAlign w:val="center"/>
          </w:tcPr>
          <w:p w14:paraId="34AE05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lang w:val="en-US" w:eastAsia="zh-CN"/>
              </w:rPr>
              <w:t>汾阳市交通运输局、汾阳市住房和城乡建设管理局、汾阳市农业农村局、汾阳市水务局、汾阳市自来水公司</w:t>
            </w:r>
          </w:p>
        </w:tc>
        <w:tc>
          <w:tcPr>
            <w:tcW w:w="5600" w:type="dxa"/>
            <w:vMerge w:val="restart"/>
            <w:noWrap w:val="0"/>
            <w:vAlign w:val="center"/>
          </w:tcPr>
          <w:p w14:paraId="2AC265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制定应急供水保障方案，指导供水单位启动深度处理设施或启用备用水源及调配应急供水车等保障措施，保障居民用水。</w:t>
            </w:r>
          </w:p>
        </w:tc>
      </w:tr>
      <w:tr w14:paraId="178D9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5" w:hRule="atLeast"/>
          <w:jc w:val="center"/>
        </w:trPr>
        <w:tc>
          <w:tcPr>
            <w:tcW w:w="1001" w:type="dxa"/>
            <w:vMerge w:val="continue"/>
            <w:noWrap w:val="0"/>
            <w:vAlign w:val="center"/>
          </w:tcPr>
          <w:p w14:paraId="0B6E3F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sz w:val="24"/>
                <w:szCs w:val="24"/>
                <w:highlight w:val="none"/>
              </w:rPr>
            </w:pPr>
          </w:p>
        </w:tc>
        <w:tc>
          <w:tcPr>
            <w:tcW w:w="934" w:type="dxa"/>
            <w:noWrap w:val="0"/>
            <w:vAlign w:val="center"/>
          </w:tcPr>
          <w:p w14:paraId="70D26C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成员单位</w:t>
            </w:r>
          </w:p>
        </w:tc>
        <w:tc>
          <w:tcPr>
            <w:tcW w:w="6076" w:type="dxa"/>
            <w:noWrap w:val="0"/>
            <w:vAlign w:val="center"/>
          </w:tcPr>
          <w:p w14:paraId="160343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lang w:val="en-US" w:eastAsia="zh-CN"/>
              </w:rPr>
              <w:t>汾阳市应急管理局、吕梁市生态环境局汾阳分局、山西杏花村汾酒集团有限责任公司、杏花村镇人民政府</w:t>
            </w:r>
          </w:p>
        </w:tc>
        <w:tc>
          <w:tcPr>
            <w:tcW w:w="5600" w:type="dxa"/>
            <w:vMerge w:val="continue"/>
            <w:noWrap w:val="0"/>
            <w:vAlign w:val="center"/>
          </w:tcPr>
          <w:p w14:paraId="1A5AED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sz w:val="24"/>
                <w:szCs w:val="24"/>
                <w:highlight w:val="none"/>
              </w:rPr>
            </w:pPr>
          </w:p>
        </w:tc>
      </w:tr>
      <w:tr w14:paraId="60DB6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1001" w:type="dxa"/>
            <w:vMerge w:val="restart"/>
            <w:noWrap w:val="0"/>
            <w:vAlign w:val="center"/>
          </w:tcPr>
          <w:p w14:paraId="267437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应急物资</w:t>
            </w:r>
          </w:p>
          <w:p w14:paraId="42F0ED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保障组</w:t>
            </w:r>
          </w:p>
        </w:tc>
        <w:tc>
          <w:tcPr>
            <w:tcW w:w="934" w:type="dxa"/>
            <w:noWrap w:val="0"/>
            <w:vAlign w:val="center"/>
          </w:tcPr>
          <w:p w14:paraId="50B725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牵头单位</w:t>
            </w:r>
          </w:p>
        </w:tc>
        <w:tc>
          <w:tcPr>
            <w:tcW w:w="6076" w:type="dxa"/>
            <w:noWrap w:val="0"/>
            <w:vAlign w:val="center"/>
          </w:tcPr>
          <w:p w14:paraId="1C8892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汾阳市应急管理局</w:t>
            </w:r>
          </w:p>
        </w:tc>
        <w:tc>
          <w:tcPr>
            <w:tcW w:w="5600" w:type="dxa"/>
            <w:vMerge w:val="restart"/>
            <w:noWrap w:val="0"/>
            <w:vAlign w:val="center"/>
          </w:tcPr>
          <w:p w14:paraId="21DA39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制定应急物资保障方案；负责调配应急物资、协调运输车辆；负责协调补偿征用物资、应急救援和污染物处置等费用。</w:t>
            </w:r>
          </w:p>
        </w:tc>
      </w:tr>
      <w:tr w14:paraId="501FA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0" w:hRule="atLeast"/>
          <w:jc w:val="center"/>
        </w:trPr>
        <w:tc>
          <w:tcPr>
            <w:tcW w:w="1001" w:type="dxa"/>
            <w:vMerge w:val="continue"/>
            <w:noWrap w:val="0"/>
            <w:vAlign w:val="center"/>
          </w:tcPr>
          <w:p w14:paraId="44A617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sz w:val="24"/>
                <w:szCs w:val="24"/>
                <w:highlight w:val="none"/>
              </w:rPr>
            </w:pPr>
          </w:p>
        </w:tc>
        <w:tc>
          <w:tcPr>
            <w:tcW w:w="934" w:type="dxa"/>
            <w:noWrap w:val="0"/>
            <w:vAlign w:val="center"/>
          </w:tcPr>
          <w:p w14:paraId="0E3E84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成员单位</w:t>
            </w:r>
          </w:p>
        </w:tc>
        <w:tc>
          <w:tcPr>
            <w:tcW w:w="6076" w:type="dxa"/>
            <w:noWrap w:val="0"/>
            <w:vAlign w:val="center"/>
          </w:tcPr>
          <w:p w14:paraId="0E8D56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lang w:val="en-US" w:eastAsia="zh-CN"/>
              </w:rPr>
              <w:t>山西杏花村汾酒集团有限责任公司、汾阳市交通运输局、汾阳市住房和城乡建设管理局、汾阳市农业农村局、汾阳市水务局、汾阳市公安局、汾阳市财政局、汾阳市卫生健康局、汾阳市电力公司</w:t>
            </w:r>
          </w:p>
        </w:tc>
        <w:tc>
          <w:tcPr>
            <w:tcW w:w="5600" w:type="dxa"/>
            <w:vMerge w:val="continue"/>
            <w:noWrap w:val="0"/>
            <w:vAlign w:val="center"/>
          </w:tcPr>
          <w:p w14:paraId="54409C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sz w:val="24"/>
                <w:szCs w:val="24"/>
                <w:highlight w:val="none"/>
              </w:rPr>
            </w:pPr>
          </w:p>
        </w:tc>
      </w:tr>
      <w:tr w14:paraId="0098C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1001" w:type="dxa"/>
            <w:vMerge w:val="restart"/>
            <w:noWrap w:val="0"/>
            <w:vAlign w:val="center"/>
          </w:tcPr>
          <w:p w14:paraId="31D371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医疗救治组</w:t>
            </w:r>
          </w:p>
        </w:tc>
        <w:tc>
          <w:tcPr>
            <w:tcW w:w="934" w:type="dxa"/>
            <w:noWrap w:val="0"/>
            <w:vAlign w:val="center"/>
          </w:tcPr>
          <w:p w14:paraId="7E10FF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牵头单位</w:t>
            </w:r>
          </w:p>
        </w:tc>
        <w:tc>
          <w:tcPr>
            <w:tcW w:w="6076" w:type="dxa"/>
            <w:noWrap w:val="0"/>
            <w:vAlign w:val="center"/>
          </w:tcPr>
          <w:p w14:paraId="16E7F7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lang w:val="en-US" w:eastAsia="zh-CN"/>
              </w:rPr>
              <w:t>汾阳市卫生健康局、汾阳市疾病预防控制中心</w:t>
            </w:r>
          </w:p>
        </w:tc>
        <w:tc>
          <w:tcPr>
            <w:tcW w:w="5600" w:type="dxa"/>
            <w:vMerge w:val="restart"/>
            <w:noWrap w:val="0"/>
            <w:vAlign w:val="center"/>
          </w:tcPr>
          <w:p w14:paraId="32F072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（1）负责救治伤员；</w:t>
            </w:r>
          </w:p>
          <w:p w14:paraId="74F2BF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（2）负责事故现场的卫生防疫和监督工作；</w:t>
            </w:r>
          </w:p>
          <w:p w14:paraId="7765D1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（3）及时向应急指挥部报告人员伤亡等情况。</w:t>
            </w:r>
          </w:p>
        </w:tc>
      </w:tr>
      <w:tr w14:paraId="0AEE1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0" w:hRule="atLeast"/>
          <w:jc w:val="center"/>
        </w:trPr>
        <w:tc>
          <w:tcPr>
            <w:tcW w:w="1001" w:type="dxa"/>
            <w:vMerge w:val="continue"/>
            <w:noWrap w:val="0"/>
            <w:vAlign w:val="center"/>
          </w:tcPr>
          <w:p w14:paraId="7BEBE4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sz w:val="24"/>
                <w:szCs w:val="24"/>
                <w:highlight w:val="none"/>
              </w:rPr>
            </w:pPr>
          </w:p>
        </w:tc>
        <w:tc>
          <w:tcPr>
            <w:tcW w:w="934" w:type="dxa"/>
            <w:noWrap w:val="0"/>
            <w:vAlign w:val="center"/>
          </w:tcPr>
          <w:p w14:paraId="12B118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成员单位</w:t>
            </w:r>
          </w:p>
        </w:tc>
        <w:tc>
          <w:tcPr>
            <w:tcW w:w="6076" w:type="dxa"/>
            <w:noWrap w:val="0"/>
            <w:vAlign w:val="center"/>
          </w:tcPr>
          <w:p w14:paraId="7F38E1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lang w:val="en-US" w:eastAsia="zh-CN"/>
              </w:rPr>
              <w:t>汾阳市消防救援大队、汾阳市公安局、山西杏花村汾酒集团有限责任公司</w:t>
            </w:r>
          </w:p>
        </w:tc>
        <w:tc>
          <w:tcPr>
            <w:tcW w:w="5600" w:type="dxa"/>
            <w:vMerge w:val="continue"/>
            <w:noWrap w:val="0"/>
            <w:vAlign w:val="center"/>
          </w:tcPr>
          <w:p w14:paraId="0C33EC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sz w:val="24"/>
                <w:szCs w:val="24"/>
                <w:highlight w:val="none"/>
              </w:rPr>
            </w:pPr>
          </w:p>
        </w:tc>
      </w:tr>
      <w:tr w14:paraId="58F4C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1001" w:type="dxa"/>
            <w:vMerge w:val="restart"/>
            <w:noWrap w:val="0"/>
            <w:vAlign w:val="center"/>
          </w:tcPr>
          <w:p w14:paraId="164706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宣传报道组</w:t>
            </w:r>
          </w:p>
        </w:tc>
        <w:tc>
          <w:tcPr>
            <w:tcW w:w="934" w:type="dxa"/>
            <w:noWrap w:val="0"/>
            <w:vAlign w:val="center"/>
          </w:tcPr>
          <w:p w14:paraId="3DA9C0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牵头单位</w:t>
            </w:r>
          </w:p>
        </w:tc>
        <w:tc>
          <w:tcPr>
            <w:tcW w:w="6076" w:type="dxa"/>
            <w:noWrap w:val="0"/>
            <w:vAlign w:val="center"/>
          </w:tcPr>
          <w:p w14:paraId="300E86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lang w:val="en-US" w:eastAsia="zh-CN"/>
              </w:rPr>
              <w:t>汾阳市融媒体中心</w:t>
            </w:r>
          </w:p>
        </w:tc>
        <w:tc>
          <w:tcPr>
            <w:tcW w:w="5600" w:type="dxa"/>
            <w:vMerge w:val="restart"/>
            <w:noWrap w:val="0"/>
            <w:vAlign w:val="center"/>
          </w:tcPr>
          <w:p w14:paraId="5CEB71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（1）负责宣传报道工作；</w:t>
            </w:r>
          </w:p>
          <w:p w14:paraId="05E7E6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（2）加强舆情收集分析，正确引导社会舆论。</w:t>
            </w:r>
          </w:p>
        </w:tc>
      </w:tr>
      <w:tr w14:paraId="5CCBC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1001" w:type="dxa"/>
            <w:vMerge w:val="continue"/>
            <w:noWrap w:val="0"/>
            <w:vAlign w:val="center"/>
          </w:tcPr>
          <w:p w14:paraId="6E0E5E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sz w:val="24"/>
                <w:szCs w:val="24"/>
                <w:highlight w:val="none"/>
              </w:rPr>
            </w:pPr>
          </w:p>
        </w:tc>
        <w:tc>
          <w:tcPr>
            <w:tcW w:w="934" w:type="dxa"/>
            <w:noWrap w:val="0"/>
            <w:vAlign w:val="center"/>
          </w:tcPr>
          <w:p w14:paraId="394089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成员单位</w:t>
            </w:r>
          </w:p>
        </w:tc>
        <w:tc>
          <w:tcPr>
            <w:tcW w:w="6076" w:type="dxa"/>
            <w:noWrap w:val="0"/>
            <w:vAlign w:val="center"/>
          </w:tcPr>
          <w:p w14:paraId="28553C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lang w:val="en-US" w:eastAsia="zh-CN"/>
              </w:rPr>
              <w:t>汾阳市民政局和人力资源社会保障局</w:t>
            </w:r>
          </w:p>
        </w:tc>
        <w:tc>
          <w:tcPr>
            <w:tcW w:w="5600" w:type="dxa"/>
            <w:vMerge w:val="continue"/>
            <w:noWrap w:val="0"/>
            <w:vAlign w:val="center"/>
          </w:tcPr>
          <w:p w14:paraId="2B4EA1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sz w:val="24"/>
                <w:szCs w:val="24"/>
                <w:highlight w:val="none"/>
              </w:rPr>
            </w:pPr>
          </w:p>
        </w:tc>
      </w:tr>
      <w:tr w14:paraId="6EC20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1001" w:type="dxa"/>
            <w:vMerge w:val="restart"/>
            <w:noWrap w:val="0"/>
            <w:vAlign w:val="center"/>
          </w:tcPr>
          <w:p w14:paraId="793AE0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应急专家组</w:t>
            </w:r>
          </w:p>
        </w:tc>
        <w:tc>
          <w:tcPr>
            <w:tcW w:w="934" w:type="dxa"/>
            <w:noWrap w:val="0"/>
            <w:vAlign w:val="center"/>
          </w:tcPr>
          <w:p w14:paraId="28F92D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牵头单位</w:t>
            </w:r>
          </w:p>
        </w:tc>
        <w:tc>
          <w:tcPr>
            <w:tcW w:w="6076" w:type="dxa"/>
            <w:noWrap w:val="0"/>
            <w:vAlign w:val="center"/>
          </w:tcPr>
          <w:p w14:paraId="4D6D23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吕梁市生态环境局汾阳分局</w:t>
            </w:r>
          </w:p>
        </w:tc>
        <w:tc>
          <w:tcPr>
            <w:tcW w:w="5600" w:type="dxa"/>
            <w:vMerge w:val="restart"/>
            <w:noWrap w:val="0"/>
            <w:vAlign w:val="center"/>
          </w:tcPr>
          <w:p w14:paraId="3760E8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为现场应急处置提供技术支持。</w:t>
            </w:r>
          </w:p>
        </w:tc>
      </w:tr>
      <w:tr w14:paraId="2BF7F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1" w:hRule="atLeast"/>
          <w:jc w:val="center"/>
        </w:trPr>
        <w:tc>
          <w:tcPr>
            <w:tcW w:w="1001" w:type="dxa"/>
            <w:vMerge w:val="continue"/>
            <w:noWrap w:val="0"/>
            <w:vAlign w:val="center"/>
          </w:tcPr>
          <w:p w14:paraId="676377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sz w:val="24"/>
                <w:szCs w:val="24"/>
                <w:highlight w:val="none"/>
              </w:rPr>
            </w:pPr>
          </w:p>
        </w:tc>
        <w:tc>
          <w:tcPr>
            <w:tcW w:w="934" w:type="dxa"/>
            <w:noWrap w:val="0"/>
            <w:vAlign w:val="center"/>
          </w:tcPr>
          <w:p w14:paraId="694032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成员单位</w:t>
            </w:r>
          </w:p>
        </w:tc>
        <w:tc>
          <w:tcPr>
            <w:tcW w:w="6076" w:type="dxa"/>
            <w:noWrap w:val="0"/>
            <w:vAlign w:val="center"/>
          </w:tcPr>
          <w:p w14:paraId="5753C3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lang w:val="en-US" w:eastAsia="zh-CN"/>
              </w:rPr>
              <w:t>汾阳市应急管理局、汾阳市交通运输局、汾阳市农业农村局、汾阳市水务局、汾阳市住房和城乡建设管理局、专家组</w:t>
            </w:r>
          </w:p>
        </w:tc>
        <w:tc>
          <w:tcPr>
            <w:tcW w:w="5600" w:type="dxa"/>
            <w:vMerge w:val="continue"/>
            <w:noWrap w:val="0"/>
            <w:vAlign w:val="center"/>
          </w:tcPr>
          <w:p w14:paraId="10786E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sz w:val="24"/>
                <w:szCs w:val="24"/>
                <w:highlight w:val="none"/>
              </w:rPr>
            </w:pPr>
          </w:p>
        </w:tc>
      </w:tr>
    </w:tbl>
    <w:p w14:paraId="28A51DE3">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仿宋" w:cs="Times New Roman"/>
          <w:sz w:val="28"/>
          <w:szCs w:val="28"/>
        </w:rPr>
        <w:sectPr>
          <w:pgSz w:w="16838" w:h="11905" w:orient="landscape"/>
          <w:pgMar w:top="1803" w:right="1440" w:bottom="1803" w:left="1440" w:header="884" w:footer="1060" w:gutter="0"/>
          <w:pgBorders>
            <w:top w:val="none" w:sz="0" w:space="0"/>
            <w:left w:val="none" w:sz="0" w:space="0"/>
            <w:bottom w:val="none" w:sz="0" w:space="0"/>
            <w:right w:val="none" w:sz="0" w:space="0"/>
          </w:pgBorders>
          <w:pgNumType w:fmt="decimal"/>
          <w:cols w:space="0" w:num="1"/>
          <w:rtlGutter w:val="0"/>
          <w:docGrid w:linePitch="0" w:charSpace="0"/>
        </w:sectPr>
      </w:pPr>
    </w:p>
    <w:p w14:paraId="79BB975A">
      <w:pPr>
        <w:pStyle w:val="2"/>
        <w:bidi w:val="0"/>
        <w:rPr>
          <w:rFonts w:hint="default"/>
        </w:rPr>
      </w:pPr>
      <w:bookmarkStart w:id="57" w:name="_Toc5466"/>
      <w:bookmarkStart w:id="58" w:name="_Toc27973"/>
      <w:r>
        <w:rPr>
          <w:rFonts w:hint="default"/>
        </w:rPr>
        <w:t>第</w:t>
      </w:r>
      <w:r>
        <w:rPr>
          <w:rFonts w:hint="default"/>
          <w:lang w:val="en-US" w:eastAsia="zh-CN"/>
        </w:rPr>
        <w:t>四</w:t>
      </w:r>
      <w:r>
        <w:rPr>
          <w:rFonts w:hint="default"/>
        </w:rPr>
        <w:t>章</w:t>
      </w:r>
      <w:r>
        <w:rPr>
          <w:rFonts w:hint="default"/>
          <w:lang w:val="en-US" w:eastAsia="zh-CN"/>
        </w:rPr>
        <w:t xml:space="preserve"> </w:t>
      </w:r>
      <w:r>
        <w:rPr>
          <w:rFonts w:hint="default"/>
        </w:rPr>
        <w:t>应急响应</w:t>
      </w:r>
      <w:bookmarkEnd w:id="57"/>
      <w:bookmarkEnd w:id="58"/>
    </w:p>
    <w:p w14:paraId="66F09614">
      <w:pPr>
        <w:pStyle w:val="3"/>
        <w:bidi w:val="0"/>
        <w:rPr>
          <w:rFonts w:hint="default"/>
        </w:rPr>
      </w:pPr>
      <w:bookmarkStart w:id="59" w:name="_Toc7323"/>
      <w:bookmarkStart w:id="60" w:name="_Toc10"/>
      <w:r>
        <w:rPr>
          <w:rFonts w:hint="default"/>
        </w:rPr>
        <w:t>4.1 预防</w:t>
      </w:r>
      <w:bookmarkEnd w:id="59"/>
      <w:bookmarkEnd w:id="60"/>
    </w:p>
    <w:p w14:paraId="2DCE8088">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预防工作应当坚持着眼于应对当前、考虑长远的原则，加快实施对</w:t>
      </w:r>
      <w:r>
        <w:rPr>
          <w:rFonts w:hint="eastAsia" w:cs="Times New Roman"/>
          <w:sz w:val="28"/>
          <w:szCs w:val="28"/>
          <w:lang w:val="en-US" w:eastAsia="zh-CN"/>
        </w:rPr>
        <w:t>汾阳市石门沟集中供水水源地</w:t>
      </w:r>
      <w:r>
        <w:rPr>
          <w:rFonts w:hint="default" w:ascii="Times New Roman" w:hAnsi="Times New Roman" w:eastAsia="仿宋" w:cs="Times New Roman"/>
          <w:sz w:val="28"/>
          <w:szCs w:val="28"/>
        </w:rPr>
        <w:t>突发性污染的有效控制和生态修复，改善</w:t>
      </w:r>
      <w:r>
        <w:rPr>
          <w:rFonts w:hint="eastAsia" w:cs="Times New Roman"/>
          <w:sz w:val="28"/>
          <w:szCs w:val="28"/>
          <w:lang w:val="en-US" w:eastAsia="zh-CN"/>
        </w:rPr>
        <w:t>汾阳市石门沟集中供水水源地</w:t>
      </w:r>
      <w:r>
        <w:rPr>
          <w:rFonts w:hint="default" w:ascii="Times New Roman" w:hAnsi="Times New Roman" w:eastAsia="仿宋" w:cs="Times New Roman"/>
          <w:sz w:val="28"/>
          <w:szCs w:val="28"/>
        </w:rPr>
        <w:t>周边环境状况，确保水质安全。</w:t>
      </w:r>
    </w:p>
    <w:p w14:paraId="2E038321">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）把保证</w:t>
      </w:r>
      <w:r>
        <w:rPr>
          <w:rFonts w:hint="eastAsia" w:cs="Times New Roman"/>
          <w:sz w:val="28"/>
          <w:szCs w:val="28"/>
          <w:lang w:val="en-US" w:eastAsia="zh-CN"/>
        </w:rPr>
        <w:t>汾阳市石门沟集中供水水源地</w:t>
      </w:r>
      <w:r>
        <w:rPr>
          <w:rFonts w:hint="default" w:ascii="Times New Roman" w:hAnsi="Times New Roman" w:eastAsia="仿宋" w:cs="Times New Roman"/>
          <w:sz w:val="28"/>
          <w:szCs w:val="28"/>
        </w:rPr>
        <w:t>水质安全的工作落实在日常管理之中，水源管理部门应加强基础工作和完善网络建设，提高防范意识，做好应对可能产生的危机事件的各项准备工作；</w:t>
      </w:r>
    </w:p>
    <w:p w14:paraId="7940AEC0">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）请</w:t>
      </w:r>
      <w:r>
        <w:rPr>
          <w:rFonts w:hint="eastAsia" w:cs="Times New Roman"/>
          <w:sz w:val="28"/>
          <w:szCs w:val="28"/>
          <w:lang w:val="en-US" w:eastAsia="zh-CN"/>
        </w:rPr>
        <w:t>汾阳市石门沟集中供水水源地</w:t>
      </w:r>
      <w:r>
        <w:rPr>
          <w:rFonts w:hint="default" w:ascii="Times New Roman" w:hAnsi="Times New Roman" w:eastAsia="仿宋" w:cs="Times New Roman"/>
          <w:sz w:val="28"/>
          <w:szCs w:val="28"/>
        </w:rPr>
        <w:t>应急指挥部及</w:t>
      </w:r>
      <w:r>
        <w:rPr>
          <w:rFonts w:hint="eastAsia" w:cs="Times New Roman"/>
          <w:sz w:val="28"/>
          <w:szCs w:val="28"/>
          <w:lang w:eastAsia="zh-CN"/>
        </w:rPr>
        <w:t>相关部门</w:t>
      </w:r>
      <w:r>
        <w:rPr>
          <w:rFonts w:hint="default" w:ascii="Times New Roman" w:hAnsi="Times New Roman" w:eastAsia="仿宋" w:cs="Times New Roman"/>
          <w:sz w:val="28"/>
          <w:szCs w:val="28"/>
        </w:rPr>
        <w:t>联合组建</w:t>
      </w:r>
      <w:r>
        <w:rPr>
          <w:rFonts w:hint="eastAsia" w:cs="Times New Roman"/>
          <w:sz w:val="28"/>
          <w:szCs w:val="28"/>
          <w:lang w:val="en-US" w:eastAsia="zh-CN"/>
        </w:rPr>
        <w:t>汾阳市石门沟集中供水水源地</w:t>
      </w:r>
      <w:r>
        <w:rPr>
          <w:rFonts w:hint="default" w:ascii="Times New Roman" w:hAnsi="Times New Roman" w:eastAsia="仿宋" w:cs="Times New Roman"/>
          <w:sz w:val="28"/>
          <w:szCs w:val="28"/>
        </w:rPr>
        <w:t>突发环境事件预警信息监控网络，通过在各可能发生环境污染或安全事件的地点安装监控系统，实时掌握水源地周边环境现状，利用地理信息系统等先进的手段切实做好信息监测与报告工作；</w:t>
      </w:r>
    </w:p>
    <w:p w14:paraId="151833D0">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w:t>
      </w:r>
      <w:r>
        <w:rPr>
          <w:rFonts w:hint="eastAsia" w:cs="Times New Roman"/>
          <w:sz w:val="28"/>
          <w:szCs w:val="28"/>
          <w:lang w:val="en-US" w:eastAsia="zh-CN"/>
        </w:rPr>
        <w:t>汾阳市石门沟集中供水水源地</w:t>
      </w:r>
      <w:r>
        <w:rPr>
          <w:rFonts w:hint="default" w:ascii="Times New Roman" w:hAnsi="Times New Roman" w:eastAsia="仿宋" w:cs="Times New Roman"/>
          <w:sz w:val="28"/>
          <w:szCs w:val="28"/>
        </w:rPr>
        <w:t>应急指挥部及</w:t>
      </w:r>
      <w:r>
        <w:rPr>
          <w:rFonts w:hint="eastAsia" w:cs="Times New Roman"/>
          <w:sz w:val="28"/>
          <w:szCs w:val="28"/>
          <w:lang w:eastAsia="zh-CN"/>
        </w:rPr>
        <w:t>相关部门</w:t>
      </w:r>
      <w:r>
        <w:rPr>
          <w:rFonts w:hint="default" w:ascii="Times New Roman" w:hAnsi="Times New Roman" w:eastAsia="仿宋" w:cs="Times New Roman"/>
          <w:sz w:val="28"/>
          <w:szCs w:val="28"/>
        </w:rPr>
        <w:t>应摸清</w:t>
      </w:r>
      <w:r>
        <w:rPr>
          <w:rFonts w:hint="eastAsia" w:cs="Times New Roman"/>
          <w:sz w:val="28"/>
          <w:szCs w:val="28"/>
          <w:lang w:val="en-US" w:eastAsia="zh-CN"/>
        </w:rPr>
        <w:t>汾阳市石门沟集中供水水源地</w:t>
      </w:r>
      <w:r>
        <w:rPr>
          <w:rFonts w:hint="default" w:ascii="Times New Roman" w:hAnsi="Times New Roman" w:eastAsia="仿宋" w:cs="Times New Roman"/>
          <w:sz w:val="28"/>
          <w:szCs w:val="28"/>
        </w:rPr>
        <w:t>水资源供给条件、水环境状况以及管理保护措施等现状，制定有效措施，切实加强</w:t>
      </w:r>
      <w:r>
        <w:rPr>
          <w:rFonts w:hint="eastAsia" w:cs="Times New Roman"/>
          <w:sz w:val="28"/>
          <w:szCs w:val="28"/>
          <w:lang w:val="en-US" w:eastAsia="zh-CN"/>
        </w:rPr>
        <w:t>汾阳市石门沟集中供水水源地</w:t>
      </w:r>
      <w:r>
        <w:rPr>
          <w:rFonts w:hint="default" w:ascii="Times New Roman" w:hAnsi="Times New Roman" w:eastAsia="仿宋" w:cs="Times New Roman"/>
          <w:sz w:val="28"/>
          <w:szCs w:val="28"/>
        </w:rPr>
        <w:t>保护工作；</w:t>
      </w:r>
    </w:p>
    <w:p w14:paraId="3300E60B">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rPr>
        <w:t>）</w:t>
      </w:r>
      <w:r>
        <w:rPr>
          <w:rFonts w:hint="eastAsia" w:cs="Times New Roman"/>
          <w:sz w:val="28"/>
          <w:szCs w:val="28"/>
          <w:lang w:val="en-US" w:eastAsia="zh-CN"/>
        </w:rPr>
        <w:t>汾阳市石门沟集中供水水源地</w:t>
      </w:r>
      <w:r>
        <w:rPr>
          <w:rFonts w:hint="default" w:ascii="Times New Roman" w:hAnsi="Times New Roman" w:eastAsia="仿宋" w:cs="Times New Roman"/>
          <w:sz w:val="28"/>
          <w:szCs w:val="28"/>
        </w:rPr>
        <w:t>应急指挥部及</w:t>
      </w:r>
      <w:r>
        <w:rPr>
          <w:rFonts w:hint="eastAsia" w:cs="Times New Roman"/>
          <w:sz w:val="28"/>
          <w:szCs w:val="28"/>
          <w:lang w:eastAsia="zh-CN"/>
        </w:rPr>
        <w:t>相关部门</w:t>
      </w:r>
      <w:r>
        <w:rPr>
          <w:rFonts w:hint="default" w:ascii="Times New Roman" w:hAnsi="Times New Roman" w:eastAsia="仿宋" w:cs="Times New Roman"/>
          <w:sz w:val="28"/>
          <w:szCs w:val="28"/>
        </w:rPr>
        <w:t>开展</w:t>
      </w:r>
      <w:r>
        <w:rPr>
          <w:rFonts w:hint="eastAsia" w:cs="Times New Roman"/>
          <w:sz w:val="28"/>
          <w:szCs w:val="28"/>
          <w:lang w:val="en-US" w:eastAsia="zh-CN"/>
        </w:rPr>
        <w:t>汾阳市石门沟集中供水水源地</w:t>
      </w:r>
      <w:r>
        <w:rPr>
          <w:rFonts w:hint="default" w:ascii="Times New Roman" w:hAnsi="Times New Roman" w:eastAsia="仿宋" w:cs="Times New Roman"/>
          <w:sz w:val="28"/>
          <w:szCs w:val="28"/>
        </w:rPr>
        <w:t>突发环境事件的假设、分析和风险评估工作，组织开展应急演练；</w:t>
      </w:r>
    </w:p>
    <w:p w14:paraId="178DB563">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5</w:t>
      </w:r>
      <w:r>
        <w:rPr>
          <w:rFonts w:hint="default" w:ascii="Times New Roman" w:hAnsi="Times New Roman" w:eastAsia="仿宋" w:cs="Times New Roman"/>
          <w:sz w:val="28"/>
          <w:szCs w:val="28"/>
        </w:rPr>
        <w:t>）加强</w:t>
      </w:r>
      <w:r>
        <w:rPr>
          <w:rFonts w:hint="eastAsia" w:cs="Times New Roman"/>
          <w:sz w:val="28"/>
          <w:szCs w:val="28"/>
          <w:lang w:val="en-US" w:eastAsia="zh-CN"/>
        </w:rPr>
        <w:t>汾阳市石门沟集中供水水源地</w:t>
      </w:r>
      <w:r>
        <w:rPr>
          <w:rFonts w:hint="default" w:ascii="Times New Roman" w:hAnsi="Times New Roman" w:eastAsia="仿宋" w:cs="Times New Roman"/>
          <w:sz w:val="28"/>
          <w:szCs w:val="28"/>
        </w:rPr>
        <w:t>一级</w:t>
      </w:r>
      <w:r>
        <w:rPr>
          <w:rFonts w:hint="eastAsia" w:ascii="Times New Roman" w:hAnsi="Times New Roman" w:cs="Times New Roman"/>
          <w:sz w:val="28"/>
          <w:szCs w:val="28"/>
          <w:lang w:val="en-US" w:eastAsia="zh-CN"/>
        </w:rPr>
        <w:t>保护区</w:t>
      </w:r>
      <w:r>
        <w:rPr>
          <w:rFonts w:hint="default" w:ascii="Times New Roman" w:hAnsi="Times New Roman" w:eastAsia="仿宋" w:cs="Times New Roman"/>
          <w:sz w:val="28"/>
          <w:szCs w:val="28"/>
        </w:rPr>
        <w:t>内的风险源等监督检查，避免新增，必要时上报</w:t>
      </w:r>
      <w:r>
        <w:rPr>
          <w:rFonts w:hint="eastAsia" w:cs="Times New Roman"/>
          <w:sz w:val="28"/>
          <w:szCs w:val="28"/>
          <w:lang w:eastAsia="zh-CN"/>
        </w:rPr>
        <w:t>汾阳市人民政府</w:t>
      </w:r>
      <w:r>
        <w:rPr>
          <w:rFonts w:hint="default" w:ascii="Times New Roman" w:hAnsi="Times New Roman" w:eastAsia="仿宋" w:cs="Times New Roman"/>
          <w:sz w:val="28"/>
          <w:szCs w:val="28"/>
        </w:rPr>
        <w:t>，由政府采取停产手段，减少污染物排放，对查实的违法行为从严从重处理；</w:t>
      </w:r>
    </w:p>
    <w:p w14:paraId="5B916B1F">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6</w:t>
      </w:r>
      <w:r>
        <w:rPr>
          <w:rFonts w:hint="default" w:ascii="Times New Roman" w:hAnsi="Times New Roman" w:eastAsia="仿宋" w:cs="Times New Roman"/>
          <w:sz w:val="28"/>
          <w:szCs w:val="28"/>
        </w:rPr>
        <w:t>）</w:t>
      </w:r>
      <w:r>
        <w:rPr>
          <w:rFonts w:hint="eastAsia" w:ascii="Times New Roman" w:hAnsi="Times New Roman" w:cs="Times New Roman"/>
          <w:sz w:val="28"/>
          <w:szCs w:val="28"/>
          <w:lang w:val="en-US" w:eastAsia="zh-CN"/>
        </w:rPr>
        <w:t>吕梁</w:t>
      </w:r>
      <w:r>
        <w:rPr>
          <w:rFonts w:hint="default" w:ascii="Times New Roman" w:hAnsi="Times New Roman" w:eastAsia="仿宋" w:cs="Times New Roman"/>
          <w:sz w:val="28"/>
          <w:szCs w:val="28"/>
        </w:rPr>
        <w:t>市生态环境局</w:t>
      </w:r>
      <w:r>
        <w:rPr>
          <w:rFonts w:hint="eastAsia" w:ascii="Times New Roman" w:hAnsi="Times New Roman" w:eastAsia="仿宋" w:cs="Times New Roman"/>
          <w:sz w:val="28"/>
          <w:szCs w:val="28"/>
          <w:lang w:eastAsia="zh-CN"/>
        </w:rPr>
        <w:t>汾阳</w:t>
      </w:r>
      <w:r>
        <w:rPr>
          <w:rFonts w:hint="default" w:ascii="Times New Roman" w:hAnsi="Times New Roman" w:eastAsia="仿宋" w:cs="Times New Roman"/>
          <w:sz w:val="28"/>
          <w:szCs w:val="28"/>
        </w:rPr>
        <w:t>分局监管并控制</w:t>
      </w:r>
      <w:r>
        <w:rPr>
          <w:rFonts w:hint="eastAsia" w:cs="Times New Roman"/>
          <w:sz w:val="28"/>
          <w:szCs w:val="28"/>
          <w:lang w:val="en-US" w:eastAsia="zh-CN"/>
        </w:rPr>
        <w:t>汾阳市石门沟集中供水水源地</w:t>
      </w:r>
      <w:r>
        <w:rPr>
          <w:rFonts w:hint="default" w:ascii="Times New Roman" w:hAnsi="Times New Roman" w:eastAsia="仿宋" w:cs="Times New Roman"/>
          <w:sz w:val="28"/>
          <w:szCs w:val="28"/>
        </w:rPr>
        <w:t>保护区内的各种污染活动，治理可能导致保护区内水体污染的排污行为；</w:t>
      </w:r>
    </w:p>
    <w:p w14:paraId="141B12B8">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7</w:t>
      </w:r>
      <w:r>
        <w:rPr>
          <w:rFonts w:hint="default" w:ascii="Times New Roman" w:hAnsi="Times New Roman" w:eastAsia="仿宋" w:cs="Times New Roman"/>
          <w:sz w:val="28"/>
          <w:szCs w:val="28"/>
        </w:rPr>
        <w:t>）开展</w:t>
      </w:r>
      <w:r>
        <w:rPr>
          <w:rFonts w:hint="eastAsia" w:cs="Times New Roman"/>
          <w:sz w:val="28"/>
          <w:szCs w:val="28"/>
          <w:lang w:val="en-US" w:eastAsia="zh-CN"/>
        </w:rPr>
        <w:t>汾阳市石门沟集中供水水源地</w:t>
      </w:r>
      <w:r>
        <w:rPr>
          <w:rFonts w:hint="default" w:ascii="Times New Roman" w:hAnsi="Times New Roman" w:eastAsia="仿宋" w:cs="Times New Roman"/>
          <w:sz w:val="28"/>
          <w:szCs w:val="28"/>
        </w:rPr>
        <w:t>突发环境事件的风险评估，建立环境风险源档案和环境应急物资库。</w:t>
      </w:r>
    </w:p>
    <w:p w14:paraId="3B118C15">
      <w:pPr>
        <w:pStyle w:val="3"/>
        <w:bidi w:val="0"/>
        <w:rPr>
          <w:rFonts w:hint="default"/>
        </w:rPr>
      </w:pPr>
      <w:bookmarkStart w:id="61" w:name="_Toc12643"/>
      <w:bookmarkStart w:id="62" w:name="_Toc4562"/>
      <w:r>
        <w:rPr>
          <w:rFonts w:hint="default"/>
          <w:lang w:val="en-US" w:eastAsia="zh-CN"/>
        </w:rPr>
        <w:t>4.2</w:t>
      </w:r>
      <w:r>
        <w:rPr>
          <w:rFonts w:hint="default"/>
        </w:rPr>
        <w:t>应急响应工作路线</w:t>
      </w:r>
      <w:bookmarkEnd w:id="61"/>
      <w:bookmarkEnd w:id="62"/>
    </w:p>
    <w:p w14:paraId="0DB4E3FA">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应急响应包括信息收集和研判、预警、信息报告与通报、事态研判、分级响应、应急监测、污染源排查与处置、应急处置、物资调集及应急设施启用、舆情监测与信息发布、响应终止等工作内容。 </w:t>
      </w:r>
    </w:p>
    <w:p w14:paraId="286387CE">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水源地应急响应工作线路图见图4</w:t>
      </w:r>
      <w:r>
        <w:rPr>
          <w:rFonts w:hint="eastAsia" w:ascii="Times New Roman" w:hAnsi="Times New Roman" w:cs="Times New Roman"/>
          <w:sz w:val="28"/>
          <w:szCs w:val="28"/>
          <w:lang w:val="en-US" w:eastAsia="zh-CN"/>
        </w:rPr>
        <w:t>.2</w:t>
      </w:r>
      <w:r>
        <w:rPr>
          <w:rFonts w:hint="default" w:ascii="Times New Roman" w:hAnsi="Times New Roman" w:eastAsia="仿宋" w:cs="Times New Roman"/>
          <w:sz w:val="28"/>
          <w:szCs w:val="28"/>
        </w:rPr>
        <w:t>-1。</w:t>
      </w:r>
    </w:p>
    <w:p w14:paraId="468FD07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firstLine="0" w:firstLineChars="0"/>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drawing>
          <wp:inline distT="0" distB="0" distL="114300" distR="114300">
            <wp:extent cx="5234940" cy="6587490"/>
            <wp:effectExtent l="0" t="0" r="381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rcRect r="5720"/>
                    <a:stretch>
                      <a:fillRect/>
                    </a:stretch>
                  </pic:blipFill>
                  <pic:spPr>
                    <a:xfrm>
                      <a:off x="0" y="0"/>
                      <a:ext cx="5234940" cy="6587490"/>
                    </a:xfrm>
                    <a:prstGeom prst="rect">
                      <a:avLst/>
                    </a:prstGeom>
                    <a:noFill/>
                    <a:ln>
                      <a:noFill/>
                    </a:ln>
                  </pic:spPr>
                </pic:pic>
              </a:graphicData>
            </a:graphic>
          </wp:inline>
        </w:drawing>
      </w:r>
    </w:p>
    <w:p w14:paraId="51BAA51B">
      <w:pPr>
        <w:keepNext w:val="0"/>
        <w:keepLines w:val="0"/>
        <w:pageBreakBefore w:val="0"/>
        <w:widowControl w:val="0"/>
        <w:kinsoku/>
        <w:wordWrap/>
        <w:overflowPunct/>
        <w:topLinePunct w:val="0"/>
        <w:autoSpaceDE/>
        <w:autoSpaceDN/>
        <w:bidi w:val="0"/>
        <w:adjustRightInd/>
        <w:snapToGrid/>
        <w:spacing w:after="0" w:line="240" w:lineRule="auto"/>
        <w:ind w:left="-560" w:leftChars="-200" w:right="0" w:firstLine="0" w:firstLineChars="0"/>
        <w:jc w:val="center"/>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图4</w:t>
      </w:r>
      <w:r>
        <w:rPr>
          <w:rFonts w:hint="eastAsia" w:ascii="Times New Roman" w:hAnsi="Times New Roman" w:cs="Times New Roman"/>
          <w:b/>
          <w:bCs/>
          <w:sz w:val="24"/>
          <w:szCs w:val="24"/>
          <w:lang w:val="en-US" w:eastAsia="zh-CN"/>
        </w:rPr>
        <w:t>.2</w:t>
      </w:r>
      <w:r>
        <w:rPr>
          <w:rFonts w:hint="default" w:ascii="Times New Roman" w:hAnsi="Times New Roman" w:eastAsia="仿宋" w:cs="Times New Roman"/>
          <w:b/>
          <w:bCs/>
          <w:sz w:val="24"/>
          <w:szCs w:val="24"/>
        </w:rPr>
        <w:t>-1水源地应急响应工作线路图</w:t>
      </w:r>
    </w:p>
    <w:p w14:paraId="0FFE3D78">
      <w:pPr>
        <w:pStyle w:val="3"/>
        <w:bidi w:val="0"/>
        <w:rPr>
          <w:rFonts w:hint="default"/>
        </w:rPr>
      </w:pPr>
      <w:bookmarkStart w:id="63" w:name="_Toc17503"/>
      <w:bookmarkStart w:id="64" w:name="_Toc24348"/>
      <w:r>
        <w:rPr>
          <w:rFonts w:hint="default"/>
          <w:lang w:val="en-US" w:eastAsia="zh-CN"/>
        </w:rPr>
        <w:t>4.3</w:t>
      </w:r>
      <w:r>
        <w:rPr>
          <w:rFonts w:hint="default"/>
        </w:rPr>
        <w:t>信息收集和研判</w:t>
      </w:r>
      <w:bookmarkEnd w:id="63"/>
      <w:bookmarkEnd w:id="64"/>
      <w:r>
        <w:rPr>
          <w:rFonts w:hint="default"/>
        </w:rPr>
        <w:t xml:space="preserve"> </w:t>
      </w:r>
    </w:p>
    <w:p w14:paraId="361C57EE">
      <w:pPr>
        <w:pStyle w:val="4"/>
        <w:bidi w:val="0"/>
        <w:rPr>
          <w:rFonts w:hint="default"/>
        </w:rPr>
      </w:pPr>
      <w:bookmarkStart w:id="65" w:name="_Toc21615"/>
      <w:r>
        <w:rPr>
          <w:rFonts w:hint="default"/>
        </w:rPr>
        <w:t>4.3.1 信息收集</w:t>
      </w:r>
      <w:bookmarkEnd w:id="65"/>
      <w:r>
        <w:rPr>
          <w:rFonts w:hint="default"/>
        </w:rPr>
        <w:t xml:space="preserve"> </w:t>
      </w:r>
    </w:p>
    <w:p w14:paraId="34D778FF">
      <w:pPr>
        <w:keepNext w:val="0"/>
        <w:keepLines w:val="0"/>
        <w:pageBreakBefore w:val="0"/>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按照“早发现、早报告、早处置”的原则，</w:t>
      </w:r>
      <w:r>
        <w:rPr>
          <w:rFonts w:hint="eastAsia"/>
          <w:highlight w:val="none"/>
          <w:lang w:val="en-US" w:eastAsia="zh-CN"/>
        </w:rPr>
        <w:t>市</w:t>
      </w:r>
      <w:r>
        <w:rPr>
          <w:rFonts w:hint="default"/>
          <w:highlight w:val="none"/>
          <w:lang w:val="en-US" w:eastAsia="zh-CN"/>
        </w:rPr>
        <w:t>政府与各部门之间、上下游相邻区域政府之间建立信息收集与共享渠道，收集信息。信息收集方式包括如下方式：</w:t>
      </w:r>
    </w:p>
    <w:p w14:paraId="3962E0F4">
      <w:pPr>
        <w:keepNext w:val="0"/>
        <w:keepLines w:val="0"/>
        <w:pageBreakBefore w:val="0"/>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1</w:t>
      </w:r>
      <w:r>
        <w:rPr>
          <w:rFonts w:hint="eastAsia"/>
          <w:highlight w:val="none"/>
          <w:lang w:val="en-US" w:eastAsia="zh-CN"/>
        </w:rPr>
        <w:t>.吕梁</w:t>
      </w:r>
      <w:r>
        <w:rPr>
          <w:rFonts w:hint="default"/>
          <w:highlight w:val="none"/>
          <w:lang w:val="en-US" w:eastAsia="zh-CN"/>
        </w:rPr>
        <w:t>市生态环境局</w:t>
      </w:r>
      <w:r>
        <w:rPr>
          <w:rFonts w:hint="eastAsia"/>
          <w:highlight w:val="none"/>
          <w:lang w:val="en-US" w:eastAsia="zh-CN"/>
        </w:rPr>
        <w:t>汾阳</w:t>
      </w:r>
      <w:r>
        <w:rPr>
          <w:rFonts w:hint="default"/>
          <w:highlight w:val="none"/>
          <w:lang w:val="en-US" w:eastAsia="zh-CN"/>
        </w:rPr>
        <w:t>分局、</w:t>
      </w:r>
      <w:r>
        <w:rPr>
          <w:rFonts w:hint="eastAsia"/>
          <w:highlight w:val="none"/>
          <w:lang w:val="en-US" w:eastAsia="zh-CN"/>
        </w:rPr>
        <w:t>汾阳市农业农村局、汾阳市水务局</w:t>
      </w:r>
      <w:r>
        <w:rPr>
          <w:rFonts w:hint="default"/>
          <w:highlight w:val="none"/>
          <w:lang w:val="en-US" w:eastAsia="zh-CN"/>
        </w:rPr>
        <w:t>、汾阳市自来水公司、汾阳市应急管理局等部门通过水源地水质监督性监测与在线监测等日常监管渠道获取水质变化信息，也可以通过收集水文气象、地形地貌、污染排放、防护措施等信息开展水质快速预测预警，获取水质预警信息。</w:t>
      </w:r>
      <w:r>
        <w:rPr>
          <w:rFonts w:hint="eastAsia"/>
          <w:highlight w:val="none"/>
          <w:lang w:val="en-US" w:eastAsia="zh-CN"/>
        </w:rPr>
        <w:t>吕梁</w:t>
      </w:r>
      <w:r>
        <w:rPr>
          <w:rFonts w:hint="default"/>
          <w:highlight w:val="none"/>
          <w:lang w:val="en-US" w:eastAsia="zh-CN"/>
        </w:rPr>
        <w:t>市生态环境局</w:t>
      </w:r>
      <w:r>
        <w:rPr>
          <w:rFonts w:hint="eastAsia"/>
          <w:highlight w:val="none"/>
          <w:lang w:val="en-US" w:eastAsia="zh-CN"/>
        </w:rPr>
        <w:t>汾阳</w:t>
      </w:r>
      <w:r>
        <w:rPr>
          <w:rFonts w:hint="default"/>
          <w:highlight w:val="none"/>
          <w:lang w:val="en-US" w:eastAsia="zh-CN"/>
        </w:rPr>
        <w:t>分局可通过水源地主要风险源监控获取固定源异常排放的信息，也可通过12345热线获取突发环境事件信息。</w:t>
      </w:r>
    </w:p>
    <w:p w14:paraId="304FE7BB">
      <w:pPr>
        <w:keepNext w:val="0"/>
        <w:keepLines w:val="0"/>
        <w:pageBreakBefore w:val="0"/>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2</w:t>
      </w:r>
      <w:r>
        <w:rPr>
          <w:rFonts w:hint="eastAsia"/>
          <w:highlight w:val="none"/>
          <w:lang w:val="en-US" w:eastAsia="zh-CN"/>
        </w:rPr>
        <w:t>.</w:t>
      </w:r>
      <w:r>
        <w:rPr>
          <w:rFonts w:hint="default"/>
          <w:highlight w:val="none"/>
          <w:lang w:val="en-US" w:eastAsia="zh-CN"/>
        </w:rPr>
        <w:t>汾阳市公安局、汾阳市交通运输局通过报警获取流动源事故信息，也可通过110报警电话获取突发环境事件信息。</w:t>
      </w:r>
    </w:p>
    <w:p w14:paraId="2EA7BA3D">
      <w:pPr>
        <w:keepNext w:val="0"/>
        <w:keepLines w:val="0"/>
        <w:pageBreakBefore w:val="0"/>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3</w:t>
      </w:r>
      <w:r>
        <w:rPr>
          <w:rFonts w:hint="eastAsia"/>
          <w:highlight w:val="none"/>
          <w:lang w:val="en-US" w:eastAsia="zh-CN"/>
        </w:rPr>
        <w:t>.</w:t>
      </w:r>
      <w:r>
        <w:rPr>
          <w:rFonts w:hint="default"/>
          <w:highlight w:val="none"/>
          <w:lang w:val="en-US" w:eastAsia="zh-CN"/>
        </w:rPr>
        <w:t>企事业单位发生事故或者其他突发性事件，造成或者可能造成水污染事件的，应当立即启动本单位的应急方案，采取应急措施，并向</w:t>
      </w:r>
      <w:r>
        <w:rPr>
          <w:rFonts w:hint="eastAsia"/>
          <w:highlight w:val="none"/>
          <w:lang w:val="en-US" w:eastAsia="zh-CN"/>
        </w:rPr>
        <w:t>汾阳市</w:t>
      </w:r>
      <w:r>
        <w:rPr>
          <w:rFonts w:hint="default"/>
          <w:highlight w:val="none"/>
          <w:lang w:val="en-US" w:eastAsia="zh-CN"/>
        </w:rPr>
        <w:t>政府或者</w:t>
      </w:r>
      <w:r>
        <w:rPr>
          <w:rFonts w:hint="eastAsia"/>
          <w:highlight w:val="none"/>
          <w:lang w:val="en-US" w:eastAsia="zh-CN"/>
        </w:rPr>
        <w:t>吕梁</w:t>
      </w:r>
      <w:r>
        <w:rPr>
          <w:rFonts w:hint="default"/>
          <w:highlight w:val="none"/>
          <w:lang w:val="en-US" w:eastAsia="zh-CN"/>
        </w:rPr>
        <w:t>市生态环境局</w:t>
      </w:r>
      <w:r>
        <w:rPr>
          <w:rFonts w:hint="eastAsia"/>
          <w:highlight w:val="none"/>
          <w:lang w:val="en-US" w:eastAsia="zh-CN"/>
        </w:rPr>
        <w:t>汾阳</w:t>
      </w:r>
      <w:r>
        <w:rPr>
          <w:rFonts w:hint="default"/>
          <w:highlight w:val="none"/>
          <w:lang w:val="en-US" w:eastAsia="zh-CN"/>
        </w:rPr>
        <w:t>分局报告。饮用水水源地周边区域群众一旦发现突发性水污染事件时，有义务向</w:t>
      </w:r>
      <w:r>
        <w:rPr>
          <w:rFonts w:hint="eastAsia"/>
          <w:highlight w:val="none"/>
          <w:lang w:val="en-US" w:eastAsia="zh-CN"/>
        </w:rPr>
        <w:t>汾阳市</w:t>
      </w:r>
      <w:r>
        <w:rPr>
          <w:rFonts w:hint="default"/>
          <w:highlight w:val="none"/>
          <w:lang w:val="en-US" w:eastAsia="zh-CN"/>
        </w:rPr>
        <w:t>政府或者</w:t>
      </w:r>
      <w:r>
        <w:rPr>
          <w:rFonts w:hint="eastAsia"/>
          <w:highlight w:val="none"/>
          <w:lang w:val="en-US" w:eastAsia="zh-CN"/>
        </w:rPr>
        <w:t>吕梁</w:t>
      </w:r>
      <w:r>
        <w:rPr>
          <w:rFonts w:hint="default"/>
          <w:highlight w:val="none"/>
          <w:lang w:val="en-US" w:eastAsia="zh-CN"/>
        </w:rPr>
        <w:t>市生态环境局</w:t>
      </w:r>
      <w:r>
        <w:rPr>
          <w:rFonts w:hint="eastAsia"/>
          <w:highlight w:val="none"/>
          <w:lang w:val="en-US" w:eastAsia="zh-CN"/>
        </w:rPr>
        <w:t>汾阳</w:t>
      </w:r>
      <w:r>
        <w:rPr>
          <w:rFonts w:hint="default"/>
          <w:highlight w:val="none"/>
          <w:lang w:val="en-US" w:eastAsia="zh-CN"/>
        </w:rPr>
        <w:t>分局报告，或者向“110”、“12345”报警。</w:t>
      </w:r>
    </w:p>
    <w:p w14:paraId="37F91795">
      <w:pPr>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firstLine="560" w:firstLineChars="200"/>
        <w:jc w:val="both"/>
        <w:textAlignment w:val="auto"/>
        <w:rPr>
          <w:rFonts w:hint="default" w:ascii="Times New Roman" w:hAnsi="Times New Roman" w:eastAsia="仿宋" w:cs="Times New Roman"/>
          <w:sz w:val="28"/>
          <w:szCs w:val="28"/>
        </w:rPr>
      </w:pPr>
      <w:r>
        <w:rPr>
          <w:rFonts w:hint="eastAsia"/>
          <w:highlight w:val="none"/>
          <w:lang w:val="en-US" w:eastAsia="zh-CN"/>
        </w:rPr>
        <w:t>吕梁</w:t>
      </w:r>
      <w:r>
        <w:rPr>
          <w:rFonts w:hint="default"/>
          <w:highlight w:val="none"/>
          <w:lang w:val="en-US" w:eastAsia="zh-CN"/>
        </w:rPr>
        <w:t>市生态环境局</w:t>
      </w:r>
      <w:r>
        <w:rPr>
          <w:rFonts w:hint="eastAsia"/>
          <w:highlight w:val="none"/>
          <w:lang w:val="en-US" w:eastAsia="zh-CN"/>
        </w:rPr>
        <w:t>汾阳</w:t>
      </w:r>
      <w:r>
        <w:rPr>
          <w:rFonts w:hint="default"/>
          <w:highlight w:val="none"/>
          <w:lang w:val="en-US" w:eastAsia="zh-CN"/>
        </w:rPr>
        <w:t>分局、</w:t>
      </w:r>
      <w:r>
        <w:rPr>
          <w:rFonts w:hint="eastAsia"/>
          <w:highlight w:val="none"/>
          <w:lang w:val="en-US" w:eastAsia="zh-CN"/>
        </w:rPr>
        <w:t>汾阳市农业农村局、汾阳市水务局</w:t>
      </w:r>
      <w:r>
        <w:rPr>
          <w:rFonts w:hint="default"/>
          <w:highlight w:val="none"/>
          <w:lang w:val="en-US" w:eastAsia="zh-CN"/>
        </w:rPr>
        <w:t>、</w:t>
      </w:r>
      <w:r>
        <w:rPr>
          <w:rFonts w:hint="eastAsia"/>
          <w:highlight w:val="none"/>
          <w:lang w:val="en-US" w:eastAsia="zh-CN"/>
        </w:rPr>
        <w:t>汾阳市</w:t>
      </w:r>
      <w:r>
        <w:rPr>
          <w:rFonts w:hint="default"/>
          <w:highlight w:val="none"/>
          <w:lang w:val="en-US" w:eastAsia="zh-CN"/>
        </w:rPr>
        <w:t>自来水公司、</w:t>
      </w:r>
      <w:r>
        <w:rPr>
          <w:rFonts w:hint="eastAsia"/>
          <w:highlight w:val="none"/>
          <w:lang w:val="en-US" w:eastAsia="zh-CN"/>
        </w:rPr>
        <w:t>汾阳市交通运输局、汾阳市住房和城乡建设管理局</w:t>
      </w:r>
      <w:r>
        <w:rPr>
          <w:rFonts w:hint="default"/>
          <w:highlight w:val="none"/>
          <w:lang w:val="en-US" w:eastAsia="zh-CN"/>
        </w:rPr>
        <w:t>、</w:t>
      </w:r>
      <w:r>
        <w:rPr>
          <w:rFonts w:hint="eastAsia"/>
          <w:highlight w:val="none"/>
          <w:lang w:val="en-US" w:eastAsia="zh-CN"/>
        </w:rPr>
        <w:t>汾阳市</w:t>
      </w:r>
      <w:r>
        <w:rPr>
          <w:rFonts w:hint="default"/>
          <w:highlight w:val="none"/>
          <w:lang w:val="en-US" w:eastAsia="zh-CN"/>
        </w:rPr>
        <w:t>公安局、</w:t>
      </w:r>
      <w:r>
        <w:rPr>
          <w:rFonts w:hint="eastAsia"/>
          <w:highlight w:val="none"/>
          <w:lang w:val="en-US" w:eastAsia="zh-CN"/>
        </w:rPr>
        <w:t>汾阳市</w:t>
      </w:r>
      <w:r>
        <w:rPr>
          <w:rFonts w:hint="default"/>
          <w:highlight w:val="none"/>
          <w:lang w:val="en-US" w:eastAsia="zh-CN"/>
        </w:rPr>
        <w:t>应急管理局、山西杏花村汾酒集团有限责任公司、杏花村镇人民政府等部门按照各自职责收集和传递水源地突发环境事件的信息，并及时将相关信息报告</w:t>
      </w:r>
      <w:r>
        <w:rPr>
          <w:rFonts w:hint="eastAsia"/>
          <w:lang w:val="en-US" w:eastAsia="zh-CN"/>
        </w:rPr>
        <w:t>汾阳市石门沟集中供水水源地</w:t>
      </w:r>
      <w:r>
        <w:rPr>
          <w:rFonts w:hint="default"/>
          <w:highlight w:val="none"/>
          <w:lang w:val="en-US" w:eastAsia="zh-CN"/>
        </w:rPr>
        <w:t>应急指挥部及其办公室。</w:t>
      </w:r>
    </w:p>
    <w:p w14:paraId="0CF15886">
      <w:pPr>
        <w:pStyle w:val="4"/>
        <w:bidi w:val="0"/>
        <w:rPr>
          <w:rFonts w:hint="default"/>
          <w:lang w:val="en-US" w:eastAsia="zh-CN"/>
        </w:rPr>
      </w:pPr>
      <w:bookmarkStart w:id="66" w:name="_Toc28910"/>
      <w:r>
        <w:rPr>
          <w:rFonts w:hint="default"/>
          <w:lang w:val="en-US" w:eastAsia="zh-CN"/>
        </w:rPr>
        <w:t>4.3.2 信息初次研判</w:t>
      </w:r>
      <w:bookmarkEnd w:id="66"/>
      <w:r>
        <w:rPr>
          <w:rFonts w:hint="default"/>
          <w:lang w:val="en-US" w:eastAsia="zh-CN"/>
        </w:rPr>
        <w:t xml:space="preserve"> </w:t>
      </w:r>
    </w:p>
    <w:p w14:paraId="38E39FC1">
      <w:pPr>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firstLine="560" w:firstLineChars="200"/>
        <w:jc w:val="both"/>
        <w:textAlignment w:val="auto"/>
        <w:rPr>
          <w:rFonts w:hint="default" w:ascii="Times New Roman" w:hAnsi="Times New Roman" w:eastAsia="仿宋" w:cs="Times New Roman"/>
          <w:sz w:val="28"/>
          <w:szCs w:val="28"/>
        </w:rPr>
      </w:pPr>
      <w:r>
        <w:rPr>
          <w:rFonts w:hint="eastAsia" w:cs="Times New Roman"/>
          <w:sz w:val="28"/>
          <w:szCs w:val="28"/>
          <w:lang w:eastAsia="zh-CN"/>
        </w:rPr>
        <w:t>汾阳市石门沟集中供水水源地应急办公室</w:t>
      </w:r>
      <w:r>
        <w:rPr>
          <w:rFonts w:hint="default" w:ascii="Times New Roman" w:hAnsi="Times New Roman" w:eastAsia="仿宋" w:cs="Times New Roman"/>
          <w:sz w:val="28"/>
          <w:szCs w:val="28"/>
        </w:rPr>
        <w:t>负责信息核实和研判工作，当获取到突发事件信息时，应第一时间开展以下工作：</w:t>
      </w:r>
    </w:p>
    <w:p w14:paraId="17C9671D">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）核实信息的真实性；</w:t>
      </w:r>
    </w:p>
    <w:p w14:paraId="0566975A">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）进一步收集信息，</w:t>
      </w:r>
      <w:r>
        <w:rPr>
          <w:rFonts w:hint="eastAsia" w:cs="Times New Roman"/>
          <w:sz w:val="28"/>
          <w:szCs w:val="28"/>
          <w:lang w:eastAsia="zh-CN"/>
        </w:rPr>
        <w:t>相关部门</w:t>
      </w:r>
      <w:r>
        <w:rPr>
          <w:rFonts w:hint="default" w:ascii="Times New Roman" w:hAnsi="Times New Roman" w:eastAsia="仿宋" w:cs="Times New Roman"/>
          <w:sz w:val="28"/>
          <w:szCs w:val="28"/>
        </w:rPr>
        <w:t>可共同开展信息收集工作；</w:t>
      </w:r>
    </w:p>
    <w:p w14:paraId="206F46B6">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）及时报告</w:t>
      </w:r>
      <w:r>
        <w:rPr>
          <w:rFonts w:hint="eastAsia" w:cs="Times New Roman"/>
          <w:sz w:val="28"/>
          <w:szCs w:val="28"/>
          <w:lang w:eastAsia="zh-CN"/>
        </w:rPr>
        <w:t>汾阳市石门沟集中供水水源地</w:t>
      </w:r>
      <w:r>
        <w:rPr>
          <w:rFonts w:hint="default" w:ascii="Times New Roman" w:hAnsi="Times New Roman" w:eastAsia="仿宋" w:cs="Times New Roman"/>
          <w:sz w:val="28"/>
          <w:szCs w:val="28"/>
        </w:rPr>
        <w:t>应急指挥部。</w:t>
      </w:r>
    </w:p>
    <w:p w14:paraId="4626ECCE">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eastAsia" w:cs="Times New Roman"/>
          <w:sz w:val="28"/>
          <w:szCs w:val="28"/>
          <w:lang w:eastAsia="zh-CN"/>
        </w:rPr>
        <w:t>汾阳市石门沟集中供水水源地</w:t>
      </w:r>
      <w:r>
        <w:rPr>
          <w:rFonts w:hint="default" w:ascii="Times New Roman" w:hAnsi="Times New Roman" w:eastAsia="仿宋" w:cs="Times New Roman"/>
          <w:sz w:val="28"/>
          <w:szCs w:val="28"/>
        </w:rPr>
        <w:t>应急指挥部组织</w:t>
      </w:r>
      <w:r>
        <w:rPr>
          <w:rFonts w:hint="eastAsia" w:cs="Times New Roman"/>
          <w:sz w:val="28"/>
          <w:szCs w:val="28"/>
          <w:lang w:eastAsia="zh-CN"/>
        </w:rPr>
        <w:t>相关部门</w:t>
      </w:r>
      <w:r>
        <w:rPr>
          <w:rFonts w:hint="default" w:ascii="Times New Roman" w:hAnsi="Times New Roman" w:eastAsia="仿宋" w:cs="Times New Roman"/>
          <w:sz w:val="28"/>
          <w:szCs w:val="28"/>
        </w:rPr>
        <w:t>和专业技术人员及专家进行会商，研判水质变化趋势，若判断可能对</w:t>
      </w:r>
      <w:r>
        <w:rPr>
          <w:rFonts w:hint="eastAsia" w:cs="Times New Roman"/>
          <w:sz w:val="28"/>
          <w:szCs w:val="28"/>
          <w:lang w:eastAsia="zh-CN"/>
        </w:rPr>
        <w:t>汾阳市石门沟集中供水水源地</w:t>
      </w:r>
      <w:r>
        <w:rPr>
          <w:rFonts w:hint="default" w:ascii="Times New Roman" w:hAnsi="Times New Roman" w:eastAsia="仿宋" w:cs="Times New Roman"/>
          <w:sz w:val="28"/>
          <w:szCs w:val="28"/>
        </w:rPr>
        <w:t>水质造成影响，指挥部应立即转换为现场应急指挥部。</w:t>
      </w:r>
    </w:p>
    <w:p w14:paraId="53731FA3">
      <w:pPr>
        <w:pStyle w:val="3"/>
        <w:bidi w:val="0"/>
        <w:rPr>
          <w:rFonts w:hint="default"/>
          <w:lang w:val="en-US" w:eastAsia="zh-CN"/>
        </w:rPr>
      </w:pPr>
      <w:bookmarkStart w:id="67" w:name="_Toc7351"/>
      <w:bookmarkStart w:id="68" w:name="_Toc32314"/>
      <w:r>
        <w:rPr>
          <w:rFonts w:hint="default"/>
          <w:lang w:val="en-US" w:eastAsia="zh-CN"/>
        </w:rPr>
        <w:t>4.4 发布预警和预警行动</w:t>
      </w:r>
      <w:bookmarkEnd w:id="67"/>
      <w:bookmarkEnd w:id="68"/>
      <w:r>
        <w:rPr>
          <w:rFonts w:hint="default"/>
          <w:lang w:val="en-US" w:eastAsia="zh-CN"/>
        </w:rPr>
        <w:t xml:space="preserve"> </w:t>
      </w:r>
    </w:p>
    <w:p w14:paraId="4AC349B3">
      <w:pPr>
        <w:pStyle w:val="4"/>
        <w:bidi w:val="0"/>
        <w:rPr>
          <w:rFonts w:hint="default"/>
        </w:rPr>
      </w:pPr>
      <w:bookmarkStart w:id="69" w:name="_Toc25969"/>
      <w:r>
        <w:rPr>
          <w:rFonts w:hint="default"/>
        </w:rPr>
        <w:t>4.4.1 预警分级</w:t>
      </w:r>
      <w:bookmarkEnd w:id="69"/>
      <w:r>
        <w:rPr>
          <w:rFonts w:hint="default"/>
        </w:rPr>
        <w:t xml:space="preserve"> </w:t>
      </w:r>
    </w:p>
    <w:p w14:paraId="1B3157B5">
      <w:pPr>
        <w:keepNext w:val="0"/>
        <w:keepLines w:val="0"/>
        <w:pageBreakBefore w:val="0"/>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根据</w:t>
      </w:r>
      <w:r>
        <w:rPr>
          <w:rFonts w:hint="eastAsia" w:cs="Times New Roman"/>
          <w:sz w:val="28"/>
          <w:szCs w:val="28"/>
          <w:lang w:eastAsia="zh-CN"/>
        </w:rPr>
        <w:t>汾阳市石门沟集中供水水源地</w:t>
      </w:r>
      <w:r>
        <w:rPr>
          <w:rFonts w:hint="default"/>
          <w:highlight w:val="none"/>
          <w:lang w:val="en-US" w:eastAsia="zh-CN"/>
        </w:rPr>
        <w:t>突发环境事件的污染物危害性、事态的紧急程度、采取的响应措施以及对取水可能造成的影响等实际情况，集中式饮用水源突发环境事件的预警分为</w:t>
      </w:r>
      <w:r>
        <w:rPr>
          <w:rFonts w:hint="eastAsia"/>
          <w:highlight w:val="none"/>
          <w:lang w:val="en-US" w:eastAsia="zh-CN"/>
        </w:rPr>
        <w:t>黄色、</w:t>
      </w:r>
      <w:r>
        <w:rPr>
          <w:rFonts w:hint="default"/>
          <w:highlight w:val="none"/>
          <w:lang w:val="en-US" w:eastAsia="zh-CN"/>
        </w:rPr>
        <w:t>橙色和红色预警预警</w:t>
      </w:r>
      <w:r>
        <w:rPr>
          <w:rFonts w:hint="eastAsia"/>
          <w:highlight w:val="none"/>
          <w:lang w:val="en-US" w:eastAsia="zh-CN"/>
        </w:rPr>
        <w:t>三</w:t>
      </w:r>
      <w:r>
        <w:rPr>
          <w:rFonts w:hint="default"/>
          <w:highlight w:val="none"/>
          <w:lang w:val="en-US" w:eastAsia="zh-CN"/>
        </w:rPr>
        <w:t>级。</w:t>
      </w:r>
    </w:p>
    <w:p w14:paraId="62F23074">
      <w:pPr>
        <w:keepNext w:val="0"/>
        <w:keepLines w:val="0"/>
        <w:pageBreakBefore w:val="0"/>
        <w:kinsoku/>
        <w:wordWrap/>
        <w:overflowPunct/>
        <w:topLinePunct w:val="0"/>
        <w:autoSpaceDE/>
        <w:autoSpaceDN/>
        <w:bidi w:val="0"/>
        <w:adjustRightInd w:val="0"/>
        <w:snapToGrid w:val="0"/>
        <w:textAlignment w:val="auto"/>
        <w:rPr>
          <w:rFonts w:hint="eastAsia"/>
          <w:b w:val="0"/>
          <w:bCs w:val="0"/>
          <w:highlight w:val="none"/>
          <w:lang w:val="en-US" w:eastAsia="zh-CN"/>
        </w:rPr>
      </w:pPr>
      <w:r>
        <w:rPr>
          <w:rFonts w:hint="eastAsia"/>
          <w:b w:val="0"/>
          <w:bCs w:val="0"/>
          <w:highlight w:val="none"/>
          <w:lang w:val="en-US" w:eastAsia="zh-CN"/>
        </w:rPr>
        <w:t>黄色（Ⅲ级）预警：存在重大环境安全隐患，可能发生或者引发突发环境事件的；或事件已经发生，可能进一步扩大影响范围，可能对饮用水源保护区造成影响。</w:t>
      </w:r>
    </w:p>
    <w:p w14:paraId="34711403">
      <w:pPr>
        <w:keepNext w:val="0"/>
        <w:keepLines w:val="0"/>
        <w:pageBreakBefore w:val="0"/>
        <w:kinsoku/>
        <w:wordWrap/>
        <w:overflowPunct/>
        <w:topLinePunct w:val="0"/>
        <w:autoSpaceDE/>
        <w:autoSpaceDN/>
        <w:bidi w:val="0"/>
        <w:adjustRightInd w:val="0"/>
        <w:snapToGrid w:val="0"/>
        <w:textAlignment w:val="auto"/>
        <w:rPr>
          <w:rFonts w:hint="eastAsia"/>
          <w:b w:val="0"/>
          <w:bCs w:val="0"/>
          <w:highlight w:val="none"/>
          <w:lang w:val="en-US" w:eastAsia="zh-CN"/>
        </w:rPr>
      </w:pPr>
      <w:r>
        <w:rPr>
          <w:rFonts w:hint="eastAsia"/>
          <w:b w:val="0"/>
          <w:bCs w:val="0"/>
          <w:highlight w:val="none"/>
          <w:lang w:val="en-US" w:eastAsia="zh-CN"/>
        </w:rPr>
        <w:t>橙色（Ⅱ级）预警：情况紧急，可能发生重大突发环境事件或事件已经发生，产生的环境污染可能造成</w:t>
      </w:r>
      <w:r>
        <w:rPr>
          <w:rFonts w:hint="eastAsia" w:cs="Times New Roman"/>
          <w:sz w:val="28"/>
          <w:szCs w:val="28"/>
          <w:lang w:eastAsia="zh-CN"/>
        </w:rPr>
        <w:t>汾阳市石门沟集中供水水源地</w:t>
      </w:r>
      <w:r>
        <w:rPr>
          <w:rFonts w:hint="eastAsia"/>
          <w:b w:val="0"/>
          <w:bCs w:val="0"/>
          <w:highlight w:val="none"/>
          <w:lang w:val="en-US" w:eastAsia="zh-CN"/>
        </w:rPr>
        <w:t>取水中断的。</w:t>
      </w:r>
    </w:p>
    <w:p w14:paraId="4085770F">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textAlignment w:val="auto"/>
        <w:rPr>
          <w:rFonts w:hint="default" w:ascii="Times New Roman" w:hAnsi="Times New Roman" w:eastAsia="仿宋" w:cs="Times New Roman"/>
          <w:sz w:val="28"/>
          <w:szCs w:val="28"/>
        </w:rPr>
      </w:pPr>
      <w:r>
        <w:rPr>
          <w:rFonts w:hint="eastAsia"/>
          <w:b w:val="0"/>
          <w:bCs w:val="0"/>
          <w:highlight w:val="none"/>
          <w:lang w:val="en-US" w:eastAsia="zh-CN"/>
        </w:rPr>
        <w:t>红色（I级）预警：情况危急，可能发生或引发较大突发环境事件或事件已经发生，产生的环境污染造成</w:t>
      </w:r>
      <w:r>
        <w:rPr>
          <w:rFonts w:hint="eastAsia" w:cs="Times New Roman"/>
          <w:sz w:val="28"/>
          <w:szCs w:val="28"/>
          <w:lang w:eastAsia="zh-CN"/>
        </w:rPr>
        <w:t>汾阳市石门沟集中供水水源地</w:t>
      </w:r>
      <w:r>
        <w:rPr>
          <w:rFonts w:hint="eastAsia"/>
          <w:b w:val="0"/>
          <w:bCs w:val="0"/>
          <w:highlight w:val="none"/>
          <w:lang w:val="en-US" w:eastAsia="zh-CN"/>
        </w:rPr>
        <w:t>取水中断的。</w:t>
      </w:r>
    </w:p>
    <w:p w14:paraId="65F04CFF">
      <w:pPr>
        <w:pStyle w:val="4"/>
        <w:bidi w:val="0"/>
        <w:rPr>
          <w:rFonts w:hint="default"/>
        </w:rPr>
      </w:pPr>
      <w:bookmarkStart w:id="70" w:name="_Toc7211"/>
      <w:r>
        <w:rPr>
          <w:rFonts w:hint="default"/>
        </w:rPr>
        <w:t>4.4.</w:t>
      </w:r>
      <w:r>
        <w:rPr>
          <w:rFonts w:hint="default"/>
          <w:lang w:val="en-US" w:eastAsia="zh-CN"/>
        </w:rPr>
        <w:t>2</w:t>
      </w:r>
      <w:r>
        <w:rPr>
          <w:rFonts w:hint="default"/>
        </w:rPr>
        <w:t xml:space="preserve"> 发布预警和预警级别调整</w:t>
      </w:r>
      <w:bookmarkEnd w:id="70"/>
      <w:r>
        <w:rPr>
          <w:rFonts w:hint="default"/>
        </w:rPr>
        <w:t xml:space="preserve"> </w:t>
      </w:r>
    </w:p>
    <w:p w14:paraId="0B8A57B3">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eastAsia" w:cs="Times New Roman"/>
          <w:sz w:val="28"/>
          <w:szCs w:val="28"/>
          <w:lang w:eastAsia="zh-CN"/>
        </w:rPr>
        <w:t>汾阳市石门沟集中供水水源地</w:t>
      </w:r>
      <w:r>
        <w:rPr>
          <w:rFonts w:hint="default" w:ascii="Times New Roman" w:hAnsi="Times New Roman" w:eastAsia="仿宋" w:cs="Times New Roman"/>
          <w:sz w:val="28"/>
          <w:szCs w:val="28"/>
        </w:rPr>
        <w:t>应急指挥部负责对事件信息进行跟踪收集和研判，并根据达到的预警级别条件发布相应的预警，通报组织实施预警行动和应急处置行动的部门和单位。同时通过电视、微信、报纸、互联网、手机短信、当面告知等渠道或方式向</w:t>
      </w:r>
      <w:r>
        <w:rPr>
          <w:rFonts w:hint="eastAsia" w:ascii="Times New Roman" w:hAnsi="Times New Roman" w:eastAsia="仿宋" w:cs="Times New Roman"/>
          <w:sz w:val="28"/>
          <w:szCs w:val="28"/>
          <w:lang w:eastAsia="zh-CN"/>
        </w:rPr>
        <w:t>汾阳市</w:t>
      </w:r>
      <w:r>
        <w:rPr>
          <w:rFonts w:hint="default" w:ascii="Times New Roman" w:hAnsi="Times New Roman" w:eastAsia="仿宋" w:cs="Times New Roman"/>
          <w:sz w:val="28"/>
          <w:szCs w:val="28"/>
        </w:rPr>
        <w:t>公众发布预警信息，并通报可能影响到的相关地区。</w:t>
      </w:r>
    </w:p>
    <w:p w14:paraId="3F6B27A1">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预警信息发布后，由应急指挥部根据事态发展、采取措施的效果，适时调整预警级别并再次发布。</w:t>
      </w:r>
    </w:p>
    <w:p w14:paraId="4DAC2FB2">
      <w:pPr>
        <w:pStyle w:val="4"/>
        <w:bidi w:val="0"/>
        <w:rPr>
          <w:rFonts w:hint="default"/>
        </w:rPr>
      </w:pPr>
      <w:bookmarkStart w:id="71" w:name="_Toc9676"/>
      <w:r>
        <w:rPr>
          <w:rFonts w:hint="default"/>
        </w:rPr>
        <w:t>4.4.</w:t>
      </w:r>
      <w:r>
        <w:rPr>
          <w:rFonts w:hint="default"/>
          <w:lang w:val="en-US" w:eastAsia="zh-CN"/>
        </w:rPr>
        <w:t>3</w:t>
      </w:r>
      <w:r>
        <w:rPr>
          <w:rFonts w:hint="default"/>
        </w:rPr>
        <w:t xml:space="preserve"> 预警发布内容</w:t>
      </w:r>
      <w:bookmarkEnd w:id="71"/>
    </w:p>
    <w:p w14:paraId="3FE0EE39">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预警发布的内容包括发布单位、发布时间、突发事件的类别、起始时间、影响人口（含影响时间）、可能影响的范围、预警级别、警示事项、事态发展、应采取的措施和咨询电话等。</w:t>
      </w:r>
    </w:p>
    <w:p w14:paraId="1EEFC7FC">
      <w:pPr>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firstLine="560" w:firstLineChars="200"/>
        <w:jc w:val="both"/>
        <w:textAlignment w:val="auto"/>
        <w:rPr>
          <w:rFonts w:hint="default" w:ascii="Times New Roman" w:hAnsi="Times New Roman" w:eastAsia="仿宋" w:cs="Times New Roman"/>
          <w:sz w:val="28"/>
          <w:szCs w:val="28"/>
        </w:rPr>
      </w:pPr>
      <w:r>
        <w:rPr>
          <w:rFonts w:hint="eastAsia" w:cs="Times New Roman"/>
          <w:sz w:val="28"/>
          <w:szCs w:val="28"/>
          <w:lang w:eastAsia="zh-CN"/>
        </w:rPr>
        <w:t>汾阳市石门沟集中供水水源地</w:t>
      </w:r>
      <w:r>
        <w:rPr>
          <w:rFonts w:hint="default" w:ascii="Times New Roman" w:hAnsi="Times New Roman" w:eastAsia="仿宋" w:cs="Times New Roman"/>
          <w:sz w:val="28"/>
          <w:szCs w:val="28"/>
        </w:rPr>
        <w:t>应急组织指挥部应加强对预警信息动态管理，根据事态发展变化，适时调整预警级别，更新预警信息内容，并重新发布、报告和通报有关情况。</w:t>
      </w:r>
    </w:p>
    <w:p w14:paraId="0507DF7F">
      <w:pPr>
        <w:pStyle w:val="4"/>
        <w:bidi w:val="0"/>
        <w:rPr>
          <w:rFonts w:hint="default"/>
        </w:rPr>
      </w:pPr>
      <w:bookmarkStart w:id="72" w:name="_Toc26280"/>
      <w:r>
        <w:rPr>
          <w:rFonts w:hint="default"/>
        </w:rPr>
        <w:t>4.4.</w:t>
      </w:r>
      <w:r>
        <w:rPr>
          <w:rFonts w:hint="default"/>
          <w:lang w:val="en-US" w:eastAsia="zh-CN"/>
        </w:rPr>
        <w:t>4</w:t>
      </w:r>
      <w:r>
        <w:rPr>
          <w:rFonts w:hint="default"/>
        </w:rPr>
        <w:t xml:space="preserve"> 预警行动</w:t>
      </w:r>
      <w:bookmarkEnd w:id="72"/>
    </w:p>
    <w:p w14:paraId="48B3431B">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预警信息发布后，现场应急指挥部组织开展应急响应工作</w:t>
      </w: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rPr>
        <w:t>在发布红色预警时，现场应急指挥部的总指挥应当到达现场指挥工作。</w:t>
      </w:r>
    </w:p>
    <w:p w14:paraId="5BE578E6">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预警行动包含以下内容：</w:t>
      </w:r>
    </w:p>
    <w:p w14:paraId="1845FC22">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）启动应急预案；</w:t>
      </w:r>
    </w:p>
    <w:p w14:paraId="1E68143C">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（2）通知现场应急指挥部中的有关单位和人员做好应急准备，进入待命状态，必要时到达现场开展相关工作；</w:t>
      </w:r>
    </w:p>
    <w:p w14:paraId="3CDD5C6E">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）责令</w:t>
      </w:r>
      <w:r>
        <w:rPr>
          <w:rFonts w:hint="eastAsia" w:cs="Times New Roman"/>
          <w:sz w:val="28"/>
          <w:szCs w:val="28"/>
          <w:lang w:eastAsia="zh-CN"/>
        </w:rPr>
        <w:t>汾阳市石门沟集中供水水源地</w:t>
      </w:r>
      <w:r>
        <w:rPr>
          <w:rFonts w:hint="default" w:ascii="Times New Roman" w:hAnsi="Times New Roman" w:eastAsia="仿宋" w:cs="Times New Roman"/>
          <w:sz w:val="28"/>
          <w:szCs w:val="28"/>
        </w:rPr>
        <w:t>供水单位进入待命状态，做好停止取水、深度处理、低压供水或启动备用水源等准备工作；</w:t>
      </w:r>
    </w:p>
    <w:p w14:paraId="1AB86FDB">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rPr>
        <w:t>）加强信息监控，核实突发环境事件污染来源、进入水体的污染物种类和总量、污染扩散范围等信息；</w:t>
      </w:r>
    </w:p>
    <w:p w14:paraId="35C1B297">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5</w:t>
      </w:r>
      <w:r>
        <w:rPr>
          <w:rFonts w:hint="default" w:ascii="Times New Roman" w:hAnsi="Times New Roman" w:eastAsia="仿宋" w:cs="Times New Roman"/>
          <w:sz w:val="28"/>
          <w:szCs w:val="28"/>
        </w:rPr>
        <w:t>）开展应急监测，对</w:t>
      </w:r>
      <w:r>
        <w:rPr>
          <w:rFonts w:hint="eastAsia" w:cs="Times New Roman"/>
          <w:sz w:val="28"/>
          <w:szCs w:val="28"/>
          <w:lang w:eastAsia="zh-CN"/>
        </w:rPr>
        <w:t>汾阳市石门沟集中供水水源地</w:t>
      </w:r>
      <w:r>
        <w:rPr>
          <w:rFonts w:hint="default" w:ascii="Times New Roman" w:hAnsi="Times New Roman" w:eastAsia="仿宋" w:cs="Times New Roman"/>
          <w:sz w:val="28"/>
          <w:szCs w:val="28"/>
        </w:rPr>
        <w:t>水体加强监测，对可能导致水源地突发环境事件发生的相关企业事业单位和其它生产经营者加强环境监管；</w:t>
      </w:r>
    </w:p>
    <w:p w14:paraId="11E7865D">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6</w:t>
      </w:r>
      <w:r>
        <w:rPr>
          <w:rFonts w:hint="default" w:ascii="Times New Roman" w:hAnsi="Times New Roman" w:eastAsia="仿宋" w:cs="Times New Roman"/>
          <w:sz w:val="28"/>
          <w:szCs w:val="28"/>
        </w:rPr>
        <w:t>）依据不同预案情景和部门职责分工，上报</w:t>
      </w:r>
      <w:r>
        <w:rPr>
          <w:rFonts w:hint="eastAsia" w:cs="Times New Roman"/>
          <w:sz w:val="28"/>
          <w:szCs w:val="28"/>
          <w:lang w:eastAsia="zh-CN"/>
        </w:rPr>
        <w:t>相关部门</w:t>
      </w:r>
      <w:r>
        <w:rPr>
          <w:rFonts w:hint="default" w:ascii="Times New Roman" w:hAnsi="Times New Roman" w:eastAsia="仿宋" w:cs="Times New Roman"/>
          <w:sz w:val="28"/>
          <w:szCs w:val="28"/>
        </w:rPr>
        <w:t>和机构、由应急专家对预警信息进行溯源分析，预估可能影响的范围和危害程度；</w:t>
      </w:r>
    </w:p>
    <w:p w14:paraId="1722AA4D">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7</w:t>
      </w:r>
      <w:r>
        <w:rPr>
          <w:rFonts w:hint="default" w:ascii="Times New Roman" w:hAnsi="Times New Roman" w:eastAsia="仿宋" w:cs="Times New Roman"/>
          <w:sz w:val="28"/>
          <w:szCs w:val="28"/>
        </w:rPr>
        <w:t>）调集应急所需物资和设备，做好应急保障工作；</w:t>
      </w:r>
    </w:p>
    <w:p w14:paraId="3D75B9A8">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8</w:t>
      </w:r>
      <w:r>
        <w:rPr>
          <w:rFonts w:hint="default" w:ascii="Times New Roman" w:hAnsi="Times New Roman" w:eastAsia="仿宋" w:cs="Times New Roman"/>
          <w:sz w:val="28"/>
          <w:szCs w:val="28"/>
        </w:rPr>
        <w:t>）在危险区域设置提示或者警告标志；</w:t>
      </w:r>
    </w:p>
    <w:p w14:paraId="38A742A4">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9</w:t>
      </w:r>
      <w:r>
        <w:rPr>
          <w:rFonts w:hint="default" w:ascii="Times New Roman" w:hAnsi="Times New Roman" w:eastAsia="仿宋" w:cs="Times New Roman"/>
          <w:sz w:val="28"/>
          <w:szCs w:val="28"/>
        </w:rPr>
        <w:t>）责令应急救援队伍、负有特定职责的人员进入待命状态，动员后备人员做好应急救援准备，并开展先期处置；</w:t>
      </w:r>
    </w:p>
    <w:p w14:paraId="41A926E8">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10</w:t>
      </w:r>
      <w:r>
        <w:rPr>
          <w:rFonts w:hint="default" w:ascii="Times New Roman" w:hAnsi="Times New Roman" w:eastAsia="仿宋" w:cs="Times New Roman"/>
          <w:sz w:val="28"/>
          <w:szCs w:val="28"/>
        </w:rPr>
        <w:t>）必要时，及时上报管理部门，并通过电视、微信、报纸、互联网、手机短信等媒体向公众发布预警信息，并加强舆情监测，做好舆论引导和舆情应对工作。</w:t>
      </w:r>
    </w:p>
    <w:p w14:paraId="3511E7A6">
      <w:pPr>
        <w:pStyle w:val="3"/>
        <w:bidi w:val="0"/>
        <w:rPr>
          <w:rFonts w:hint="default"/>
          <w:lang w:val="en-US" w:eastAsia="zh-CN"/>
        </w:rPr>
      </w:pPr>
      <w:bookmarkStart w:id="73" w:name="_Toc3239"/>
      <w:bookmarkStart w:id="74" w:name="_Toc5445"/>
      <w:r>
        <w:rPr>
          <w:rFonts w:hint="default"/>
          <w:lang w:val="en-US" w:eastAsia="zh-CN"/>
        </w:rPr>
        <w:t>4.5 预警解除</w:t>
      </w:r>
      <w:bookmarkEnd w:id="73"/>
      <w:bookmarkEnd w:id="74"/>
    </w:p>
    <w:p w14:paraId="4A1E96D3">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当</w:t>
      </w:r>
      <w:r>
        <w:rPr>
          <w:rFonts w:hint="eastAsia" w:cs="Times New Roman"/>
          <w:sz w:val="28"/>
          <w:szCs w:val="28"/>
          <w:lang w:eastAsia="zh-CN"/>
        </w:rPr>
        <w:t>汾阳市石门沟集中供水水源地</w:t>
      </w:r>
      <w:r>
        <w:rPr>
          <w:rFonts w:hint="default" w:ascii="Times New Roman" w:hAnsi="Times New Roman" w:eastAsia="仿宋" w:cs="Times New Roman"/>
          <w:sz w:val="28"/>
          <w:szCs w:val="28"/>
        </w:rPr>
        <w:t>突发环境事件条件已经排除、污染物质已降至规定限值以内、所造成的危害基本消除时，由应急组织指挥机构宣布解除预警，终止已经采取的有关行动和措施。</w:t>
      </w:r>
    </w:p>
    <w:p w14:paraId="05EDE2F5">
      <w:pPr>
        <w:pStyle w:val="3"/>
        <w:bidi w:val="0"/>
        <w:rPr>
          <w:rFonts w:hint="default"/>
          <w:lang w:val="en-US" w:eastAsia="zh-CN"/>
        </w:rPr>
      </w:pPr>
      <w:bookmarkStart w:id="75" w:name="_Toc22157"/>
      <w:bookmarkStart w:id="76" w:name="_Toc14112"/>
      <w:r>
        <w:rPr>
          <w:rFonts w:hint="default"/>
          <w:lang w:val="en-US" w:eastAsia="zh-CN"/>
        </w:rPr>
        <w:t>4.6 信息报告与通报</w:t>
      </w:r>
      <w:bookmarkEnd w:id="75"/>
      <w:bookmarkEnd w:id="76"/>
    </w:p>
    <w:p w14:paraId="613FC3F9">
      <w:pPr>
        <w:pStyle w:val="4"/>
        <w:bidi w:val="0"/>
        <w:rPr>
          <w:rFonts w:hint="default"/>
        </w:rPr>
      </w:pPr>
      <w:bookmarkStart w:id="77" w:name="_Toc2377"/>
      <w:r>
        <w:rPr>
          <w:rFonts w:hint="default"/>
        </w:rPr>
        <w:t>4.</w:t>
      </w:r>
      <w:r>
        <w:rPr>
          <w:rFonts w:hint="default"/>
          <w:lang w:val="en-US" w:eastAsia="zh-CN"/>
        </w:rPr>
        <w:t>6</w:t>
      </w:r>
      <w:r>
        <w:rPr>
          <w:rFonts w:hint="default"/>
        </w:rPr>
        <w:t>.1 信息报告程序</w:t>
      </w:r>
      <w:bookmarkEnd w:id="77"/>
    </w:p>
    <w:p w14:paraId="3E8C5B31">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）发现已经造成或者可能造成</w:t>
      </w:r>
      <w:r>
        <w:rPr>
          <w:rFonts w:hint="eastAsia" w:cs="Times New Roman"/>
          <w:sz w:val="28"/>
          <w:szCs w:val="28"/>
          <w:lang w:eastAsia="zh-CN"/>
        </w:rPr>
        <w:t>汾阳市石门沟集中供水水源地</w:t>
      </w:r>
      <w:r>
        <w:rPr>
          <w:rFonts w:hint="default" w:ascii="Times New Roman" w:hAnsi="Times New Roman" w:eastAsia="仿宋" w:cs="Times New Roman"/>
          <w:sz w:val="28"/>
          <w:szCs w:val="28"/>
        </w:rPr>
        <w:t>污染的有关人员和责任单位，应立即向</w:t>
      </w:r>
      <w:r>
        <w:rPr>
          <w:rFonts w:hint="eastAsia" w:cs="Times New Roman"/>
          <w:sz w:val="28"/>
          <w:szCs w:val="28"/>
          <w:lang w:eastAsia="zh-CN"/>
        </w:rPr>
        <w:t>汾阳市石门沟集中供水水源地应急办公室</w:t>
      </w:r>
      <w:r>
        <w:rPr>
          <w:rFonts w:hint="default" w:ascii="Times New Roman" w:hAnsi="Times New Roman" w:eastAsia="仿宋" w:cs="Times New Roman"/>
          <w:sz w:val="28"/>
          <w:szCs w:val="28"/>
        </w:rPr>
        <w:t>报告</w:t>
      </w:r>
      <w:r>
        <w:rPr>
          <w:rFonts w:hint="eastAsia" w:cs="Times New Roman"/>
          <w:sz w:val="28"/>
          <w:szCs w:val="28"/>
          <w:lang w:eastAsia="zh-CN"/>
        </w:rPr>
        <w:t>，</w:t>
      </w:r>
      <w:r>
        <w:rPr>
          <w:rFonts w:hint="eastAsia" w:cs="Times New Roman"/>
          <w:sz w:val="28"/>
          <w:szCs w:val="28"/>
          <w:lang w:val="en-US" w:eastAsia="zh-CN"/>
        </w:rPr>
        <w:t>不得瞒报、谎报，初次报告最迟不得超过1小时</w:t>
      </w:r>
      <w:r>
        <w:rPr>
          <w:rFonts w:hint="default" w:ascii="Times New Roman" w:hAnsi="Times New Roman" w:eastAsia="仿宋" w:cs="Times New Roman"/>
          <w:sz w:val="28"/>
          <w:szCs w:val="28"/>
        </w:rPr>
        <w:t>。</w:t>
      </w:r>
    </w:p>
    <w:p w14:paraId="341D08E4">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w:t>
      </w:r>
      <w:r>
        <w:rPr>
          <w:rFonts w:hint="eastAsia" w:cs="Times New Roman"/>
          <w:sz w:val="28"/>
          <w:szCs w:val="28"/>
          <w:lang w:eastAsia="zh-CN"/>
        </w:rPr>
        <w:t>汾阳市石门沟集中供水水源地应急办公室</w:t>
      </w:r>
      <w:r>
        <w:rPr>
          <w:rFonts w:hint="default" w:ascii="Times New Roman" w:hAnsi="Times New Roman" w:eastAsia="仿宋" w:cs="Times New Roman"/>
          <w:sz w:val="28"/>
          <w:szCs w:val="28"/>
        </w:rPr>
        <w:t>在发现或者得知</w:t>
      </w:r>
      <w:r>
        <w:rPr>
          <w:rFonts w:hint="eastAsia" w:cs="Times New Roman"/>
          <w:sz w:val="28"/>
          <w:szCs w:val="28"/>
          <w:lang w:eastAsia="zh-CN"/>
        </w:rPr>
        <w:t>汾阳市石门沟集中供水水源地</w:t>
      </w:r>
      <w:r>
        <w:rPr>
          <w:rFonts w:hint="default" w:ascii="Times New Roman" w:hAnsi="Times New Roman" w:eastAsia="仿宋" w:cs="Times New Roman"/>
          <w:sz w:val="28"/>
          <w:szCs w:val="28"/>
        </w:rPr>
        <w:t>突发环境事件信息后，应立即进行核实，了解相关情况。经核实后，第一时间向</w:t>
      </w:r>
      <w:r>
        <w:rPr>
          <w:rFonts w:hint="eastAsia" w:cs="Times New Roman"/>
          <w:sz w:val="28"/>
          <w:szCs w:val="28"/>
          <w:lang w:eastAsia="zh-CN"/>
        </w:rPr>
        <w:t>汾阳市石门沟集中供水水源地</w:t>
      </w:r>
      <w:r>
        <w:rPr>
          <w:rFonts w:hint="default" w:ascii="Times New Roman" w:hAnsi="Times New Roman" w:eastAsia="仿宋" w:cs="Times New Roman"/>
          <w:sz w:val="28"/>
          <w:szCs w:val="28"/>
        </w:rPr>
        <w:t xml:space="preserve">应急指挥部和市生态环境局报告。 </w:t>
      </w:r>
    </w:p>
    <w:p w14:paraId="37B7D663">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）国家、省、市生态环境部门先于</w:t>
      </w:r>
      <w:r>
        <w:rPr>
          <w:rFonts w:hint="eastAsia" w:ascii="Times New Roman" w:hAnsi="Times New Roman" w:eastAsia="仿宋" w:cs="Times New Roman"/>
          <w:sz w:val="28"/>
          <w:szCs w:val="28"/>
          <w:lang w:eastAsia="zh-CN"/>
        </w:rPr>
        <w:t>吕梁市生态环境局汾阳分局</w:t>
      </w:r>
      <w:r>
        <w:rPr>
          <w:rFonts w:hint="default" w:ascii="Times New Roman" w:hAnsi="Times New Roman" w:eastAsia="仿宋" w:cs="Times New Roman"/>
          <w:sz w:val="28"/>
          <w:szCs w:val="28"/>
        </w:rPr>
        <w:t>获悉水源地突发环境事件信息的，可要求</w:t>
      </w:r>
      <w:r>
        <w:rPr>
          <w:rFonts w:hint="eastAsia" w:ascii="Times New Roman" w:hAnsi="Times New Roman" w:eastAsia="仿宋" w:cs="Times New Roman"/>
          <w:sz w:val="28"/>
          <w:szCs w:val="28"/>
          <w:lang w:eastAsia="zh-CN"/>
        </w:rPr>
        <w:t>吕梁市生态环境局汾阳分局</w:t>
      </w:r>
      <w:r>
        <w:rPr>
          <w:rFonts w:hint="default" w:ascii="Times New Roman" w:hAnsi="Times New Roman" w:eastAsia="仿宋" w:cs="Times New Roman"/>
          <w:sz w:val="28"/>
          <w:szCs w:val="28"/>
        </w:rPr>
        <w:t>核实相应信息。</w:t>
      </w:r>
    </w:p>
    <w:p w14:paraId="5D588588">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rPr>
        <w:t>）特殊情况下，若遇到敏感事件或发生在重点地区、特殊时期，或可能演化为重大突发环境事件的信息，不受报送程序限制，相关责任单位和有关职能部门要立即向本级水源地应急指挥部报告。</w:t>
      </w:r>
    </w:p>
    <w:p w14:paraId="481FE59B">
      <w:pPr>
        <w:pStyle w:val="4"/>
        <w:bidi w:val="0"/>
        <w:rPr>
          <w:rFonts w:hint="default"/>
          <w:lang w:val="en-US" w:eastAsia="zh-CN"/>
        </w:rPr>
      </w:pPr>
      <w:bookmarkStart w:id="78" w:name="_Toc13195"/>
      <w:r>
        <w:rPr>
          <w:rFonts w:hint="default"/>
          <w:lang w:val="en-US" w:eastAsia="zh-CN"/>
        </w:rPr>
        <w:t>4.6.2 信息通报程序</w:t>
      </w:r>
      <w:bookmarkEnd w:id="78"/>
    </w:p>
    <w:p w14:paraId="2821F616">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对于经核实后的水源地突发环境事件，接报的单位应向</w:t>
      </w:r>
      <w:r>
        <w:rPr>
          <w:rFonts w:hint="eastAsia" w:cs="Times New Roman"/>
          <w:sz w:val="28"/>
          <w:szCs w:val="28"/>
          <w:lang w:eastAsia="zh-CN"/>
        </w:rPr>
        <w:t>汾阳市石门沟集中供水水源地</w:t>
      </w:r>
      <w:r>
        <w:rPr>
          <w:rFonts w:hint="default" w:ascii="Times New Roman" w:hAnsi="Times New Roman" w:eastAsia="仿宋" w:cs="Times New Roman"/>
          <w:sz w:val="28"/>
          <w:szCs w:val="28"/>
        </w:rPr>
        <w:t>应急指挥部和</w:t>
      </w:r>
      <w:r>
        <w:rPr>
          <w:rFonts w:hint="eastAsia" w:ascii="Times New Roman" w:hAnsi="Times New Roman" w:cs="Times New Roman"/>
          <w:sz w:val="28"/>
          <w:szCs w:val="28"/>
          <w:lang w:eastAsia="zh-CN"/>
        </w:rPr>
        <w:t>汾阳市</w:t>
      </w:r>
      <w:r>
        <w:rPr>
          <w:rFonts w:hint="eastAsia" w:cs="Times New Roman"/>
          <w:sz w:val="28"/>
          <w:szCs w:val="28"/>
          <w:lang w:eastAsia="zh-CN"/>
        </w:rPr>
        <w:t>相关部门</w:t>
      </w:r>
      <w:r>
        <w:rPr>
          <w:rFonts w:hint="default" w:ascii="Times New Roman" w:hAnsi="Times New Roman" w:eastAsia="仿宋" w:cs="Times New Roman"/>
          <w:sz w:val="28"/>
          <w:szCs w:val="28"/>
        </w:rPr>
        <w:t>通报。通报的部门至少应包括生态环境、供水管理（住建或水务）、卫生、水行政等部门；根据水源地突发环境事件的类型和情景，还应通报消防（遇火灾爆炸）、交通、公安（遇火灾爆炸、道路运输事故）、应急、农业（遇大面积死鱼）等部门。</w:t>
      </w:r>
    </w:p>
    <w:p w14:paraId="48E4B800">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水源地突发环境事件已经或可能影响相邻行政区域的，</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人民政府及</w:t>
      </w:r>
      <w:r>
        <w:rPr>
          <w:rFonts w:hint="eastAsia" w:cs="Times New Roman"/>
          <w:sz w:val="28"/>
          <w:szCs w:val="28"/>
          <w:lang w:eastAsia="zh-CN"/>
        </w:rPr>
        <w:t>相关部门</w:t>
      </w:r>
      <w:r>
        <w:rPr>
          <w:rFonts w:hint="default" w:ascii="Times New Roman" w:hAnsi="Times New Roman" w:eastAsia="仿宋" w:cs="Times New Roman"/>
          <w:sz w:val="28"/>
          <w:szCs w:val="28"/>
        </w:rPr>
        <w:t>应及时通报相邻区域同级人民政府及</w:t>
      </w:r>
      <w:r>
        <w:rPr>
          <w:rFonts w:hint="eastAsia" w:cs="Times New Roman"/>
          <w:sz w:val="28"/>
          <w:szCs w:val="28"/>
          <w:lang w:eastAsia="zh-CN"/>
        </w:rPr>
        <w:t>相关部门</w:t>
      </w:r>
      <w:r>
        <w:rPr>
          <w:rFonts w:hint="default" w:ascii="Times New Roman" w:hAnsi="Times New Roman" w:eastAsia="仿宋" w:cs="Times New Roman"/>
          <w:sz w:val="28"/>
          <w:szCs w:val="28"/>
        </w:rPr>
        <w:t>。</w:t>
      </w:r>
    </w:p>
    <w:p w14:paraId="7DA7CF78">
      <w:pPr>
        <w:pStyle w:val="4"/>
        <w:bidi w:val="0"/>
        <w:rPr>
          <w:rFonts w:hint="default"/>
        </w:rPr>
      </w:pPr>
      <w:bookmarkStart w:id="79" w:name="_Toc15063"/>
      <w:r>
        <w:rPr>
          <w:rFonts w:hint="default"/>
        </w:rPr>
        <w:t>4.</w:t>
      </w:r>
      <w:r>
        <w:rPr>
          <w:rFonts w:hint="default"/>
          <w:lang w:val="en-US" w:eastAsia="zh-CN"/>
        </w:rPr>
        <w:t>6</w:t>
      </w:r>
      <w:r>
        <w:rPr>
          <w:rFonts w:hint="default"/>
        </w:rPr>
        <w:t>.3 信息报告和通报内容</w:t>
      </w:r>
      <w:bookmarkEnd w:id="79"/>
      <w:r>
        <w:rPr>
          <w:rFonts w:hint="default"/>
        </w:rPr>
        <w:t xml:space="preserve"> </w:t>
      </w:r>
    </w:p>
    <w:p w14:paraId="6AB78FF5">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按照不同的时间节点，</w:t>
      </w:r>
      <w:r>
        <w:rPr>
          <w:rFonts w:hint="eastAsia" w:cs="Times New Roman"/>
          <w:sz w:val="28"/>
          <w:szCs w:val="28"/>
          <w:lang w:eastAsia="zh-CN"/>
        </w:rPr>
        <w:t>汾阳市石门沟集中供水水源地</w:t>
      </w:r>
      <w:r>
        <w:rPr>
          <w:rFonts w:hint="default" w:ascii="Times New Roman" w:hAnsi="Times New Roman" w:eastAsia="仿宋" w:cs="Times New Roman"/>
          <w:sz w:val="28"/>
          <w:szCs w:val="28"/>
        </w:rPr>
        <w:t>突发环境事件的报告和通报分为初报、续报和处理结果报告。初报是发现或得知突发环境事件后首次报告；续报在查清有关基本情况、事件发展情况后的报告；处理结果报告是在突发环境事件处理完毕后的报告。</w:t>
      </w:r>
    </w:p>
    <w:p w14:paraId="34E00885">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）初报应当报告</w:t>
      </w:r>
      <w:r>
        <w:rPr>
          <w:rFonts w:hint="eastAsia" w:cs="Times New Roman"/>
          <w:sz w:val="28"/>
          <w:szCs w:val="28"/>
          <w:lang w:eastAsia="zh-CN"/>
        </w:rPr>
        <w:t>汾阳市石门沟集中供水水源地</w:t>
      </w:r>
      <w:r>
        <w:rPr>
          <w:rFonts w:hint="default" w:ascii="Times New Roman" w:hAnsi="Times New Roman" w:eastAsia="仿宋" w:cs="Times New Roman"/>
          <w:sz w:val="28"/>
          <w:szCs w:val="28"/>
        </w:rPr>
        <w:t>突发环境事件的发生时间、地点、信息来源、事件起因和性质、基本过程、主要污染物和数量、监测结果、人员受害情况、饮用水水源地受影响情况、事件发展趋势、处置情况、拟采取的措施以及下一步工作建议等初步情况。</w:t>
      </w:r>
    </w:p>
    <w:p w14:paraId="7BBACDB5">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）续报应在初报基本信息的基础上，报告有关处置进展情况。</w:t>
      </w:r>
    </w:p>
    <w:p w14:paraId="51C8C4C9">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）处理结果报告应在初报和续报的基础上，报告处理突发环境事件的措施、过程和结果，突发环境事件潜在或者间接危害以及损失、社会影响、处理后的遗留问题、责任追究等详细情况。</w:t>
      </w:r>
    </w:p>
    <w:p w14:paraId="1F6AC00E">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eastAsia" w:cs="Times New Roman"/>
          <w:sz w:val="28"/>
          <w:szCs w:val="28"/>
          <w:lang w:eastAsia="zh-CN"/>
        </w:rPr>
        <w:t>汾阳市石门沟集中供水水源地</w:t>
      </w:r>
      <w:r>
        <w:rPr>
          <w:rFonts w:hint="default" w:ascii="Times New Roman" w:hAnsi="Times New Roman" w:eastAsia="仿宋" w:cs="Times New Roman"/>
          <w:sz w:val="28"/>
          <w:szCs w:val="28"/>
        </w:rPr>
        <w:t>突发环境事件信息应当采用传真、网络、邮寄或面呈等方式书面报告；情况紧急时，初报可通过电话报告，但应当及时补充书面报告材料。书面报告中应当说明突发环境事件报告单位、报告签发人、联系人及联系方式等内容，并尽可能提供地图、图片以及相关的多媒体资料。</w:t>
      </w:r>
    </w:p>
    <w:p w14:paraId="79F8E995">
      <w:pPr>
        <w:pStyle w:val="3"/>
        <w:bidi w:val="0"/>
        <w:rPr>
          <w:rFonts w:hint="default"/>
          <w:lang w:val="en-US" w:eastAsia="zh-CN"/>
        </w:rPr>
      </w:pPr>
      <w:bookmarkStart w:id="80" w:name="_Toc22856"/>
      <w:bookmarkStart w:id="81" w:name="_Toc27245"/>
      <w:r>
        <w:rPr>
          <w:rFonts w:hint="default"/>
          <w:lang w:val="en-US" w:eastAsia="zh-CN"/>
        </w:rPr>
        <w:t>4.7应急监测</w:t>
      </w:r>
      <w:bookmarkEnd w:id="80"/>
      <w:bookmarkEnd w:id="81"/>
      <w:r>
        <w:rPr>
          <w:rFonts w:hint="default"/>
          <w:lang w:val="en-US" w:eastAsia="zh-CN"/>
        </w:rPr>
        <w:t xml:space="preserve"> </w:t>
      </w:r>
    </w:p>
    <w:p w14:paraId="58DCB38F">
      <w:pPr>
        <w:pStyle w:val="4"/>
        <w:bidi w:val="0"/>
        <w:rPr>
          <w:rFonts w:hint="default"/>
        </w:rPr>
      </w:pPr>
      <w:bookmarkStart w:id="82" w:name="_Toc17454"/>
      <w:r>
        <w:rPr>
          <w:rFonts w:hint="default"/>
          <w:lang w:val="en-US" w:eastAsia="zh-CN"/>
        </w:rPr>
        <w:t>4.7.1</w:t>
      </w:r>
      <w:r>
        <w:rPr>
          <w:rFonts w:hint="default"/>
        </w:rPr>
        <w:t>开展应急监测程序</w:t>
      </w:r>
      <w:bookmarkEnd w:id="82"/>
      <w:r>
        <w:rPr>
          <w:rFonts w:hint="default"/>
        </w:rPr>
        <w:t xml:space="preserve"> </w:t>
      </w:r>
    </w:p>
    <w:p w14:paraId="0301D460">
      <w:pPr>
        <w:keepNext w:val="0"/>
        <w:keepLines w:val="0"/>
        <w:pageBreakBefore w:val="0"/>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现场应急救援指挥部负责组织协调突发环境事件现场及周边环境的应急监测工作，在发生水源地突发环境事件时第一时间制订应急监测方案。</w:t>
      </w:r>
    </w:p>
    <w:p w14:paraId="43CB92A3">
      <w:pPr>
        <w:keepNext w:val="0"/>
        <w:keepLines w:val="0"/>
        <w:pageBreakBefore w:val="0"/>
        <w:kinsoku/>
        <w:wordWrap/>
        <w:overflowPunct/>
        <w:topLinePunct w:val="0"/>
        <w:autoSpaceDE/>
        <w:autoSpaceDN/>
        <w:bidi w:val="0"/>
        <w:adjustRightInd w:val="0"/>
        <w:snapToGrid w:val="0"/>
        <w:textAlignment w:val="auto"/>
        <w:rPr>
          <w:rFonts w:hint="default"/>
          <w:highlight w:val="none"/>
          <w:lang w:val="en-US" w:eastAsia="zh-CN"/>
        </w:rPr>
      </w:pPr>
      <w:r>
        <w:rPr>
          <w:rFonts w:hint="eastAsia"/>
          <w:highlight w:val="none"/>
          <w:lang w:val="en-US" w:eastAsia="zh-CN"/>
        </w:rPr>
        <w:t>（1）</w:t>
      </w:r>
      <w:r>
        <w:rPr>
          <w:rFonts w:hint="default"/>
          <w:highlight w:val="none"/>
          <w:lang w:val="en-US" w:eastAsia="zh-CN"/>
        </w:rPr>
        <w:t>根据突发环境事件污染物的扩散速度、事件发生地的气象和地域特点，制订应急监测方案，确定污染物扩散范围。视污染物的扩散情况和监测结果的变化趋势，可对监测方案进行适时调整</w:t>
      </w:r>
      <w:r>
        <w:rPr>
          <w:rFonts w:hint="eastAsia"/>
          <w:highlight w:val="none"/>
          <w:lang w:val="en-US" w:eastAsia="zh-CN"/>
        </w:rPr>
        <w:t>。</w:t>
      </w:r>
    </w:p>
    <w:p w14:paraId="773F1794">
      <w:pPr>
        <w:keepNext w:val="0"/>
        <w:keepLines w:val="0"/>
        <w:pageBreakBefore w:val="0"/>
        <w:kinsoku/>
        <w:wordWrap/>
        <w:overflowPunct/>
        <w:topLinePunct w:val="0"/>
        <w:autoSpaceDE/>
        <w:autoSpaceDN/>
        <w:bidi w:val="0"/>
        <w:adjustRightInd w:val="0"/>
        <w:snapToGrid w:val="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2</w:t>
      </w:r>
      <w:r>
        <w:rPr>
          <w:rFonts w:hint="eastAsia"/>
          <w:highlight w:val="none"/>
          <w:lang w:val="en-US" w:eastAsia="zh-CN"/>
        </w:rPr>
        <w:t>）</w:t>
      </w:r>
      <w:r>
        <w:rPr>
          <w:rFonts w:hint="default"/>
          <w:highlight w:val="none"/>
          <w:lang w:val="en-US" w:eastAsia="zh-CN"/>
        </w:rPr>
        <w:t>优先选用污染物现场快速检测法，当不具备快速检测条件和检测技术时或需对污染程度和污染范围进行精确判断时，应尽快送至实验室内进行分析检测。</w:t>
      </w:r>
    </w:p>
    <w:p w14:paraId="09E629B9">
      <w:pPr>
        <w:keepNext w:val="0"/>
        <w:keepLines w:val="0"/>
        <w:pageBreakBefore w:val="0"/>
        <w:kinsoku/>
        <w:wordWrap/>
        <w:overflowPunct/>
        <w:topLinePunct w:val="0"/>
        <w:autoSpaceDE/>
        <w:autoSpaceDN/>
        <w:bidi w:val="0"/>
        <w:adjustRightInd w:val="0"/>
        <w:snapToGrid w:val="0"/>
        <w:textAlignment w:val="auto"/>
        <w:rPr>
          <w:rFonts w:hint="default"/>
          <w:highlight w:val="none"/>
          <w:lang w:val="en-US" w:eastAsia="zh-CN"/>
        </w:rPr>
      </w:pPr>
      <w:r>
        <w:rPr>
          <w:rFonts w:hint="eastAsia"/>
          <w:highlight w:val="none"/>
          <w:lang w:val="en-US" w:eastAsia="zh-CN"/>
        </w:rPr>
        <w:t>（3）</w:t>
      </w:r>
      <w:r>
        <w:rPr>
          <w:rFonts w:hint="default"/>
          <w:highlight w:val="none"/>
          <w:lang w:val="en-US" w:eastAsia="zh-CN"/>
        </w:rPr>
        <w:t>根据监测结果，综合分析突发环境事件污染变化趋势，并通过专家咨询和讨论的方式，预测并报告突发环境事件的发展情况和污染物的变化情况，作为突发环境事件应急决策的依据。</w:t>
      </w:r>
    </w:p>
    <w:p w14:paraId="4FB40F22">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highlight w:val="none"/>
          <w:lang w:val="en-US" w:eastAsia="zh-CN"/>
        </w:rPr>
        <w:t>事件处置初期，实施应急监测的部门应按照现场应急指挥部命令，根据现场实际情况制定监测方案、设置监测点位</w:t>
      </w:r>
      <w:r>
        <w:rPr>
          <w:rFonts w:hint="eastAsia"/>
          <w:highlight w:val="none"/>
          <w:lang w:val="en-US" w:eastAsia="zh-CN"/>
        </w:rPr>
        <w:t>（</w:t>
      </w:r>
      <w:r>
        <w:rPr>
          <w:rFonts w:hint="default"/>
          <w:highlight w:val="none"/>
          <w:lang w:val="en-US" w:eastAsia="zh-CN"/>
        </w:rPr>
        <w:t>断面</w:t>
      </w:r>
      <w:r>
        <w:rPr>
          <w:rFonts w:hint="eastAsia"/>
          <w:highlight w:val="none"/>
          <w:lang w:val="en-US" w:eastAsia="zh-CN"/>
        </w:rPr>
        <w:t>）</w:t>
      </w:r>
      <w:r>
        <w:rPr>
          <w:rFonts w:hint="default"/>
          <w:highlight w:val="none"/>
          <w:lang w:val="en-US" w:eastAsia="zh-CN"/>
        </w:rPr>
        <w:t>、确定监测频次、组织开展监测、形成监测报告，应急监测数据的整理分析应本着及时快速报送的原则，以电话、传真、快报、简报、监测报告等形式，第一时间向现场应急指挥部报告监测结果和污染浓度变化态势图，并安排人员对突发环境事件监测情况进行全过程记录。事件处置中期，应根据事态发展，如应急处置措施效果等情况</w:t>
      </w:r>
      <w:r>
        <w:rPr>
          <w:rFonts w:hint="eastAsia"/>
          <w:highlight w:val="none"/>
          <w:lang w:val="en-US" w:eastAsia="zh-CN"/>
        </w:rPr>
        <w:t>，</w:t>
      </w:r>
      <w:r>
        <w:rPr>
          <w:rFonts w:hint="default"/>
          <w:highlight w:val="none"/>
          <w:lang w:val="en-US" w:eastAsia="zh-CN"/>
        </w:rPr>
        <w:t>适时调整监测点位</w:t>
      </w:r>
      <w:r>
        <w:rPr>
          <w:rFonts w:hint="eastAsia"/>
          <w:highlight w:val="none"/>
          <w:lang w:val="en-US" w:eastAsia="zh-CN"/>
        </w:rPr>
        <w:t>（</w:t>
      </w:r>
      <w:r>
        <w:rPr>
          <w:rFonts w:hint="default"/>
          <w:highlight w:val="none"/>
          <w:lang w:val="en-US" w:eastAsia="zh-CN"/>
        </w:rPr>
        <w:t>断面</w:t>
      </w:r>
      <w:r>
        <w:rPr>
          <w:rFonts w:hint="eastAsia"/>
          <w:highlight w:val="none"/>
          <w:lang w:val="en-US" w:eastAsia="zh-CN"/>
        </w:rPr>
        <w:t>）</w:t>
      </w:r>
      <w:r>
        <w:rPr>
          <w:rFonts w:hint="default"/>
          <w:highlight w:val="none"/>
          <w:lang w:val="en-US" w:eastAsia="zh-CN"/>
        </w:rPr>
        <w:t>和监测频次。事件处置末期，应按照现场应急指挥部命令，停止应急监测，并向现场应急指挥部提交应急监测总结报告。</w:t>
      </w:r>
    </w:p>
    <w:p w14:paraId="25C86C3B">
      <w:pPr>
        <w:pStyle w:val="4"/>
        <w:bidi w:val="0"/>
        <w:rPr>
          <w:rFonts w:hint="default"/>
          <w:lang w:val="en-US" w:eastAsia="zh-CN"/>
        </w:rPr>
      </w:pPr>
      <w:bookmarkStart w:id="83" w:name="_Toc4753"/>
      <w:r>
        <w:rPr>
          <w:rFonts w:hint="default"/>
          <w:lang w:val="en-US" w:eastAsia="zh-CN"/>
        </w:rPr>
        <w:t>4.7.2制定应急监测方案</w:t>
      </w:r>
      <w:bookmarkEnd w:id="83"/>
      <w:r>
        <w:rPr>
          <w:rFonts w:hint="default"/>
          <w:lang w:val="en-US" w:eastAsia="zh-CN"/>
        </w:rPr>
        <w:t xml:space="preserve"> </w:t>
      </w:r>
    </w:p>
    <w:p w14:paraId="506ADED7">
      <w:pPr>
        <w:keepNext w:val="0"/>
        <w:keepLines w:val="0"/>
        <w:pageBreakBefore w:val="0"/>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应急监测方案应包括依据的技术规范、实施人员、布点原则、采样频次和注意事项，监测结果记录和报告方式等。应急监测方案应包括以下内容</w:t>
      </w:r>
      <w:r>
        <w:rPr>
          <w:rFonts w:hint="eastAsia"/>
          <w:highlight w:val="none"/>
          <w:lang w:val="en-US" w:eastAsia="zh-CN"/>
        </w:rPr>
        <w:t>：</w:t>
      </w:r>
    </w:p>
    <w:p w14:paraId="67B31875">
      <w:pPr>
        <w:keepNext w:val="0"/>
        <w:keepLines w:val="0"/>
        <w:pageBreakBefore w:val="0"/>
        <w:kinsoku/>
        <w:wordWrap/>
        <w:overflowPunct/>
        <w:topLinePunct w:val="0"/>
        <w:autoSpaceDE/>
        <w:autoSpaceDN/>
        <w:bidi w:val="0"/>
        <w:adjustRightInd w:val="0"/>
        <w:snapToGrid w:val="0"/>
        <w:textAlignment w:val="auto"/>
        <w:rPr>
          <w:rFonts w:hint="default"/>
          <w:highlight w:val="none"/>
          <w:lang w:val="en-US" w:eastAsia="zh-CN"/>
        </w:rPr>
      </w:pPr>
      <w:r>
        <w:rPr>
          <w:rFonts w:hint="eastAsia"/>
          <w:highlight w:val="none"/>
          <w:lang w:val="en-US" w:eastAsia="zh-CN"/>
        </w:rPr>
        <w:t>（1）</w:t>
      </w:r>
      <w:r>
        <w:rPr>
          <w:rFonts w:hint="default"/>
          <w:highlight w:val="none"/>
          <w:lang w:val="en-US" w:eastAsia="zh-CN"/>
        </w:rPr>
        <w:t>确定监测范围</w:t>
      </w:r>
    </w:p>
    <w:p w14:paraId="5D61CB46">
      <w:pPr>
        <w:keepNext w:val="0"/>
        <w:keepLines w:val="0"/>
        <w:pageBreakBefore w:val="0"/>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应尽量涵盖水源地突发环境事件的污染范围，并包括事件可能影响区域和污染物本底浓度的监测区域。</w:t>
      </w:r>
    </w:p>
    <w:p w14:paraId="5C539E20">
      <w:pPr>
        <w:keepNext w:val="0"/>
        <w:keepLines w:val="0"/>
        <w:pageBreakBefore w:val="0"/>
        <w:kinsoku/>
        <w:wordWrap/>
        <w:overflowPunct/>
        <w:topLinePunct w:val="0"/>
        <w:autoSpaceDE/>
        <w:autoSpaceDN/>
        <w:bidi w:val="0"/>
        <w:adjustRightInd w:val="0"/>
        <w:snapToGrid w:val="0"/>
        <w:textAlignment w:val="auto"/>
        <w:rPr>
          <w:rFonts w:hint="default"/>
          <w:highlight w:val="none"/>
          <w:lang w:val="en-US" w:eastAsia="zh-CN"/>
        </w:rPr>
      </w:pPr>
      <w:r>
        <w:rPr>
          <w:rFonts w:hint="eastAsia"/>
          <w:highlight w:val="none"/>
          <w:lang w:val="en-US" w:eastAsia="zh-CN"/>
        </w:rPr>
        <w:t>（2）</w:t>
      </w:r>
      <w:r>
        <w:rPr>
          <w:rFonts w:hint="default"/>
          <w:highlight w:val="none"/>
          <w:lang w:val="en-US" w:eastAsia="zh-CN"/>
        </w:rPr>
        <w:t>布设监测点位和确定频次</w:t>
      </w:r>
    </w:p>
    <w:p w14:paraId="0B30F119">
      <w:pPr>
        <w:keepNext w:val="0"/>
        <w:keepLines w:val="0"/>
        <w:pageBreakBefore w:val="0"/>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监测点位布设。采样点的布设以水源地突发环境事件发生地点为中心或源头，结合水文和地形条件，在其扩散方向合理布点，上风向适当布设对照点位作为环境背景参照。必要时咨询专家意见。</w:t>
      </w:r>
    </w:p>
    <w:p w14:paraId="4D3B8186">
      <w:pPr>
        <w:keepNext w:val="0"/>
        <w:keepLines w:val="0"/>
        <w:pageBreakBefore w:val="0"/>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采样频次确定。应采取不同点位</w:t>
      </w:r>
      <w:r>
        <w:rPr>
          <w:rFonts w:hint="eastAsia"/>
          <w:highlight w:val="none"/>
          <w:lang w:val="en-US" w:eastAsia="zh-CN"/>
        </w:rPr>
        <w:t>（</w:t>
      </w:r>
      <w:r>
        <w:rPr>
          <w:rFonts w:hint="default"/>
          <w:highlight w:val="none"/>
          <w:lang w:val="en-US" w:eastAsia="zh-CN"/>
        </w:rPr>
        <w:t>断面</w:t>
      </w:r>
      <w:r>
        <w:rPr>
          <w:rFonts w:hint="eastAsia"/>
          <w:highlight w:val="none"/>
          <w:lang w:val="en-US" w:eastAsia="zh-CN"/>
        </w:rPr>
        <w:t>）</w:t>
      </w:r>
      <w:r>
        <w:rPr>
          <w:rFonts w:hint="default"/>
          <w:highlight w:val="none"/>
          <w:lang w:val="en-US" w:eastAsia="zh-CN"/>
        </w:rPr>
        <w:t>相同间隔时间</w:t>
      </w:r>
      <w:r>
        <w:rPr>
          <w:rFonts w:hint="eastAsia"/>
          <w:highlight w:val="none"/>
          <w:lang w:val="en-US" w:eastAsia="zh-CN"/>
        </w:rPr>
        <w:t>（</w:t>
      </w:r>
      <w:r>
        <w:rPr>
          <w:rFonts w:hint="default"/>
          <w:highlight w:val="none"/>
          <w:lang w:val="en-US" w:eastAsia="zh-CN"/>
        </w:rPr>
        <w:t>一般为1小时</w:t>
      </w:r>
      <w:r>
        <w:rPr>
          <w:rFonts w:hint="eastAsia"/>
          <w:highlight w:val="none"/>
          <w:lang w:val="en-US" w:eastAsia="zh-CN"/>
        </w:rPr>
        <w:t>）</w:t>
      </w:r>
      <w:r>
        <w:rPr>
          <w:rFonts w:hint="default"/>
          <w:highlight w:val="none"/>
          <w:lang w:val="en-US" w:eastAsia="zh-CN"/>
        </w:rPr>
        <w:t>同步采样监测方式，动态监控污染带移动过程，主要根据污染状况、不同的环境区域功能和事件发生地的污染实际情况来确定。距离水源地突发环境事件发生时间越短，采样频次应越高。当发生突发事件时，做到及时到达现场、及时测出数据、及时提供可靠权威信息,根据污染具体情况,实施动态跟踪监测、水质水量同步监测手段。</w:t>
      </w:r>
    </w:p>
    <w:p w14:paraId="666CC8EF">
      <w:pPr>
        <w:keepNext w:val="0"/>
        <w:keepLines w:val="0"/>
        <w:pageBreakBefore w:val="0"/>
        <w:kinsoku/>
        <w:wordWrap/>
        <w:overflowPunct/>
        <w:topLinePunct w:val="0"/>
        <w:autoSpaceDE/>
        <w:autoSpaceDN/>
        <w:bidi w:val="0"/>
        <w:adjustRightInd w:val="0"/>
        <w:snapToGrid w:val="0"/>
        <w:textAlignment w:val="auto"/>
        <w:rPr>
          <w:rFonts w:hint="default"/>
          <w:highlight w:val="none"/>
          <w:lang w:val="en-US" w:eastAsia="zh-CN"/>
        </w:rPr>
      </w:pPr>
      <w:r>
        <w:rPr>
          <w:rFonts w:hint="eastAsia"/>
          <w:highlight w:val="none"/>
          <w:lang w:val="en-US" w:eastAsia="zh-CN"/>
        </w:rPr>
        <w:t>（3）</w:t>
      </w:r>
      <w:r>
        <w:rPr>
          <w:rFonts w:hint="default"/>
          <w:highlight w:val="none"/>
          <w:lang w:val="en-US" w:eastAsia="zh-CN"/>
        </w:rPr>
        <w:t>现场采样</w:t>
      </w:r>
    </w:p>
    <w:p w14:paraId="7E7C0A8D">
      <w:pPr>
        <w:keepNext w:val="0"/>
        <w:keepLines w:val="0"/>
        <w:pageBreakBefore w:val="0"/>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采样和监测人员应根据水源地突发环境事件泄漏物的理化性质采取必要的防护措施，如防毒口罩、耐酸碱防毒手套、防酸碱长筒靴等，做好自身防护工作。</w:t>
      </w:r>
    </w:p>
    <w:p w14:paraId="149F6A05">
      <w:pPr>
        <w:keepNext w:val="0"/>
        <w:keepLines w:val="0"/>
        <w:pageBreakBefore w:val="0"/>
        <w:kinsoku/>
        <w:wordWrap/>
        <w:overflowPunct/>
        <w:topLinePunct w:val="0"/>
        <w:autoSpaceDE/>
        <w:autoSpaceDN/>
        <w:bidi w:val="0"/>
        <w:adjustRightInd w:val="0"/>
        <w:snapToGrid w:val="0"/>
        <w:textAlignment w:val="auto"/>
        <w:rPr>
          <w:rFonts w:hint="default"/>
          <w:highlight w:val="none"/>
          <w:lang w:val="en-US" w:eastAsia="zh-CN"/>
        </w:rPr>
      </w:pPr>
      <w:r>
        <w:rPr>
          <w:rFonts w:hint="eastAsia"/>
          <w:highlight w:val="none"/>
          <w:lang w:val="en-US" w:eastAsia="zh-CN"/>
        </w:rPr>
        <w:t>（4）</w:t>
      </w:r>
      <w:r>
        <w:rPr>
          <w:rFonts w:hint="default"/>
          <w:highlight w:val="none"/>
          <w:lang w:val="en-US" w:eastAsia="zh-CN"/>
        </w:rPr>
        <w:t>确定监测项目</w:t>
      </w:r>
    </w:p>
    <w:p w14:paraId="2E50EAF4">
      <w:pPr>
        <w:keepNext w:val="0"/>
        <w:keepLines w:val="0"/>
        <w:pageBreakBefore w:val="0"/>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①对于流动源污染，可以通过询问当事人、查看运载记录或者从移动载体泄漏物中获得可能产生的污染物信息来确定监测项目</w:t>
      </w:r>
      <w:r>
        <w:rPr>
          <w:rFonts w:hint="eastAsia"/>
          <w:highlight w:val="none"/>
          <w:lang w:val="en-US" w:eastAsia="zh-CN"/>
        </w:rPr>
        <w:t>；</w:t>
      </w:r>
    </w:p>
    <w:p w14:paraId="41963FAD">
      <w:pPr>
        <w:keepNext w:val="0"/>
        <w:keepLines w:val="0"/>
        <w:pageBreakBefore w:val="0"/>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②对于未知源污染，监测项目的确定须从事件的现场特征入手，结合事件周边的交通及地理环境现状进行综合分析来确定监测项目。必要时咨询专家组意见。</w:t>
      </w:r>
    </w:p>
    <w:p w14:paraId="0AD652BE">
      <w:pPr>
        <w:keepNext w:val="0"/>
        <w:keepLines w:val="0"/>
        <w:pageBreakBefore w:val="0"/>
        <w:kinsoku/>
        <w:wordWrap/>
        <w:overflowPunct/>
        <w:topLinePunct w:val="0"/>
        <w:autoSpaceDE/>
        <w:autoSpaceDN/>
        <w:bidi w:val="0"/>
        <w:adjustRightInd w:val="0"/>
        <w:snapToGrid w:val="0"/>
        <w:textAlignment w:val="auto"/>
        <w:rPr>
          <w:rFonts w:hint="default"/>
          <w:highlight w:val="none"/>
          <w:lang w:val="en-US" w:eastAsia="zh-CN"/>
        </w:rPr>
      </w:pPr>
      <w:r>
        <w:rPr>
          <w:rFonts w:hint="eastAsia"/>
          <w:highlight w:val="none"/>
          <w:lang w:val="en-US" w:eastAsia="zh-CN"/>
        </w:rPr>
        <w:t>（5）</w:t>
      </w:r>
      <w:r>
        <w:rPr>
          <w:rFonts w:hint="default"/>
          <w:highlight w:val="none"/>
          <w:lang w:val="en-US" w:eastAsia="zh-CN"/>
        </w:rPr>
        <w:t>分析方法</w:t>
      </w:r>
    </w:p>
    <w:p w14:paraId="7C270F96">
      <w:pPr>
        <w:keepNext w:val="0"/>
        <w:keepLines w:val="0"/>
        <w:pageBreakBefore w:val="0"/>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具备现场监测条件的监测项目，应尽量在现场监测。必要时，备份样品送实验室监</w:t>
      </w:r>
      <w:r>
        <w:rPr>
          <w:rFonts w:hint="eastAsia"/>
          <w:highlight w:val="none"/>
          <w:lang w:val="en-US" w:eastAsia="zh-CN"/>
        </w:rPr>
        <w:t>（</w:t>
      </w:r>
      <w:r>
        <w:rPr>
          <w:rFonts w:hint="default"/>
          <w:highlight w:val="none"/>
          <w:lang w:val="en-US" w:eastAsia="zh-CN"/>
        </w:rPr>
        <w:t>复</w:t>
      </w:r>
      <w:r>
        <w:rPr>
          <w:rFonts w:hint="eastAsia"/>
          <w:highlight w:val="none"/>
          <w:lang w:val="en-US" w:eastAsia="zh-CN"/>
        </w:rPr>
        <w:t>）</w:t>
      </w:r>
      <w:r>
        <w:rPr>
          <w:rFonts w:hint="default"/>
          <w:highlight w:val="none"/>
          <w:lang w:val="en-US" w:eastAsia="zh-CN"/>
        </w:rPr>
        <w:t>测，以确认现场定性或定量监测结果的准确性。</w:t>
      </w:r>
    </w:p>
    <w:p w14:paraId="35469810">
      <w:pPr>
        <w:keepNext w:val="0"/>
        <w:keepLines w:val="0"/>
        <w:pageBreakBefore w:val="0"/>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现场采样方法及采样量、现场监测仪器和分析方法应参照相应的监测技术规范和有关标准，并做好质量控制和保证及记录工作。</w:t>
      </w:r>
    </w:p>
    <w:p w14:paraId="1F8E331B">
      <w:pPr>
        <w:keepNext w:val="0"/>
        <w:keepLines w:val="0"/>
        <w:pageBreakBefore w:val="0"/>
        <w:kinsoku/>
        <w:wordWrap/>
        <w:overflowPunct/>
        <w:topLinePunct w:val="0"/>
        <w:autoSpaceDE/>
        <w:autoSpaceDN/>
        <w:bidi w:val="0"/>
        <w:adjustRightInd w:val="0"/>
        <w:snapToGrid w:val="0"/>
        <w:textAlignment w:val="auto"/>
        <w:rPr>
          <w:rFonts w:hint="default"/>
          <w:highlight w:val="none"/>
          <w:lang w:val="en-US" w:eastAsia="zh-CN"/>
        </w:rPr>
      </w:pPr>
      <w:r>
        <w:rPr>
          <w:rFonts w:hint="eastAsia"/>
          <w:highlight w:val="none"/>
          <w:lang w:val="en-US" w:eastAsia="zh-CN"/>
        </w:rPr>
        <w:t>（6）</w:t>
      </w:r>
      <w:r>
        <w:rPr>
          <w:rFonts w:hint="default"/>
          <w:highlight w:val="none"/>
          <w:lang w:val="en-US" w:eastAsia="zh-CN"/>
        </w:rPr>
        <w:t>监测数据的整理分析和上报</w:t>
      </w:r>
    </w:p>
    <w:p w14:paraId="37534557">
      <w:pPr>
        <w:keepNext w:val="0"/>
        <w:keepLines w:val="0"/>
        <w:pageBreakBefore w:val="0"/>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应本着及时、快速报送的原则，以电话、传真、监测快报等形式立即上报给</w:t>
      </w:r>
      <w:r>
        <w:rPr>
          <w:rFonts w:hint="eastAsia"/>
          <w:highlight w:val="none"/>
          <w:lang w:val="en-US" w:eastAsia="zh-CN"/>
        </w:rPr>
        <w:t>汾阳市石门沟集中供水水源地</w:t>
      </w:r>
      <w:r>
        <w:rPr>
          <w:rFonts w:hint="default"/>
          <w:highlight w:val="none"/>
          <w:lang w:val="en-US" w:eastAsia="zh-CN"/>
        </w:rPr>
        <w:t>应急指挥中心，作为决策的依据。</w:t>
      </w:r>
    </w:p>
    <w:p w14:paraId="11A00111">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eastAsia"/>
          <w:highlight w:val="none"/>
          <w:lang w:val="en-US" w:eastAsia="zh-CN"/>
        </w:rPr>
        <w:t>山西杏花村汾酒集团有限责任公司负责</w:t>
      </w:r>
      <w:r>
        <w:rPr>
          <w:rFonts w:hint="default"/>
          <w:highlight w:val="none"/>
          <w:lang w:val="en-US" w:eastAsia="zh-CN"/>
        </w:rPr>
        <w:t>水质监测，一旦发现有污染物超标的情况，立即向</w:t>
      </w:r>
      <w:r>
        <w:rPr>
          <w:rFonts w:hint="eastAsia"/>
          <w:highlight w:val="none"/>
          <w:lang w:val="en-US" w:eastAsia="zh-CN"/>
        </w:rPr>
        <w:t>吕梁市生态环境局汾阳分局</w:t>
      </w:r>
      <w:r>
        <w:rPr>
          <w:rFonts w:hint="default"/>
          <w:highlight w:val="none"/>
          <w:lang w:val="en-US" w:eastAsia="zh-CN"/>
        </w:rPr>
        <w:t>汇报，环保部门根据上报的监测数据进行分析，辨析污染物超标的原因。</w:t>
      </w:r>
    </w:p>
    <w:p w14:paraId="32D98B05">
      <w:pPr>
        <w:pStyle w:val="3"/>
        <w:bidi w:val="0"/>
        <w:rPr>
          <w:rFonts w:hint="default"/>
          <w:lang w:val="en-US" w:eastAsia="zh-CN"/>
        </w:rPr>
      </w:pPr>
      <w:bookmarkStart w:id="84" w:name="_Toc7366"/>
      <w:bookmarkStart w:id="85" w:name="_Toc5350"/>
      <w:r>
        <w:rPr>
          <w:rFonts w:hint="default"/>
          <w:lang w:val="en-US" w:eastAsia="zh-CN"/>
        </w:rPr>
        <w:t>4.8 溯源分析</w:t>
      </w:r>
      <w:bookmarkEnd w:id="84"/>
      <w:bookmarkEnd w:id="85"/>
    </w:p>
    <w:p w14:paraId="0D447B56">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当水质监测发现异常、污染物来源不确定时，应急监测组牵头单位吕梁市生态环境局汾阳分局应立即根据特征污染物种类、浓度变化、释放总量、释放路径、释放时间，以及当时的水文和气象条件，迅速组织开展污染源排查。针对不同类型污染物的排查重点和对象如下。</w:t>
      </w:r>
    </w:p>
    <w:p w14:paraId="3B6BEB94">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（1）有机类污染：溯源的重点排查对象为大型工业企业，调查污水处理设施运行、尾水排放的异常状况。</w:t>
      </w:r>
    </w:p>
    <w:p w14:paraId="38B6F9E3">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（2）营养盐类污染：溯源的重点排查对象为畜禽养殖场（户）、农田种植户、农村居民点等，调查养殖废物处理处置、农药化肥施用、农村生活污染处理的异常状况。</w:t>
      </w:r>
    </w:p>
    <w:p w14:paraId="3DAD54ED">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（3）细菌类污染：溯源的重点排查对象为畜禽养殖场（户）、农村居民点，调查养殖废物处理处置、农村生活污染的异常状况。</w:t>
      </w:r>
    </w:p>
    <w:p w14:paraId="5B5A1F3F">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（4）农药类污染：溯源的重点排查对象为果园种植园/户、农灌尾水排放口，调查农药施用和流失的异常状况。</w:t>
      </w:r>
    </w:p>
    <w:p w14:paraId="3EE3955F">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（5）石油类污染：溯源的重点排查对象为涉及道路交通运输的加油站、运输车辆以及油气管线，调查上述石油类物质运输或储存设施的异常状况。</w:t>
      </w:r>
    </w:p>
    <w:p w14:paraId="3E59B509">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eastAsia" w:ascii="Times New Roman" w:hAnsi="Times New Roman" w:eastAsia="仿宋" w:cs="Times New Roman"/>
          <w:sz w:val="28"/>
          <w:szCs w:val="28"/>
          <w:lang w:val="en-US" w:eastAsia="zh-CN"/>
        </w:rPr>
      </w:pPr>
      <w:r>
        <w:rPr>
          <w:rFonts w:hint="default" w:ascii="Times New Roman" w:hAnsi="Times New Roman" w:eastAsia="仿宋" w:cs="Times New Roman"/>
          <w:sz w:val="28"/>
          <w:szCs w:val="28"/>
        </w:rPr>
        <w:t>（6）重金属及其它有毒有害物质污染：溯源的重点排查对象为大型工业企业、危险废物储存单位等，调查上述单位的异常状况</w:t>
      </w:r>
      <w:r>
        <w:rPr>
          <w:rFonts w:hint="eastAsia" w:ascii="Times New Roman" w:hAnsi="Times New Roman" w:eastAsia="仿宋" w:cs="Times New Roman"/>
          <w:sz w:val="28"/>
          <w:szCs w:val="28"/>
          <w:lang w:eastAsia="zh-CN"/>
        </w:rPr>
        <w:t>。</w:t>
      </w:r>
    </w:p>
    <w:p w14:paraId="29236406">
      <w:pPr>
        <w:pStyle w:val="3"/>
        <w:bidi w:val="0"/>
        <w:rPr>
          <w:rFonts w:hint="default"/>
          <w:lang w:val="en-US" w:eastAsia="zh-CN"/>
        </w:rPr>
      </w:pPr>
      <w:bookmarkStart w:id="86" w:name="_Toc26717"/>
      <w:bookmarkStart w:id="87" w:name="_Toc1048"/>
      <w:r>
        <w:rPr>
          <w:rFonts w:hint="default"/>
          <w:lang w:val="en-US" w:eastAsia="zh-CN"/>
        </w:rPr>
        <w:t>4.9先期处置</w:t>
      </w:r>
      <w:bookmarkEnd w:id="86"/>
      <w:bookmarkEnd w:id="87"/>
    </w:p>
    <w:p w14:paraId="523B77B7">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eastAsia"/>
          <w:highlight w:val="none"/>
          <w:lang w:val="en-US" w:eastAsia="zh-CN"/>
        </w:rPr>
        <w:t>汾阳市石门沟集中供水水源地</w:t>
      </w:r>
      <w:r>
        <w:rPr>
          <w:rFonts w:hint="default"/>
          <w:highlight w:val="none"/>
          <w:lang w:val="en-US" w:eastAsia="zh-CN"/>
        </w:rPr>
        <w:t>突发环境事件发生后，涉事企事业单位或其他生产经营者要立即组织力量进行先行处置，根据事件严重程度和污染物性质，采取必要的关闭、停产、封堵、围挡、吸附、稀释、转移等措施，迅速切断和控制污染源，防止污染蔓延扩散。做好有毒有害物质和消防废水、废液等的收集、清理和安全处置工作。加强对事件现场的监视、控制，立即向</w:t>
      </w:r>
      <w:r>
        <w:rPr>
          <w:rFonts w:hint="eastAsia"/>
          <w:highlight w:val="none"/>
          <w:lang w:val="en-US" w:eastAsia="zh-CN"/>
        </w:rPr>
        <w:t>相关部门</w:t>
      </w:r>
      <w:r>
        <w:rPr>
          <w:rFonts w:hint="default"/>
          <w:highlight w:val="none"/>
          <w:lang w:val="en-US" w:eastAsia="zh-CN"/>
        </w:rPr>
        <w:t>和</w:t>
      </w:r>
      <w:r>
        <w:rPr>
          <w:rFonts w:hint="eastAsia"/>
          <w:highlight w:val="none"/>
          <w:lang w:val="en-US" w:eastAsia="zh-CN"/>
        </w:rPr>
        <w:t>汾阳市石门沟集中供水水源地</w:t>
      </w:r>
      <w:r>
        <w:rPr>
          <w:rFonts w:hint="default"/>
          <w:highlight w:val="none"/>
          <w:lang w:val="en-US" w:eastAsia="zh-CN"/>
        </w:rPr>
        <w:t>应急指挥部报告情况。</w:t>
      </w:r>
    </w:p>
    <w:p w14:paraId="258ABEA2">
      <w:pPr>
        <w:keepNext w:val="0"/>
        <w:keepLines w:val="0"/>
        <w:pageBreakBefore w:val="0"/>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接到</w:t>
      </w:r>
      <w:r>
        <w:rPr>
          <w:rFonts w:hint="eastAsia"/>
          <w:highlight w:val="none"/>
          <w:lang w:val="en-US" w:eastAsia="zh-CN"/>
        </w:rPr>
        <w:t>汾阳市石门沟集中供水水源地</w:t>
      </w:r>
      <w:r>
        <w:rPr>
          <w:rFonts w:hint="default"/>
          <w:highlight w:val="none"/>
          <w:lang w:val="en-US" w:eastAsia="zh-CN"/>
        </w:rPr>
        <w:t>突发环境事件报告后，</w:t>
      </w:r>
      <w:r>
        <w:rPr>
          <w:rFonts w:hint="eastAsia"/>
          <w:highlight w:val="none"/>
          <w:lang w:val="en-US" w:eastAsia="zh-CN"/>
        </w:rPr>
        <w:t>汾阳市人民</w:t>
      </w:r>
      <w:r>
        <w:rPr>
          <w:rFonts w:hint="default"/>
          <w:highlight w:val="none"/>
          <w:lang w:val="en-US" w:eastAsia="zh-CN"/>
        </w:rPr>
        <w:t>政府、</w:t>
      </w:r>
      <w:r>
        <w:rPr>
          <w:rFonts w:hint="eastAsia"/>
          <w:highlight w:val="none"/>
          <w:lang w:val="en-US" w:eastAsia="zh-CN"/>
        </w:rPr>
        <w:t>相关部门</w:t>
      </w:r>
      <w:r>
        <w:rPr>
          <w:rFonts w:hint="default"/>
          <w:highlight w:val="none"/>
          <w:lang w:val="en-US" w:eastAsia="zh-CN"/>
        </w:rPr>
        <w:t>必须立即组织有关工作人员和技术支撑队伍赶赴现场，做好先期处置工作，采取有效措施消除和减轻污染危害，严防二次污染和次生、衍生事件发生。工作要点如下</w:t>
      </w:r>
    </w:p>
    <w:p w14:paraId="69E11BED">
      <w:pPr>
        <w:keepNext w:val="0"/>
        <w:keepLines w:val="0"/>
        <w:pageBreakBefore w:val="0"/>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（1）切断固定源和流动源。</w:t>
      </w:r>
    </w:p>
    <w:p w14:paraId="4B470C6F">
      <w:pPr>
        <w:keepNext w:val="0"/>
        <w:keepLines w:val="0"/>
        <w:pageBreakBefore w:val="0"/>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对于发生非正常排污或有毒有害物质泄漏的固定源突发环境事件，尽快查找污染源或泄漏源，通过关闭、封堵、收集、转移等措施，切断污染源或泄漏源。</w:t>
      </w:r>
    </w:p>
    <w:p w14:paraId="3740AE5B">
      <w:pPr>
        <w:keepNext w:val="0"/>
        <w:keepLines w:val="0"/>
        <w:pageBreakBefore w:val="0"/>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（2）启动应急收集系统，设立拦截设施，防止污染物蔓延，组织相关部门对污染物进行回收处置等。</w:t>
      </w:r>
    </w:p>
    <w:p w14:paraId="508ABADA">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highlight w:val="none"/>
          <w:lang w:val="en-US" w:eastAsia="zh-CN"/>
        </w:rPr>
        <w:t>（3）根据现场事故发展情况对扩散至水体的污染物进行处置</w:t>
      </w:r>
      <w:r>
        <w:rPr>
          <w:rFonts w:hint="default" w:ascii="Times New Roman" w:hAnsi="Times New Roman" w:eastAsia="仿宋" w:cs="Times New Roman"/>
          <w:sz w:val="28"/>
          <w:szCs w:val="28"/>
          <w:lang w:val="en-US" w:eastAsia="zh-CN"/>
        </w:rPr>
        <w:t>。</w:t>
      </w:r>
    </w:p>
    <w:p w14:paraId="4FA6EE10">
      <w:pPr>
        <w:pStyle w:val="3"/>
        <w:bidi w:val="0"/>
        <w:rPr>
          <w:rFonts w:hint="default"/>
          <w:lang w:val="en-US" w:eastAsia="zh-CN"/>
        </w:rPr>
      </w:pPr>
      <w:bookmarkStart w:id="88" w:name="_Toc22499"/>
      <w:bookmarkStart w:id="89" w:name="_Toc18320"/>
      <w:r>
        <w:rPr>
          <w:rFonts w:hint="default"/>
          <w:lang w:val="en-US" w:eastAsia="zh-CN"/>
        </w:rPr>
        <w:t>4.10 物资调集及应急设施启用</w:t>
      </w:r>
      <w:bookmarkEnd w:id="88"/>
      <w:bookmarkEnd w:id="89"/>
      <w:r>
        <w:rPr>
          <w:rFonts w:hint="default"/>
          <w:lang w:val="en-US" w:eastAsia="zh-CN"/>
        </w:rPr>
        <w:t xml:space="preserve"> </w:t>
      </w:r>
    </w:p>
    <w:p w14:paraId="40909DE5">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根据应急物资调查，目前</w:t>
      </w:r>
      <w:r>
        <w:rPr>
          <w:rFonts w:hint="eastAsia" w:cs="Times New Roman"/>
          <w:sz w:val="28"/>
          <w:szCs w:val="28"/>
          <w:lang w:val="en-US" w:eastAsia="zh-CN"/>
        </w:rPr>
        <w:t>汾阳市石门沟集中供水水源地</w:t>
      </w:r>
      <w:r>
        <w:rPr>
          <w:rFonts w:hint="default" w:ascii="Times New Roman" w:hAnsi="Times New Roman" w:eastAsia="仿宋" w:cs="Times New Roman"/>
          <w:sz w:val="28"/>
          <w:szCs w:val="28"/>
        </w:rPr>
        <w:t>应急物资及应急设施主要依托</w:t>
      </w:r>
      <w:r>
        <w:rPr>
          <w:rFonts w:hint="eastAsia" w:ascii="Times New Roman" w:hAnsi="Times New Roman" w:eastAsia="仿宋" w:cs="Times New Roman"/>
          <w:sz w:val="28"/>
          <w:szCs w:val="28"/>
          <w:lang w:eastAsia="zh-CN"/>
        </w:rPr>
        <w:t>汾阳市</w:t>
      </w:r>
      <w:r>
        <w:rPr>
          <w:rFonts w:hint="default" w:ascii="Times New Roman" w:hAnsi="Times New Roman" w:eastAsia="仿宋" w:cs="Times New Roman"/>
          <w:sz w:val="28"/>
          <w:szCs w:val="28"/>
        </w:rPr>
        <w:t>自来水公司的物资储备，乡镇水源地应急物资及应急设施主要依托山西杏花村汾酒集团有限责任公司。针对应急要求，应急物资装备应定期检查和维护措施，以保证其有效性。要及时对已过期的物资进行更换，定期进行保养维护。</w:t>
      </w:r>
    </w:p>
    <w:p w14:paraId="7916D0D7">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预案建议应在各水源井管理站配备必要的应急处置物资，确保突发环境时间发生时可第一时间调用，保证饮用水安全。</w:t>
      </w:r>
    </w:p>
    <w:p w14:paraId="317A67FD">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应急物资、装备和设施包括但不限于以下内容：</w:t>
      </w:r>
    </w:p>
    <w:p w14:paraId="70E85C7F">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1.对水体内污染物进行拦截的物资、装备和设施，如吸油毡、围油栏、沙袋等。</w:t>
      </w:r>
    </w:p>
    <w:p w14:paraId="564C4345">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2.控制和消除污染物的物资、装备和设施，如灭火剂、吸收剂等。</w:t>
      </w:r>
    </w:p>
    <w:p w14:paraId="3B073ADD">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3.防护、医疗、通讯等设备和工具，如防护服、防毒面具、手套、医疗箱、对讲机、车辆等。</w:t>
      </w:r>
    </w:p>
    <w:p w14:paraId="448F08DE">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4.移除和拦截移动源的装备和设施，如临时围堰等。</w:t>
      </w:r>
    </w:p>
    <w:p w14:paraId="1D2E2414">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6.对污染物进行拦截、导流、分流的应急工程设施，如拦截坝等</w:t>
      </w:r>
      <w:r>
        <w:rPr>
          <w:rFonts w:hint="default" w:ascii="Times New Roman" w:hAnsi="Times New Roman" w:eastAsia="仿宋" w:cs="Times New Roman"/>
          <w:sz w:val="28"/>
          <w:szCs w:val="28"/>
        </w:rPr>
        <w:t>。</w:t>
      </w:r>
    </w:p>
    <w:p w14:paraId="703BD564">
      <w:pPr>
        <w:pStyle w:val="3"/>
        <w:bidi w:val="0"/>
        <w:rPr>
          <w:rFonts w:hint="default"/>
          <w:lang w:val="en-US" w:eastAsia="zh-CN"/>
        </w:rPr>
      </w:pPr>
      <w:bookmarkStart w:id="90" w:name="_Toc6021"/>
      <w:bookmarkStart w:id="91" w:name="_Toc11411"/>
      <w:r>
        <w:rPr>
          <w:rFonts w:hint="default"/>
          <w:lang w:val="en-US" w:eastAsia="zh-CN"/>
        </w:rPr>
        <w:t>4.11 应急处置</w:t>
      </w:r>
      <w:bookmarkEnd w:id="90"/>
      <w:bookmarkEnd w:id="91"/>
      <w:r>
        <w:rPr>
          <w:rFonts w:hint="default"/>
          <w:lang w:val="en-US" w:eastAsia="zh-CN"/>
        </w:rPr>
        <w:t xml:space="preserve"> </w:t>
      </w:r>
    </w:p>
    <w:p w14:paraId="40358738">
      <w:pPr>
        <w:pStyle w:val="4"/>
        <w:bidi w:val="0"/>
        <w:rPr>
          <w:rFonts w:hint="default"/>
          <w:highlight w:val="none"/>
          <w:lang w:val="en-US" w:eastAsia="zh-CN"/>
        </w:rPr>
      </w:pPr>
      <w:bookmarkStart w:id="92" w:name="_Toc25020"/>
      <w:bookmarkStart w:id="93" w:name="_Toc16871"/>
      <w:r>
        <w:rPr>
          <w:rFonts w:hint="default"/>
          <w:highlight w:val="none"/>
          <w:lang w:val="en-US" w:eastAsia="zh-CN"/>
        </w:rPr>
        <w:t>4.1</w:t>
      </w:r>
      <w:r>
        <w:rPr>
          <w:rFonts w:hint="eastAsia"/>
          <w:highlight w:val="none"/>
          <w:lang w:val="en-US" w:eastAsia="zh-CN"/>
        </w:rPr>
        <w:t>1</w:t>
      </w:r>
      <w:r>
        <w:rPr>
          <w:rFonts w:hint="default"/>
          <w:highlight w:val="none"/>
          <w:lang w:val="en-US" w:eastAsia="zh-CN"/>
        </w:rPr>
        <w:t>.1</w:t>
      </w:r>
      <w:r>
        <w:rPr>
          <w:rFonts w:hint="eastAsia"/>
          <w:highlight w:val="none"/>
          <w:lang w:val="en-US" w:eastAsia="zh-CN"/>
        </w:rPr>
        <w:t>现场应急处置原则</w:t>
      </w:r>
      <w:bookmarkEnd w:id="92"/>
      <w:bookmarkEnd w:id="93"/>
    </w:p>
    <w:p w14:paraId="78455836">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1</w:t>
      </w:r>
      <w:r>
        <w:rPr>
          <w:rFonts w:hint="eastAsia"/>
          <w:highlight w:val="none"/>
          <w:lang w:val="en-US" w:eastAsia="zh-CN"/>
        </w:rPr>
        <w:t>.</w:t>
      </w:r>
      <w:r>
        <w:rPr>
          <w:rFonts w:hint="default"/>
          <w:highlight w:val="none"/>
          <w:lang w:val="en-US" w:eastAsia="zh-CN"/>
        </w:rPr>
        <w:t>按照“先控制，后处理”的原则，迅速实施先期处置，优先控制污染源，尽快阻止污染物继续排放外泄。</w:t>
      </w:r>
    </w:p>
    <w:p w14:paraId="4D17CD1C">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2</w:t>
      </w:r>
      <w:r>
        <w:rPr>
          <w:rFonts w:hint="eastAsia"/>
          <w:highlight w:val="none"/>
          <w:lang w:val="en-US" w:eastAsia="zh-CN"/>
        </w:rPr>
        <w:t>.</w:t>
      </w:r>
      <w:r>
        <w:rPr>
          <w:rFonts w:hint="default"/>
          <w:highlight w:val="none"/>
          <w:lang w:val="en-US" w:eastAsia="zh-CN"/>
        </w:rPr>
        <w:t>尽可能控制和缩小已排出污染物的扩散和蔓延范围，把水环境污染事件危害降到最小程度。</w:t>
      </w:r>
    </w:p>
    <w:p w14:paraId="3F30A9E8">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3</w:t>
      </w:r>
      <w:r>
        <w:rPr>
          <w:rFonts w:hint="eastAsia"/>
          <w:highlight w:val="none"/>
          <w:lang w:val="en-US" w:eastAsia="zh-CN"/>
        </w:rPr>
        <w:t>.</w:t>
      </w:r>
      <w:r>
        <w:rPr>
          <w:rFonts w:hint="default"/>
          <w:highlight w:val="none"/>
          <w:lang w:val="en-US" w:eastAsia="zh-CN"/>
        </w:rPr>
        <w:t>依靠科技和专家力量，采取科学有效的措施，尽量避免和减少人员伤亡，确保人民群众生命安全。</w:t>
      </w:r>
    </w:p>
    <w:p w14:paraId="66CBEDC7">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4</w:t>
      </w:r>
      <w:r>
        <w:rPr>
          <w:rFonts w:hint="eastAsia"/>
          <w:highlight w:val="none"/>
          <w:lang w:val="en-US" w:eastAsia="zh-CN"/>
        </w:rPr>
        <w:t>.</w:t>
      </w:r>
      <w:r>
        <w:rPr>
          <w:rFonts w:hint="default"/>
          <w:highlight w:val="none"/>
          <w:lang w:val="en-US" w:eastAsia="zh-CN"/>
        </w:rPr>
        <w:t>应急处置要立足于彻底消除污染危害，避免二次污染。</w:t>
      </w:r>
    </w:p>
    <w:p w14:paraId="7D0FA0E7">
      <w:pPr>
        <w:pStyle w:val="4"/>
        <w:bidi w:val="0"/>
        <w:rPr>
          <w:rFonts w:hint="default"/>
          <w:highlight w:val="none"/>
          <w:lang w:val="en-US" w:eastAsia="zh-CN"/>
        </w:rPr>
      </w:pPr>
      <w:bookmarkStart w:id="94" w:name="_Toc20751"/>
      <w:bookmarkStart w:id="95" w:name="_Toc32324"/>
      <w:r>
        <w:rPr>
          <w:rFonts w:hint="default"/>
          <w:highlight w:val="none"/>
          <w:lang w:val="en-US" w:eastAsia="zh-CN"/>
        </w:rPr>
        <w:t>4.1</w:t>
      </w:r>
      <w:r>
        <w:rPr>
          <w:rFonts w:hint="eastAsia"/>
          <w:highlight w:val="none"/>
          <w:lang w:val="en-US" w:eastAsia="zh-CN"/>
        </w:rPr>
        <w:t>1</w:t>
      </w:r>
      <w:r>
        <w:rPr>
          <w:rFonts w:hint="default"/>
          <w:highlight w:val="none"/>
          <w:lang w:val="en-US" w:eastAsia="zh-CN"/>
        </w:rPr>
        <w:t>.</w:t>
      </w:r>
      <w:r>
        <w:rPr>
          <w:rFonts w:hint="eastAsia"/>
          <w:highlight w:val="none"/>
          <w:lang w:val="en-US" w:eastAsia="zh-CN"/>
        </w:rPr>
        <w:t>2</w:t>
      </w:r>
      <w:r>
        <w:rPr>
          <w:rFonts w:hint="default"/>
          <w:highlight w:val="none"/>
          <w:lang w:val="en-US" w:eastAsia="zh-CN"/>
        </w:rPr>
        <w:t>现场处置方案</w:t>
      </w:r>
      <w:bookmarkEnd w:id="94"/>
      <w:bookmarkEnd w:id="95"/>
    </w:p>
    <w:p w14:paraId="7093C812">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在先期处置基础上，继续做好现场污染处置工作。现场处置方案包括但不限于以下内容：应急监测、污染处置措施、物资调集、应急队伍和人员安排、供水单位应对等。</w:t>
      </w:r>
    </w:p>
    <w:p w14:paraId="32101211">
      <w:pPr>
        <w:pStyle w:val="5"/>
        <w:bidi w:val="0"/>
        <w:rPr>
          <w:rFonts w:hint="default"/>
          <w:highlight w:val="none"/>
          <w:lang w:val="en-US" w:eastAsia="zh-CN"/>
        </w:rPr>
      </w:pPr>
      <w:r>
        <w:rPr>
          <w:rFonts w:hint="default"/>
          <w:highlight w:val="none"/>
          <w:lang w:val="en-US" w:eastAsia="zh-CN"/>
        </w:rPr>
        <w:t>4.1</w:t>
      </w:r>
      <w:r>
        <w:rPr>
          <w:rFonts w:hint="eastAsia"/>
          <w:highlight w:val="none"/>
          <w:lang w:val="en-US" w:eastAsia="zh-CN"/>
        </w:rPr>
        <w:t>1</w:t>
      </w:r>
      <w:r>
        <w:rPr>
          <w:rFonts w:hint="default"/>
          <w:highlight w:val="none"/>
          <w:lang w:val="en-US" w:eastAsia="zh-CN"/>
        </w:rPr>
        <w:t>.</w:t>
      </w:r>
      <w:r>
        <w:rPr>
          <w:rFonts w:hint="eastAsia"/>
          <w:highlight w:val="none"/>
          <w:lang w:val="en-US" w:eastAsia="zh-CN"/>
        </w:rPr>
        <w:t>2</w:t>
      </w:r>
      <w:r>
        <w:rPr>
          <w:rFonts w:hint="default"/>
          <w:highlight w:val="none"/>
          <w:lang w:val="en-US" w:eastAsia="zh-CN"/>
        </w:rPr>
        <w:t>.1水源地突发环境事件的污染处置措施</w:t>
      </w:r>
    </w:p>
    <w:p w14:paraId="67CC977C">
      <w:pPr>
        <w:keepNext w:val="0"/>
        <w:keepLines w:val="0"/>
        <w:pageBreakBefore w:val="0"/>
        <w:widowControl w:val="0"/>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根据</w:t>
      </w:r>
      <w:r>
        <w:rPr>
          <w:rFonts w:hint="eastAsia"/>
          <w:highlight w:val="none"/>
          <w:lang w:val="en-US" w:eastAsia="zh-CN"/>
        </w:rPr>
        <w:t>汾阳市石门沟集中供水水源地</w:t>
      </w:r>
      <w:r>
        <w:rPr>
          <w:rFonts w:hint="default"/>
          <w:highlight w:val="none"/>
          <w:lang w:val="en-US" w:eastAsia="zh-CN"/>
        </w:rPr>
        <w:t>周边环境调查，</w:t>
      </w:r>
      <w:r>
        <w:rPr>
          <w:rFonts w:hint="eastAsia"/>
          <w:highlight w:val="none"/>
          <w:lang w:val="en-US" w:eastAsia="zh-CN"/>
        </w:rPr>
        <w:t>各</w:t>
      </w:r>
      <w:r>
        <w:rPr>
          <w:rFonts w:hint="default"/>
          <w:highlight w:val="none"/>
          <w:lang w:val="en-US" w:eastAsia="zh-CN"/>
        </w:rPr>
        <w:t>水源地可能发生周边企业发生爆炸和火灾导致洗消废水泄露污染事件、危化品运输泄漏污染事件、生活垃圾、畜禽粪便、生活污水等生活污染源不合理排放引发水体污染事件和林地与耕地中施用化肥及农药随地表径流流失，引起饮用水污染事件等，根据实际情况，结合专家组意见进行应对。</w:t>
      </w:r>
    </w:p>
    <w:p w14:paraId="5B7B4999">
      <w:pPr>
        <w:pStyle w:val="5"/>
        <w:bidi w:val="0"/>
        <w:rPr>
          <w:rFonts w:hint="default"/>
          <w:highlight w:val="none"/>
          <w:lang w:val="en-US" w:eastAsia="zh-CN"/>
        </w:rPr>
      </w:pPr>
      <w:r>
        <w:rPr>
          <w:rFonts w:hint="default"/>
          <w:highlight w:val="none"/>
          <w:lang w:val="en-US" w:eastAsia="zh-CN"/>
        </w:rPr>
        <w:t>4.1</w:t>
      </w:r>
      <w:r>
        <w:rPr>
          <w:rFonts w:hint="eastAsia"/>
          <w:highlight w:val="none"/>
          <w:lang w:val="en-US" w:eastAsia="zh-CN"/>
        </w:rPr>
        <w:t>1</w:t>
      </w:r>
      <w:r>
        <w:rPr>
          <w:rFonts w:hint="default"/>
          <w:highlight w:val="none"/>
          <w:lang w:val="en-US" w:eastAsia="zh-CN"/>
        </w:rPr>
        <w:t>.</w:t>
      </w:r>
      <w:r>
        <w:rPr>
          <w:rFonts w:hint="eastAsia"/>
          <w:highlight w:val="none"/>
          <w:lang w:val="en-US" w:eastAsia="zh-CN"/>
        </w:rPr>
        <w:t>2.2</w:t>
      </w:r>
      <w:r>
        <w:rPr>
          <w:rFonts w:hint="default"/>
          <w:highlight w:val="none"/>
          <w:lang w:val="en-US" w:eastAsia="zh-CN"/>
        </w:rPr>
        <w:t>水源地突发环境事件处理方案</w:t>
      </w:r>
    </w:p>
    <w:p w14:paraId="65E33052">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1</w:t>
      </w:r>
      <w:r>
        <w:rPr>
          <w:rFonts w:hint="eastAsia"/>
          <w:highlight w:val="none"/>
          <w:lang w:val="en-US" w:eastAsia="zh-CN"/>
        </w:rPr>
        <w:t>.</w:t>
      </w:r>
      <w:r>
        <w:rPr>
          <w:rFonts w:hint="default"/>
          <w:highlight w:val="none"/>
          <w:lang w:val="en-US" w:eastAsia="zh-CN"/>
        </w:rPr>
        <w:t>油品及危化品泄漏处置方案</w:t>
      </w:r>
    </w:p>
    <w:p w14:paraId="45B64FC5">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A目击者或驾驶者及时拨打123</w:t>
      </w:r>
      <w:r>
        <w:rPr>
          <w:rFonts w:hint="eastAsia"/>
          <w:highlight w:val="none"/>
          <w:lang w:val="en-US" w:eastAsia="zh-CN"/>
        </w:rPr>
        <w:t>45</w:t>
      </w:r>
      <w:r>
        <w:rPr>
          <w:rFonts w:hint="default"/>
          <w:highlight w:val="none"/>
          <w:lang w:val="en-US" w:eastAsia="zh-CN"/>
        </w:rPr>
        <w:t>，把情况如实上报给水源管理部门后，在条件允许情况下采取一定的应急措施，并让周围人员撤离出150m之外，并在现场周围设置安全警示标志，提示过往行人和车辆注意避让；</w:t>
      </w:r>
    </w:p>
    <w:p w14:paraId="33FA3A3C">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B同时利用两旁的排水明渠，将泄漏油品截留在此处，再收集、吸附。</w:t>
      </w:r>
    </w:p>
    <w:p w14:paraId="38CDA9CB">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2</w:t>
      </w:r>
      <w:r>
        <w:rPr>
          <w:rFonts w:hint="eastAsia"/>
          <w:highlight w:val="none"/>
          <w:lang w:val="en-US" w:eastAsia="zh-CN"/>
        </w:rPr>
        <w:t>.</w:t>
      </w:r>
      <w:r>
        <w:rPr>
          <w:rFonts w:hint="default"/>
          <w:highlight w:val="none"/>
          <w:lang w:val="en-US" w:eastAsia="zh-CN"/>
        </w:rPr>
        <w:t>生活垃圾、畜禽粪便、生活污水等生活污染源不合理排放引发水体污染事件现场处置方案此类生活源引发的污染并非是突发引起的，有累积效应。因此该污染事件主要依靠吕梁市生态环境局汾阳分局、汾阳市城乡建设和交通运输局、汾阳市农业农村和水利局等相关部门进行日常管理与监管。如引发污染事件，处置方案主要从以下方面进行管控：</w:t>
      </w:r>
    </w:p>
    <w:p w14:paraId="6828EF26">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A加强源头管理，对生活污染源进行规范化处理，处理后的中水采取回用方式，避免外排。</w:t>
      </w:r>
    </w:p>
    <w:p w14:paraId="0434FB71">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B加强水源水质监测指标控制。一旦发现水质指标波动异常，采取污染控制措施，并查找污染源。</w:t>
      </w:r>
    </w:p>
    <w:p w14:paraId="59FD8D1A">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C开展污染源排查，并根据污染源类别采取相应措施。具体根据实际情况，结合专家组意见进行应对。</w:t>
      </w:r>
    </w:p>
    <w:p w14:paraId="52E4F43D">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3</w:t>
      </w:r>
      <w:r>
        <w:rPr>
          <w:rFonts w:hint="eastAsia"/>
          <w:highlight w:val="none"/>
          <w:lang w:val="en-US" w:eastAsia="zh-CN"/>
        </w:rPr>
        <w:t>.</w:t>
      </w:r>
      <w:r>
        <w:rPr>
          <w:rFonts w:hint="default"/>
          <w:highlight w:val="none"/>
          <w:lang w:val="en-US" w:eastAsia="zh-CN"/>
        </w:rPr>
        <w:t>林地与耕地中施用化肥及农药随地表径流流失，引起饮用水污染事件处置方案施用化肥及农药引发的污染并非是由长期累积效应所产生的。因此该污染事件主要依靠汾阳市农业农村和水利局管理部门进行日常管理与监管。处置方案主要以管理为主，可从以下方面进行管控：</w:t>
      </w:r>
    </w:p>
    <w:p w14:paraId="44D657AC">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A加强源头管理，提倡保护区内林地与耕地采用有机肥，减少农药、化肥使用，并逐步退出使用。</w:t>
      </w:r>
    </w:p>
    <w:p w14:paraId="509CA958">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B排查耕地和林地，并根据污染类别采取相应管控措施。</w:t>
      </w:r>
    </w:p>
    <w:p w14:paraId="3F99896B">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具体根据实际情况，结合专家组意见进行应对。</w:t>
      </w:r>
    </w:p>
    <w:p w14:paraId="374E5609">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4</w:t>
      </w:r>
      <w:r>
        <w:rPr>
          <w:rFonts w:hint="eastAsia"/>
          <w:highlight w:val="none"/>
          <w:lang w:val="en-US" w:eastAsia="zh-CN"/>
        </w:rPr>
        <w:t>.</w:t>
      </w:r>
      <w:r>
        <w:rPr>
          <w:rFonts w:hint="default"/>
          <w:highlight w:val="none"/>
          <w:lang w:val="en-US" w:eastAsia="zh-CN"/>
        </w:rPr>
        <w:t>道路应急防护方案</w:t>
      </w:r>
    </w:p>
    <w:p w14:paraId="54BADEB0">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道路运输风险物质泄漏见以上风险物质泄漏处置措施，道路防护重在日常风险防控，道路穿越一级保护区的路段，应设置防撞护栏，道路两侧设置泄漏物质导流槽、应急收集池，用于事故状态下泄漏物质的导流收集，避免风险物质直接接触水源保护区土壤，降低水源污染可能。</w:t>
      </w:r>
    </w:p>
    <w:p w14:paraId="1E136CC2">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5</w:t>
      </w:r>
      <w:r>
        <w:rPr>
          <w:rFonts w:hint="eastAsia"/>
          <w:highlight w:val="none"/>
          <w:lang w:val="en-US" w:eastAsia="zh-CN"/>
        </w:rPr>
        <w:t>.</w:t>
      </w:r>
      <w:r>
        <w:rPr>
          <w:rFonts w:hint="default"/>
          <w:highlight w:val="none"/>
          <w:lang w:val="en-US" w:eastAsia="zh-CN"/>
        </w:rPr>
        <w:t>供水系统及其他污染应对措施</w:t>
      </w:r>
    </w:p>
    <w:p w14:paraId="08E0DFF0">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要建立应急监测信息通报制度，水源管理员每天向供水站上报水源突发情况，供水站接到通知后，立即采取应对措施，启动供水应急预案。</w:t>
      </w:r>
    </w:p>
    <w:p w14:paraId="530F6B54">
      <w:pPr>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highlight w:val="none"/>
          <w:lang w:val="en-US" w:eastAsia="zh-CN"/>
        </w:rPr>
        <w:t>应急监测或事态研判过程中，发现或判定污染物已扩散至饮用水水源地，</w:t>
      </w:r>
      <w:r>
        <w:rPr>
          <w:rFonts w:hint="eastAsia"/>
          <w:highlight w:val="none"/>
          <w:lang w:val="en-US" w:eastAsia="zh-CN"/>
        </w:rPr>
        <w:t>汾阳市人民</w:t>
      </w:r>
      <w:r>
        <w:rPr>
          <w:rFonts w:hint="default"/>
          <w:highlight w:val="none"/>
          <w:lang w:val="en-US" w:eastAsia="zh-CN"/>
        </w:rPr>
        <w:t>政府、汾阳市农业农村和水利局、吕梁市生态环境局汾阳分局等相关部门则立即要求停止取水，使用应急输供水车等设施保障居民用水。</w:t>
      </w:r>
    </w:p>
    <w:p w14:paraId="554F43FC">
      <w:pPr>
        <w:pStyle w:val="3"/>
        <w:bidi w:val="0"/>
        <w:rPr>
          <w:rFonts w:hint="default"/>
          <w:lang w:val="en-US" w:eastAsia="zh-CN"/>
        </w:rPr>
      </w:pPr>
      <w:bookmarkStart w:id="96" w:name="_Toc13202"/>
      <w:bookmarkStart w:id="97" w:name="_Toc1196"/>
      <w:r>
        <w:rPr>
          <w:rFonts w:hint="default"/>
          <w:lang w:val="en-US" w:eastAsia="zh-CN"/>
        </w:rPr>
        <w:t>4.12 信息公开与发布</w:t>
      </w:r>
      <w:bookmarkEnd w:id="96"/>
      <w:bookmarkEnd w:id="97"/>
      <w:r>
        <w:rPr>
          <w:rFonts w:hint="default"/>
          <w:lang w:val="en-US" w:eastAsia="zh-CN"/>
        </w:rPr>
        <w:t xml:space="preserve"> </w:t>
      </w:r>
    </w:p>
    <w:p w14:paraId="40CAEF2F">
      <w:pPr>
        <w:pStyle w:val="4"/>
        <w:bidi w:val="0"/>
        <w:rPr>
          <w:rFonts w:hint="default"/>
          <w:lang w:val="en-US" w:eastAsia="zh-CN"/>
        </w:rPr>
      </w:pPr>
      <w:bookmarkStart w:id="98" w:name="_Toc30245"/>
      <w:r>
        <w:rPr>
          <w:rFonts w:hint="default"/>
          <w:lang w:val="en-US" w:eastAsia="zh-CN"/>
        </w:rPr>
        <w:t>4.12.1舆情监测</w:t>
      </w:r>
      <w:bookmarkEnd w:id="98"/>
      <w:r>
        <w:rPr>
          <w:rFonts w:hint="default"/>
          <w:lang w:val="en-US" w:eastAsia="zh-CN"/>
        </w:rPr>
        <w:t xml:space="preserve"> </w:t>
      </w:r>
    </w:p>
    <w:p w14:paraId="11178A16">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由宣传报道组开展舆情监测工作，负责舆情信息的收集分析、信息公开，分析热点信息、敏感信息、大众关注方向、关注度、突发事件分析统计等，据此开展事件的公开工作。</w:t>
      </w:r>
    </w:p>
    <w:p w14:paraId="213531A7">
      <w:pPr>
        <w:pStyle w:val="4"/>
        <w:bidi w:val="0"/>
        <w:rPr>
          <w:rFonts w:hint="default"/>
          <w:lang w:val="en-US" w:eastAsia="zh-CN"/>
        </w:rPr>
      </w:pPr>
      <w:bookmarkStart w:id="99" w:name="_Toc15723"/>
      <w:r>
        <w:rPr>
          <w:rFonts w:hint="default"/>
          <w:lang w:val="en-US" w:eastAsia="zh-CN"/>
        </w:rPr>
        <w:t>4.12.2公开方式</w:t>
      </w:r>
      <w:bookmarkEnd w:id="99"/>
      <w:r>
        <w:rPr>
          <w:rFonts w:hint="default"/>
          <w:lang w:val="en-US" w:eastAsia="zh-CN"/>
        </w:rPr>
        <w:t xml:space="preserve"> </w:t>
      </w:r>
    </w:p>
    <w:p w14:paraId="585247C1">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通过</w:t>
      </w:r>
      <w:r>
        <w:rPr>
          <w:rFonts w:hint="eastAsia" w:cs="Times New Roman"/>
          <w:sz w:val="28"/>
          <w:szCs w:val="28"/>
          <w:lang w:eastAsia="zh-CN"/>
        </w:rPr>
        <w:t>汾阳市人民政府</w:t>
      </w:r>
      <w:r>
        <w:rPr>
          <w:rFonts w:hint="default" w:ascii="Times New Roman" w:hAnsi="Times New Roman" w:eastAsia="仿宋" w:cs="Times New Roman"/>
          <w:sz w:val="28"/>
          <w:szCs w:val="28"/>
        </w:rPr>
        <w:t>授权发布、发新闻稿、接受记者采访、举行新闻发布会、组织专家解读等方式，借助电视、广播、报纸、互联网等多种途径，主动、及时、准确、客观向社会发布集中式饮用水水源地突发环境事件和应对工作信息，回应社会关切，澄清不实信息，正确引导社会舆论。信息发布内容包括事件原因、污染程度、影响范围、应对措施、需要公众配合采取的措施、公众防范常识和事件调查处理进展情况等。加强舆情监测，做好舆论引导工作。对于较复杂的事件，可分阶段发布。对于跨行政区域的集中式饮用水水源地突发环境事件，可由</w:t>
      </w:r>
      <w:r>
        <w:rPr>
          <w:rFonts w:hint="eastAsia" w:ascii="Times New Roman" w:hAnsi="Times New Roman" w:eastAsia="仿宋" w:cs="Times New Roman"/>
          <w:sz w:val="28"/>
          <w:szCs w:val="28"/>
          <w:lang w:eastAsia="zh-CN"/>
        </w:rPr>
        <w:t>吕梁市</w:t>
      </w:r>
      <w:r>
        <w:rPr>
          <w:rFonts w:hint="default" w:ascii="Times New Roman" w:hAnsi="Times New Roman" w:eastAsia="仿宋" w:cs="Times New Roman"/>
          <w:sz w:val="28"/>
          <w:szCs w:val="28"/>
        </w:rPr>
        <w:t>人民政府发布。</w:t>
      </w:r>
    </w:p>
    <w:p w14:paraId="063E7D73">
      <w:pPr>
        <w:pStyle w:val="4"/>
        <w:bidi w:val="0"/>
        <w:rPr>
          <w:rFonts w:hint="default"/>
          <w:lang w:val="en-US" w:eastAsia="zh-CN"/>
        </w:rPr>
      </w:pPr>
      <w:bookmarkStart w:id="100" w:name="_Toc22346"/>
      <w:r>
        <w:rPr>
          <w:rFonts w:hint="default"/>
          <w:lang w:val="en-US" w:eastAsia="zh-CN"/>
        </w:rPr>
        <w:t>4.12.3发布的主要内容</w:t>
      </w:r>
      <w:bookmarkEnd w:id="100"/>
      <w:r>
        <w:rPr>
          <w:rFonts w:hint="default"/>
          <w:lang w:val="en-US" w:eastAsia="zh-CN"/>
        </w:rPr>
        <w:t xml:space="preserve"> </w:t>
      </w:r>
    </w:p>
    <w:p w14:paraId="4BC57B5F">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一般发布内容包括以下内容。</w:t>
      </w:r>
    </w:p>
    <w:p w14:paraId="4DB4D5A3">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）发生事故的单位名称和地址。</w:t>
      </w:r>
    </w:p>
    <w:p w14:paraId="7F97AF55">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）事件发生时间或预期持续时间。</w:t>
      </w:r>
    </w:p>
    <w:p w14:paraId="0BE9267B">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）事件类型（分为固定源、流动源和非点源等突发环境事件）、起因和性质。</w:t>
      </w:r>
    </w:p>
    <w:p w14:paraId="0DB482E0">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rPr>
        <w:t>）事件影响的当前状况和发展趋势，已采取的措施。</w:t>
      </w:r>
    </w:p>
    <w:p w14:paraId="0502F548">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（5）提醒公众应注意的防范措施，紧急情况的热线电话及其它必要信息。</w:t>
      </w:r>
    </w:p>
    <w:p w14:paraId="323E2E09">
      <w:pPr>
        <w:pStyle w:val="3"/>
        <w:bidi w:val="0"/>
        <w:rPr>
          <w:rFonts w:hint="default"/>
          <w:lang w:val="en-US" w:eastAsia="zh-CN"/>
        </w:rPr>
      </w:pPr>
      <w:bookmarkStart w:id="101" w:name="_Toc9353"/>
      <w:bookmarkStart w:id="102" w:name="_Toc29969"/>
      <w:r>
        <w:rPr>
          <w:rFonts w:hint="default"/>
          <w:lang w:val="en-US" w:eastAsia="zh-CN"/>
        </w:rPr>
        <w:t>4.</w:t>
      </w:r>
      <w:r>
        <w:rPr>
          <w:rFonts w:hint="eastAsia"/>
          <w:lang w:val="en-US" w:eastAsia="zh-CN"/>
        </w:rPr>
        <w:t>13</w:t>
      </w:r>
      <w:r>
        <w:rPr>
          <w:rFonts w:hint="default"/>
          <w:lang w:val="en-US" w:eastAsia="zh-CN"/>
        </w:rPr>
        <w:t>响应终止</w:t>
      </w:r>
      <w:bookmarkEnd w:id="101"/>
      <w:bookmarkEnd w:id="102"/>
    </w:p>
    <w:p w14:paraId="0A38D109">
      <w:pPr>
        <w:pStyle w:val="4"/>
        <w:bidi w:val="0"/>
        <w:rPr>
          <w:rFonts w:hint="default"/>
          <w:lang w:val="en-US" w:eastAsia="zh-CN"/>
        </w:rPr>
      </w:pPr>
      <w:bookmarkStart w:id="103" w:name="_Toc28267"/>
      <w:r>
        <w:rPr>
          <w:rFonts w:hint="default"/>
          <w:lang w:val="en-US" w:eastAsia="zh-CN"/>
        </w:rPr>
        <w:t>4.</w:t>
      </w:r>
      <w:r>
        <w:rPr>
          <w:rFonts w:hint="eastAsia"/>
          <w:lang w:val="en-US" w:eastAsia="zh-CN"/>
        </w:rPr>
        <w:t>13</w:t>
      </w:r>
      <w:r>
        <w:rPr>
          <w:rFonts w:hint="default"/>
          <w:lang w:val="en-US" w:eastAsia="zh-CN"/>
        </w:rPr>
        <w:t>.1 应急响应终止条件</w:t>
      </w:r>
      <w:bookmarkEnd w:id="103"/>
      <w:r>
        <w:rPr>
          <w:rFonts w:hint="default"/>
          <w:lang w:val="en-US" w:eastAsia="zh-CN"/>
        </w:rPr>
        <w:t xml:space="preserve"> </w:t>
      </w:r>
    </w:p>
    <w:p w14:paraId="226D8C6D">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如符合下列情形之一的，应急响应终止：</w:t>
      </w:r>
    </w:p>
    <w:p w14:paraId="58DB146B">
      <w:pPr>
        <w:keepNext w:val="0"/>
        <w:keepLines w:val="0"/>
        <w:pageBreakBefore w:val="0"/>
        <w:widowControl w:val="0"/>
        <w:numPr>
          <w:ilvl w:val="0"/>
          <w:numId w:val="1"/>
        </w:numPr>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进入</w:t>
      </w:r>
      <w:r>
        <w:rPr>
          <w:rFonts w:hint="eastAsia" w:ascii="Times New Roman" w:hAnsi="Times New Roman" w:cs="Times New Roman"/>
          <w:sz w:val="28"/>
          <w:szCs w:val="28"/>
          <w:lang w:val="en-US" w:eastAsia="zh-CN"/>
        </w:rPr>
        <w:t>石门沟</w:t>
      </w:r>
      <w:r>
        <w:rPr>
          <w:rFonts w:hint="default" w:ascii="Times New Roman" w:hAnsi="Times New Roman" w:eastAsia="仿宋" w:cs="Times New Roman"/>
          <w:sz w:val="28"/>
          <w:szCs w:val="28"/>
        </w:rPr>
        <w:t>水源保护区范围的污染物已成功围堵，且清运至水源保护区外，未向</w:t>
      </w:r>
      <w:r>
        <w:rPr>
          <w:rFonts w:hint="eastAsia" w:cs="Times New Roman"/>
          <w:sz w:val="28"/>
          <w:szCs w:val="28"/>
          <w:lang w:val="en-US" w:eastAsia="zh-CN"/>
        </w:rPr>
        <w:t>汾阳市石门沟集中供水水源地</w:t>
      </w:r>
      <w:r>
        <w:rPr>
          <w:rFonts w:hint="default" w:ascii="Times New Roman" w:hAnsi="Times New Roman" w:eastAsia="仿宋" w:cs="Times New Roman"/>
          <w:sz w:val="28"/>
          <w:szCs w:val="28"/>
        </w:rPr>
        <w:t>保护区扩散时；</w:t>
      </w:r>
    </w:p>
    <w:p w14:paraId="66FEEA81">
      <w:pPr>
        <w:keepNext w:val="0"/>
        <w:keepLines w:val="0"/>
        <w:pageBreakBefore w:val="0"/>
        <w:widowControl w:val="0"/>
        <w:numPr>
          <w:ilvl w:val="0"/>
          <w:numId w:val="1"/>
        </w:numPr>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进入</w:t>
      </w:r>
      <w:r>
        <w:rPr>
          <w:rFonts w:hint="eastAsia" w:ascii="Times New Roman" w:hAnsi="Times New Roman" w:cs="Times New Roman"/>
          <w:sz w:val="28"/>
          <w:szCs w:val="28"/>
          <w:lang w:val="en-US" w:eastAsia="zh-CN"/>
        </w:rPr>
        <w:t>石门沟</w:t>
      </w:r>
      <w:r>
        <w:rPr>
          <w:rFonts w:hint="default" w:ascii="Times New Roman" w:hAnsi="Times New Roman" w:eastAsia="仿宋" w:cs="Times New Roman"/>
          <w:sz w:val="28"/>
          <w:szCs w:val="28"/>
        </w:rPr>
        <w:t>水源保护区范围的污染团已成功拦截或导流至水源保护区外，没有向</w:t>
      </w:r>
      <w:r>
        <w:rPr>
          <w:rFonts w:hint="eastAsia" w:cs="Times New Roman"/>
          <w:sz w:val="28"/>
          <w:szCs w:val="28"/>
          <w:lang w:val="en-US" w:eastAsia="zh-CN"/>
        </w:rPr>
        <w:t>汾阳市石门沟集中供水水源地</w:t>
      </w:r>
      <w:r>
        <w:rPr>
          <w:rFonts w:hint="default" w:ascii="Times New Roman" w:hAnsi="Times New Roman" w:eastAsia="仿宋" w:cs="Times New Roman"/>
          <w:sz w:val="28"/>
          <w:szCs w:val="28"/>
        </w:rPr>
        <w:t>扩散的风险，且水质监测结果稳定达标；</w:t>
      </w:r>
    </w:p>
    <w:p w14:paraId="5365C7BF">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（3）恢复正常取水时。</w:t>
      </w:r>
    </w:p>
    <w:p w14:paraId="414F21A9">
      <w:pPr>
        <w:pStyle w:val="4"/>
        <w:bidi w:val="0"/>
        <w:rPr>
          <w:rFonts w:hint="default"/>
          <w:lang w:val="en-US" w:eastAsia="zh-CN"/>
        </w:rPr>
      </w:pPr>
      <w:bookmarkStart w:id="104" w:name="_Toc13655"/>
      <w:r>
        <w:rPr>
          <w:rFonts w:hint="default"/>
          <w:lang w:val="en-US" w:eastAsia="zh-CN"/>
        </w:rPr>
        <w:t>4.</w:t>
      </w:r>
      <w:r>
        <w:rPr>
          <w:rFonts w:hint="eastAsia"/>
          <w:lang w:val="en-US" w:eastAsia="zh-CN"/>
        </w:rPr>
        <w:t>13</w:t>
      </w:r>
      <w:r>
        <w:rPr>
          <w:rFonts w:hint="default"/>
          <w:lang w:val="en-US" w:eastAsia="zh-CN"/>
        </w:rPr>
        <w:t>.2 应急响应终止程序</w:t>
      </w:r>
      <w:bookmarkEnd w:id="104"/>
      <w:r>
        <w:rPr>
          <w:rFonts w:hint="default"/>
          <w:lang w:val="en-US" w:eastAsia="zh-CN"/>
        </w:rPr>
        <w:t xml:space="preserve"> </w:t>
      </w:r>
    </w:p>
    <w:p w14:paraId="16A50622">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eastAsia" w:cs="Times New Roman"/>
          <w:sz w:val="28"/>
          <w:szCs w:val="28"/>
          <w:lang w:val="en-US" w:eastAsia="zh-CN"/>
        </w:rPr>
        <w:t>汾阳市石门沟集中供水水源地</w:t>
      </w:r>
      <w:r>
        <w:rPr>
          <w:rFonts w:hint="default" w:ascii="Times New Roman" w:hAnsi="Times New Roman" w:eastAsia="仿宋" w:cs="Times New Roman"/>
          <w:sz w:val="28"/>
          <w:szCs w:val="28"/>
        </w:rPr>
        <w:t xml:space="preserve">突发环境事件应急响应终止应按照以下程序进行： </w:t>
      </w:r>
    </w:p>
    <w:p w14:paraId="471B2CF5">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）应急指挥部办公室根据应急监测、事件处置情况，确认事件已具备应急终止条件后，提出应急响应终止建议，报应急指挥部批准。</w:t>
      </w:r>
    </w:p>
    <w:p w14:paraId="2D80AC67">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）应急指挥部办公室可通过电话、电视、网络等媒体向社会发布应急响应终止信息。现场应急指挥部接到应急指挥部的应急响应终止通知后，宣布终止应急状态，转入正常工作。</w:t>
      </w:r>
    </w:p>
    <w:p w14:paraId="778E2B9B">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）应急终止后，</w:t>
      </w:r>
      <w:r>
        <w:rPr>
          <w:rFonts w:hint="eastAsia" w:cs="Times New Roman"/>
          <w:sz w:val="28"/>
          <w:szCs w:val="28"/>
          <w:lang w:eastAsia="zh-CN"/>
        </w:rPr>
        <w:t>相关部门</w:t>
      </w:r>
      <w:r>
        <w:rPr>
          <w:rFonts w:hint="default" w:ascii="Times New Roman" w:hAnsi="Times New Roman" w:eastAsia="仿宋" w:cs="Times New Roman"/>
          <w:sz w:val="28"/>
          <w:szCs w:val="28"/>
        </w:rPr>
        <w:t>根据应急指挥部有关指示和实际情况，继续进行监测、监控和评估工作，直至本次事件的影响完全消除为止。</w:t>
      </w:r>
    </w:p>
    <w:p w14:paraId="5782D858">
      <w:pPr>
        <w:keepNext w:val="0"/>
        <w:keepLines w:val="0"/>
        <w:pageBreakBefore w:val="0"/>
        <w:widowControl w:val="0"/>
        <w:kinsoku/>
        <w:overflowPunct/>
        <w:topLinePunct w:val="0"/>
        <w:bidi w:val="0"/>
        <w:spacing w:line="360" w:lineRule="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br w:type="page"/>
      </w:r>
    </w:p>
    <w:p w14:paraId="60DBA2A7">
      <w:pPr>
        <w:pStyle w:val="2"/>
        <w:bidi w:val="0"/>
        <w:rPr>
          <w:rFonts w:hint="default"/>
        </w:rPr>
      </w:pPr>
      <w:bookmarkStart w:id="105" w:name="_Toc1679"/>
      <w:bookmarkStart w:id="106" w:name="_Toc20353"/>
      <w:r>
        <w:rPr>
          <w:rFonts w:hint="default"/>
        </w:rPr>
        <w:t>第五章</w:t>
      </w:r>
      <w:r>
        <w:rPr>
          <w:rFonts w:hint="default"/>
          <w:lang w:val="en-US" w:eastAsia="zh-CN"/>
        </w:rPr>
        <w:t xml:space="preserve"> </w:t>
      </w:r>
      <w:r>
        <w:rPr>
          <w:rFonts w:hint="default"/>
        </w:rPr>
        <w:t>后期工作</w:t>
      </w:r>
      <w:bookmarkEnd w:id="105"/>
      <w:bookmarkEnd w:id="106"/>
    </w:p>
    <w:p w14:paraId="54A1056B">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eastAsia" w:cs="Times New Roman"/>
          <w:sz w:val="28"/>
          <w:szCs w:val="28"/>
          <w:lang w:val="en-US" w:eastAsia="zh-CN"/>
        </w:rPr>
        <w:t>汾阳市石门沟集中供水水源地</w:t>
      </w:r>
      <w:r>
        <w:rPr>
          <w:rFonts w:hint="default" w:ascii="Times New Roman" w:hAnsi="Times New Roman" w:eastAsia="仿宋" w:cs="Times New Roman"/>
          <w:sz w:val="28"/>
          <w:szCs w:val="28"/>
        </w:rPr>
        <w:t>突发环境事件应急终止后，由</w:t>
      </w:r>
      <w:r>
        <w:rPr>
          <w:rFonts w:hint="eastAsia" w:cs="Times New Roman"/>
          <w:sz w:val="28"/>
          <w:szCs w:val="28"/>
          <w:lang w:val="en-US" w:eastAsia="zh-CN"/>
        </w:rPr>
        <w:t>汾阳市石门沟集中供水水源地</w:t>
      </w:r>
      <w:r>
        <w:rPr>
          <w:rFonts w:hint="default" w:ascii="Times New Roman" w:hAnsi="Times New Roman" w:eastAsia="仿宋" w:cs="Times New Roman"/>
          <w:sz w:val="28"/>
          <w:szCs w:val="28"/>
        </w:rPr>
        <w:t>应急指挥部制定善后污染防控内容和工作要点，根据不同污染类型，组织开展善后处置工作，包括后期防控、事件调查，</w:t>
      </w:r>
      <w:r>
        <w:rPr>
          <w:rFonts w:hint="eastAsia" w:cs="Times New Roman"/>
          <w:sz w:val="28"/>
          <w:szCs w:val="28"/>
          <w:lang w:val="en-US" w:eastAsia="zh-CN"/>
        </w:rPr>
        <w:t>损</w:t>
      </w:r>
      <w:r>
        <w:rPr>
          <w:rFonts w:hint="default" w:ascii="Times New Roman" w:hAnsi="Times New Roman" w:eastAsia="仿宋" w:cs="Times New Roman"/>
          <w:sz w:val="28"/>
          <w:szCs w:val="28"/>
        </w:rPr>
        <w:t>害评估和善后处置等工作。</w:t>
      </w:r>
    </w:p>
    <w:p w14:paraId="5B9FAE80">
      <w:pPr>
        <w:pStyle w:val="3"/>
        <w:bidi w:val="0"/>
        <w:rPr>
          <w:rFonts w:hint="default"/>
          <w:lang w:val="en-US" w:eastAsia="zh-CN"/>
        </w:rPr>
      </w:pPr>
      <w:bookmarkStart w:id="107" w:name="_Toc967"/>
      <w:bookmarkStart w:id="108" w:name="_Toc9696"/>
      <w:r>
        <w:rPr>
          <w:rFonts w:hint="default"/>
          <w:lang w:val="en-US" w:eastAsia="zh-CN"/>
        </w:rPr>
        <w:t>5.1后期防控</w:t>
      </w:r>
      <w:bookmarkEnd w:id="107"/>
      <w:bookmarkEnd w:id="108"/>
    </w:p>
    <w:p w14:paraId="74544F37">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宣布应急响应终止后，</w:t>
      </w:r>
      <w:r>
        <w:rPr>
          <w:rFonts w:hint="eastAsia" w:cs="Times New Roman"/>
          <w:sz w:val="28"/>
          <w:szCs w:val="28"/>
          <w:lang w:val="en-US" w:eastAsia="zh-CN"/>
        </w:rPr>
        <w:t>汾阳市石门沟集中供水水源地</w:t>
      </w:r>
      <w:r>
        <w:rPr>
          <w:rFonts w:hint="default" w:ascii="Times New Roman" w:hAnsi="Times New Roman" w:eastAsia="仿宋" w:cs="Times New Roman"/>
          <w:sz w:val="28"/>
          <w:szCs w:val="28"/>
        </w:rPr>
        <w:t>应急指挥部要组织现场应急工作组继续保持或采取必要措施，包括对泄漏的油品、化学品进行回收；部分污染物导流到</w:t>
      </w:r>
      <w:r>
        <w:rPr>
          <w:rFonts w:hint="eastAsia" w:cs="Times New Roman"/>
          <w:sz w:val="28"/>
          <w:szCs w:val="28"/>
          <w:lang w:val="en-US" w:eastAsia="zh-CN"/>
        </w:rPr>
        <w:t>汾阳市石门沟集中供水水源地</w:t>
      </w:r>
      <w:r>
        <w:rPr>
          <w:rFonts w:hint="default" w:ascii="Times New Roman" w:hAnsi="Times New Roman" w:eastAsia="仿宋" w:cs="Times New Roman"/>
          <w:sz w:val="28"/>
          <w:szCs w:val="28"/>
        </w:rPr>
        <w:t>水源地下游或其它区域，对这些区域的污染物进行清除；组织进行后期污染监测和治理，消除污染物的残留毒性和后期效应；在事故场地及蔓延区域的污染物清理后，对其土壤或水生态系统进行修复等。防止发生次生、衍生事故发生。同时在总指挥和上级部门的统一领导下，根据事故损失情况，制定救助、补偿、抚慰、安置等方案及恢复重建计划，做好各项善后工作，并配合开展环境损害评估、赔偿、事件调查处理等。</w:t>
      </w:r>
    </w:p>
    <w:p w14:paraId="64C73F0E">
      <w:pPr>
        <w:pStyle w:val="3"/>
        <w:bidi w:val="0"/>
        <w:rPr>
          <w:rFonts w:hint="default"/>
          <w:lang w:val="en-US" w:eastAsia="zh-CN"/>
        </w:rPr>
      </w:pPr>
      <w:bookmarkStart w:id="109" w:name="_Toc16430"/>
      <w:bookmarkStart w:id="110" w:name="_Toc2282"/>
      <w:r>
        <w:rPr>
          <w:rFonts w:hint="default"/>
          <w:lang w:val="en-US" w:eastAsia="zh-CN"/>
        </w:rPr>
        <w:t>5.2事件调查</w:t>
      </w:r>
      <w:bookmarkEnd w:id="109"/>
      <w:bookmarkEnd w:id="110"/>
    </w:p>
    <w:p w14:paraId="48D573B1">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突发环境事件发生后，由</w:t>
      </w:r>
      <w:r>
        <w:rPr>
          <w:rFonts w:hint="eastAsia" w:cs="Times New Roman"/>
          <w:sz w:val="28"/>
          <w:szCs w:val="28"/>
          <w:lang w:val="en-US" w:eastAsia="zh-CN"/>
        </w:rPr>
        <w:t>吕梁</w:t>
      </w:r>
      <w:r>
        <w:rPr>
          <w:rFonts w:hint="default" w:ascii="Times New Roman" w:hAnsi="Times New Roman" w:eastAsia="仿宋" w:cs="Times New Roman"/>
          <w:sz w:val="28"/>
          <w:szCs w:val="28"/>
        </w:rPr>
        <w:t>市生态环境局</w:t>
      </w:r>
      <w:r>
        <w:rPr>
          <w:rFonts w:hint="eastAsia" w:ascii="Times New Roman" w:hAnsi="Times New Roman" w:eastAsia="仿宋" w:cs="Times New Roman"/>
          <w:sz w:val="28"/>
          <w:szCs w:val="28"/>
          <w:lang w:eastAsia="zh-CN"/>
        </w:rPr>
        <w:t>汾阳</w:t>
      </w:r>
      <w:r>
        <w:rPr>
          <w:rFonts w:hint="default" w:ascii="Times New Roman" w:hAnsi="Times New Roman" w:eastAsia="仿宋" w:cs="Times New Roman"/>
          <w:sz w:val="28"/>
          <w:szCs w:val="28"/>
        </w:rPr>
        <w:t>分局牵头组织开展事件调查。</w:t>
      </w:r>
      <w:r>
        <w:rPr>
          <w:rFonts w:hint="eastAsia" w:cs="Times New Roman"/>
          <w:sz w:val="28"/>
          <w:szCs w:val="28"/>
          <w:lang w:val="en-US" w:eastAsia="zh-CN"/>
        </w:rPr>
        <w:t>吕梁</w:t>
      </w:r>
      <w:r>
        <w:rPr>
          <w:rFonts w:hint="default" w:ascii="Times New Roman" w:hAnsi="Times New Roman" w:eastAsia="仿宋" w:cs="Times New Roman"/>
          <w:sz w:val="28"/>
          <w:szCs w:val="28"/>
        </w:rPr>
        <w:t>市生态环境局</w:t>
      </w:r>
      <w:r>
        <w:rPr>
          <w:rFonts w:hint="eastAsia" w:ascii="Times New Roman" w:hAnsi="Times New Roman" w:eastAsia="仿宋" w:cs="Times New Roman"/>
          <w:sz w:val="28"/>
          <w:szCs w:val="28"/>
          <w:lang w:eastAsia="zh-CN"/>
        </w:rPr>
        <w:t>汾阳</w:t>
      </w:r>
      <w:r>
        <w:rPr>
          <w:rFonts w:hint="default" w:ascii="Times New Roman" w:hAnsi="Times New Roman" w:eastAsia="仿宋" w:cs="Times New Roman"/>
          <w:sz w:val="28"/>
          <w:szCs w:val="28"/>
        </w:rPr>
        <w:t>分局认为需要由上一级环境保护主管部门调查处理的，可以报请上一级环境保护主管部门决定。</w:t>
      </w:r>
    </w:p>
    <w:p w14:paraId="56EECCD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突发环境事件调查应当遵循实事求是、客观公正、权责一致的原则，通过对监测数据进行污染源分析、明察暗访等方式及时准确查明事件原因，确认事件性质，认定事件责任，总结事件教训，提出防范和整改措施建议以及处理意见，形成调查报告。</w:t>
      </w:r>
    </w:p>
    <w:p w14:paraId="5DC0966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突发环境事件调查报告应当包括下列内容：</w:t>
      </w:r>
    </w:p>
    <w:p w14:paraId="1F52B012">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①突发环境事件发生单位的概况和突发环境事件发生经过；</w:t>
      </w:r>
    </w:p>
    <w:p w14:paraId="0747A731">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②</w:t>
      </w:r>
      <w:r>
        <w:rPr>
          <w:rFonts w:hint="default" w:ascii="Times New Roman" w:hAnsi="Times New Roman" w:eastAsia="仿宋" w:cs="Times New Roman"/>
          <w:sz w:val="28"/>
          <w:szCs w:val="28"/>
        </w:rPr>
        <w:t>突发环境事件造成的人身伤亡、直接经济损失，环境污染和生态破坏的情况；</w:t>
      </w:r>
    </w:p>
    <w:p w14:paraId="1621D0D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③</w:t>
      </w:r>
      <w:r>
        <w:rPr>
          <w:rFonts w:hint="default" w:ascii="Times New Roman" w:hAnsi="Times New Roman" w:eastAsia="仿宋" w:cs="Times New Roman"/>
          <w:sz w:val="28"/>
          <w:szCs w:val="28"/>
        </w:rPr>
        <w:t>突发环境事件发生的原因和性质；</w:t>
      </w:r>
    </w:p>
    <w:p w14:paraId="5222AD72">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eastAsia="zh-CN"/>
        </w:rPr>
        <w:t>④</w:t>
      </w:r>
      <w:r>
        <w:rPr>
          <w:rFonts w:hint="default" w:ascii="Times New Roman" w:hAnsi="Times New Roman" w:eastAsia="仿宋" w:cs="Times New Roman"/>
          <w:sz w:val="28"/>
          <w:szCs w:val="28"/>
        </w:rPr>
        <w:t>突发环境事件发生单位对环境风险的防范、隐患整改和应急处置情况；</w:t>
      </w:r>
    </w:p>
    <w:p w14:paraId="31410F62">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eastAsia="zh-CN"/>
        </w:rPr>
        <w:t>⑤</w:t>
      </w:r>
      <w:r>
        <w:rPr>
          <w:rFonts w:hint="default" w:ascii="Times New Roman" w:hAnsi="Times New Roman" w:eastAsia="仿宋" w:cs="Times New Roman"/>
          <w:sz w:val="28"/>
          <w:szCs w:val="28"/>
        </w:rPr>
        <w:t>地方政府和相关部门日常监管和应急处置情况；</w:t>
      </w:r>
    </w:p>
    <w:p w14:paraId="5DF4CBB6">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eastAsia="zh-CN"/>
        </w:rPr>
        <w:t>⑥</w:t>
      </w:r>
      <w:r>
        <w:rPr>
          <w:rFonts w:hint="default" w:ascii="Times New Roman" w:hAnsi="Times New Roman" w:eastAsia="仿宋" w:cs="Times New Roman"/>
          <w:sz w:val="28"/>
          <w:szCs w:val="28"/>
        </w:rPr>
        <w:t>责任认定和对突发环境事件发生单位、责任人的处理建议；</w:t>
      </w:r>
    </w:p>
    <w:p w14:paraId="7271A391">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eastAsia="zh-CN"/>
        </w:rPr>
        <w:t>⑦</w:t>
      </w:r>
      <w:r>
        <w:rPr>
          <w:rFonts w:hint="default" w:ascii="Times New Roman" w:hAnsi="Times New Roman" w:eastAsia="仿宋" w:cs="Times New Roman"/>
          <w:sz w:val="28"/>
          <w:szCs w:val="28"/>
        </w:rPr>
        <w:t xml:space="preserve">突发环境事件防范和整改措施建议； </w:t>
      </w:r>
    </w:p>
    <w:p w14:paraId="50A243A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eastAsia="zh-CN"/>
        </w:rPr>
        <w:t>⑧</w:t>
      </w:r>
      <w:r>
        <w:rPr>
          <w:rFonts w:hint="default" w:ascii="Times New Roman" w:hAnsi="Times New Roman" w:eastAsia="仿宋" w:cs="Times New Roman"/>
          <w:sz w:val="28"/>
          <w:szCs w:val="28"/>
        </w:rPr>
        <w:t>其他有必要报告的内容。重大突发环境事件的调查期限为60日，较大突发环境事件和一般突发环境事件的调查期限为30日。</w:t>
      </w:r>
    </w:p>
    <w:p w14:paraId="68F57617">
      <w:pPr>
        <w:pStyle w:val="3"/>
        <w:bidi w:val="0"/>
        <w:rPr>
          <w:rFonts w:hint="default"/>
          <w:lang w:val="en-US" w:eastAsia="zh-CN"/>
        </w:rPr>
      </w:pPr>
      <w:bookmarkStart w:id="111" w:name="_Toc3471"/>
      <w:bookmarkStart w:id="112" w:name="_Toc13556"/>
      <w:r>
        <w:rPr>
          <w:rFonts w:hint="default"/>
          <w:lang w:val="en-US" w:eastAsia="zh-CN"/>
        </w:rPr>
        <w:t>5.3 损害评估</w:t>
      </w:r>
      <w:bookmarkEnd w:id="111"/>
      <w:bookmarkEnd w:id="112"/>
      <w:r>
        <w:rPr>
          <w:rFonts w:hint="default"/>
          <w:lang w:val="en-US" w:eastAsia="zh-CN"/>
        </w:rPr>
        <w:t xml:space="preserve"> </w:t>
      </w:r>
    </w:p>
    <w:p w14:paraId="356CDF5B">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损害评估部门由</w:t>
      </w:r>
      <w:r>
        <w:rPr>
          <w:rFonts w:hint="eastAsia" w:cs="Times New Roman"/>
          <w:sz w:val="28"/>
          <w:szCs w:val="28"/>
          <w:lang w:val="en-US" w:eastAsia="zh-CN"/>
        </w:rPr>
        <w:t>吕梁</w:t>
      </w:r>
      <w:r>
        <w:rPr>
          <w:rFonts w:hint="default" w:ascii="Times New Roman" w:hAnsi="Times New Roman" w:eastAsia="仿宋" w:cs="Times New Roman"/>
          <w:sz w:val="28"/>
          <w:szCs w:val="28"/>
        </w:rPr>
        <w:t>市生态环境局</w:t>
      </w:r>
      <w:r>
        <w:rPr>
          <w:rFonts w:hint="eastAsia" w:ascii="Times New Roman" w:hAnsi="Times New Roman" w:eastAsia="仿宋" w:cs="Times New Roman"/>
          <w:sz w:val="28"/>
          <w:szCs w:val="28"/>
          <w:lang w:eastAsia="zh-CN"/>
        </w:rPr>
        <w:t>汾阳</w:t>
      </w:r>
      <w:r>
        <w:rPr>
          <w:rFonts w:hint="default" w:ascii="Times New Roman" w:hAnsi="Times New Roman" w:eastAsia="仿宋" w:cs="Times New Roman"/>
          <w:sz w:val="28"/>
          <w:szCs w:val="28"/>
        </w:rPr>
        <w:t>分局或是委托第三方评估机构进行评估</w:t>
      </w:r>
      <w:r>
        <w:rPr>
          <w:rFonts w:hint="default" w:ascii="Times New Roman" w:hAnsi="Times New Roman" w:eastAsia="仿宋" w:cs="Times New Roman"/>
          <w:sz w:val="28"/>
          <w:szCs w:val="28"/>
          <w:lang w:eastAsia="zh-CN"/>
        </w:rPr>
        <w:t>。</w:t>
      </w:r>
    </w:p>
    <w:p w14:paraId="30B2E9EF">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eastAsia" w:cs="Times New Roman"/>
          <w:sz w:val="28"/>
          <w:szCs w:val="28"/>
          <w:lang w:val="en-US" w:eastAsia="zh-CN"/>
        </w:rPr>
        <w:t>汾阳市石门沟集中供水水源地</w:t>
      </w:r>
      <w:r>
        <w:rPr>
          <w:rFonts w:hint="default" w:ascii="Times New Roman" w:hAnsi="Times New Roman" w:eastAsia="仿宋" w:cs="Times New Roman"/>
          <w:sz w:val="28"/>
          <w:szCs w:val="28"/>
        </w:rPr>
        <w:t>突发环境事件损害评估按照（《突发环境事件应急处置阶段污染损害评估工作程序规定》、《突发环境事件应急处置阶段环境损害评估推荐方法》、《环境损害鉴定评估推荐方法（第II版）》）等相关规定执行。并将评估结论向社会公开。</w:t>
      </w:r>
    </w:p>
    <w:p w14:paraId="3AAC7CC7">
      <w:pPr>
        <w:pStyle w:val="3"/>
        <w:bidi w:val="0"/>
        <w:rPr>
          <w:rFonts w:hint="default"/>
          <w:lang w:val="en-US" w:eastAsia="zh-CN"/>
        </w:rPr>
      </w:pPr>
      <w:bookmarkStart w:id="113" w:name="_Toc17987"/>
      <w:bookmarkStart w:id="114" w:name="_Toc5539"/>
      <w:r>
        <w:rPr>
          <w:rFonts w:hint="default"/>
          <w:lang w:val="en-US" w:eastAsia="zh-CN"/>
        </w:rPr>
        <w:t>5.4 善后处置</w:t>
      </w:r>
      <w:bookmarkEnd w:id="113"/>
      <w:bookmarkEnd w:id="114"/>
      <w:r>
        <w:rPr>
          <w:rFonts w:hint="default"/>
          <w:lang w:val="en-US" w:eastAsia="zh-CN"/>
        </w:rPr>
        <w:t xml:space="preserve"> </w:t>
      </w:r>
    </w:p>
    <w:p w14:paraId="47A338DD">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eastAsia" w:ascii="Times New Roman" w:hAnsi="Times New Roman" w:eastAsia="仿宋" w:cs="Times New Roman"/>
          <w:sz w:val="28"/>
          <w:szCs w:val="28"/>
          <w:lang w:eastAsia="zh-CN"/>
        </w:rPr>
      </w:pPr>
      <w:r>
        <w:rPr>
          <w:rFonts w:hint="eastAsia" w:cs="Times New Roman"/>
          <w:sz w:val="28"/>
          <w:szCs w:val="28"/>
          <w:lang w:val="en-US" w:eastAsia="zh-CN"/>
        </w:rPr>
        <w:t>汾阳市石门沟集中供水水源地</w:t>
      </w:r>
      <w:r>
        <w:rPr>
          <w:rFonts w:hint="default" w:ascii="Times New Roman" w:hAnsi="Times New Roman" w:eastAsia="仿宋" w:cs="Times New Roman"/>
          <w:sz w:val="28"/>
          <w:szCs w:val="28"/>
        </w:rPr>
        <w:t>突发环境事件应急响应终止后，在</w:t>
      </w:r>
      <w:r>
        <w:rPr>
          <w:rFonts w:hint="eastAsia" w:cs="Times New Roman"/>
          <w:sz w:val="28"/>
          <w:szCs w:val="28"/>
          <w:lang w:val="en-US" w:eastAsia="zh-CN"/>
        </w:rPr>
        <w:t>汾阳市石门沟集中供水水源地</w:t>
      </w:r>
      <w:r>
        <w:rPr>
          <w:rFonts w:hint="default" w:ascii="Times New Roman" w:hAnsi="Times New Roman" w:eastAsia="仿宋" w:cs="Times New Roman"/>
          <w:sz w:val="28"/>
          <w:szCs w:val="28"/>
        </w:rPr>
        <w:t>应急指挥部的统一领导下，各部门要做好善后处置工作，包括损害赔偿、风险源整改和污染场地修复等。根据事件调查明确的突发环境事件责任人，由其进行赔偿，并按照损害评估估算的损害大小确定赔偿金额和方式；对于因建筑设计、工艺流程不规范，泄漏污染物堆放或处置不当等方面原因引发的事故，应对相应的设计及操作流程进行整改</w:t>
      </w:r>
      <w:r>
        <w:rPr>
          <w:rFonts w:hint="eastAsia" w:ascii="Times New Roman" w:hAnsi="Times New Roman" w:cs="Times New Roman"/>
          <w:sz w:val="28"/>
          <w:szCs w:val="28"/>
          <w:lang w:eastAsia="zh-CN"/>
        </w:rPr>
        <w:t>。</w:t>
      </w:r>
    </w:p>
    <w:p w14:paraId="56260887">
      <w:pPr>
        <w:pStyle w:val="4"/>
        <w:bidi w:val="0"/>
        <w:rPr>
          <w:rFonts w:hint="default"/>
          <w:lang w:val="en-US" w:eastAsia="zh-CN"/>
        </w:rPr>
      </w:pPr>
      <w:bookmarkStart w:id="115" w:name="_Toc21340"/>
      <w:r>
        <w:rPr>
          <w:rFonts w:hint="default"/>
          <w:lang w:val="en-US" w:eastAsia="zh-CN"/>
        </w:rPr>
        <w:t>5.4.1 损害赔偿</w:t>
      </w:r>
      <w:bookmarkEnd w:id="115"/>
      <w:r>
        <w:rPr>
          <w:rFonts w:hint="default"/>
          <w:lang w:val="en-US" w:eastAsia="zh-CN"/>
        </w:rPr>
        <w:t xml:space="preserve"> </w:t>
      </w:r>
    </w:p>
    <w:p w14:paraId="74F98299">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eastAsia" w:cs="Times New Roman"/>
          <w:sz w:val="28"/>
          <w:szCs w:val="28"/>
          <w:lang w:val="en-US" w:eastAsia="zh-CN"/>
        </w:rPr>
        <w:t>汾阳市石门沟集中供水水源地</w:t>
      </w:r>
      <w:r>
        <w:rPr>
          <w:rFonts w:hint="default" w:ascii="Times New Roman" w:hAnsi="Times New Roman" w:eastAsia="仿宋" w:cs="Times New Roman"/>
          <w:sz w:val="28"/>
          <w:szCs w:val="28"/>
        </w:rPr>
        <w:t>突发事件的损失及影响应及时进行定性和定量的总结、分析、评估。应急指挥部组织</w:t>
      </w:r>
      <w:r>
        <w:rPr>
          <w:rFonts w:hint="eastAsia" w:cs="Times New Roman"/>
          <w:sz w:val="28"/>
          <w:szCs w:val="28"/>
          <w:lang w:eastAsia="zh-CN"/>
        </w:rPr>
        <w:t>相关部门</w:t>
      </w:r>
      <w:r>
        <w:rPr>
          <w:rFonts w:hint="default" w:ascii="Times New Roman" w:hAnsi="Times New Roman" w:eastAsia="仿宋" w:cs="Times New Roman"/>
          <w:sz w:val="28"/>
          <w:szCs w:val="28"/>
        </w:rPr>
        <w:t>，对应急抢险需要、调集、征用</w:t>
      </w:r>
      <w:r>
        <w:rPr>
          <w:rFonts w:hint="eastAsia" w:cs="Times New Roman"/>
          <w:sz w:val="28"/>
          <w:szCs w:val="28"/>
          <w:lang w:eastAsia="zh-CN"/>
        </w:rPr>
        <w:t>相关部门</w:t>
      </w:r>
      <w:r>
        <w:rPr>
          <w:rFonts w:hint="default" w:ascii="Times New Roman" w:hAnsi="Times New Roman" w:eastAsia="仿宋" w:cs="Times New Roman"/>
          <w:sz w:val="28"/>
          <w:szCs w:val="28"/>
        </w:rPr>
        <w:t>、企业物资的，应进行合理评估，给予补偿。对灾情损失及影响进行统计评估，出具相关的评估报告。制订补偿标准和事后恢复计划，并迅速实施。</w:t>
      </w:r>
    </w:p>
    <w:p w14:paraId="11BEB34B">
      <w:pPr>
        <w:pStyle w:val="4"/>
        <w:bidi w:val="0"/>
        <w:rPr>
          <w:rFonts w:hint="default"/>
          <w:lang w:val="en-US" w:eastAsia="zh-CN"/>
        </w:rPr>
      </w:pPr>
      <w:bookmarkStart w:id="116" w:name="_Toc31022"/>
      <w:r>
        <w:rPr>
          <w:rFonts w:hint="default"/>
          <w:lang w:val="en-US" w:eastAsia="zh-CN"/>
        </w:rPr>
        <w:t>5.4.2 风险源整改</w:t>
      </w:r>
      <w:bookmarkEnd w:id="116"/>
    </w:p>
    <w:p w14:paraId="1B27C7B0">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各专业部门和专业技术人员应按照专业技术规程，做好现场污染物的收集处理工作。有关现场清理和处理工作，应根据专家对灾害事故的性质和传播范围等进行认定，由公安消防、卫生、农业等职能部门设立警戒哨，划定警戒范围，由专业部门和技术人员采取相应的方式及时进行处理，处理完毕后，有关专业部门应继续对现场情况进行监控，根据专家评估结论，再进行解除警戒。对于因建筑设计、工艺流程不规范，泄漏污染物堆放或处置不当等方面原因引发的事故，应对相应的设计及操作流程进行整改。</w:t>
      </w:r>
    </w:p>
    <w:p w14:paraId="2828DC29">
      <w:pPr>
        <w:keepNext w:val="0"/>
        <w:keepLines w:val="0"/>
        <w:pageBreakBefore w:val="0"/>
        <w:widowControl w:val="0"/>
        <w:kinsoku/>
        <w:overflowPunct/>
        <w:topLinePunct w:val="0"/>
        <w:bidi w:val="0"/>
        <w:spacing w:line="360" w:lineRule="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br w:type="page"/>
      </w:r>
    </w:p>
    <w:p w14:paraId="22466E03">
      <w:pPr>
        <w:pStyle w:val="2"/>
        <w:bidi w:val="0"/>
        <w:rPr>
          <w:rFonts w:hint="default"/>
        </w:rPr>
      </w:pPr>
      <w:bookmarkStart w:id="117" w:name="_Toc1227"/>
      <w:bookmarkStart w:id="118" w:name="_Toc12241"/>
      <w:r>
        <w:rPr>
          <w:rFonts w:hint="default"/>
        </w:rPr>
        <w:t>第六章</w:t>
      </w:r>
      <w:r>
        <w:rPr>
          <w:rFonts w:hint="default"/>
          <w:lang w:val="en-US" w:eastAsia="zh-CN"/>
        </w:rPr>
        <w:t xml:space="preserve"> </w:t>
      </w:r>
      <w:r>
        <w:rPr>
          <w:rFonts w:hint="default"/>
        </w:rPr>
        <w:t>应急保障</w:t>
      </w:r>
      <w:bookmarkEnd w:id="117"/>
      <w:bookmarkEnd w:id="118"/>
    </w:p>
    <w:p w14:paraId="4FA6758E">
      <w:pPr>
        <w:pStyle w:val="3"/>
        <w:bidi w:val="0"/>
        <w:rPr>
          <w:rFonts w:hint="default"/>
          <w:lang w:val="en-US" w:eastAsia="zh-CN"/>
        </w:rPr>
      </w:pPr>
      <w:bookmarkStart w:id="119" w:name="_Toc1236"/>
      <w:bookmarkStart w:id="120" w:name="_Toc9551"/>
      <w:r>
        <w:rPr>
          <w:rFonts w:hint="default"/>
          <w:lang w:val="en-US" w:eastAsia="zh-CN"/>
        </w:rPr>
        <w:t>6.1 通信与信息保障</w:t>
      </w:r>
      <w:bookmarkEnd w:id="119"/>
      <w:bookmarkEnd w:id="120"/>
      <w:r>
        <w:rPr>
          <w:rFonts w:hint="default"/>
          <w:lang w:val="en-US" w:eastAsia="zh-CN"/>
        </w:rPr>
        <w:t xml:space="preserve"> </w:t>
      </w:r>
    </w:p>
    <w:p w14:paraId="390AA8BC">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eastAsia" w:cs="Times New Roman"/>
          <w:sz w:val="28"/>
          <w:szCs w:val="28"/>
          <w:lang w:val="en-US" w:eastAsia="zh-CN"/>
        </w:rPr>
        <w:t>汾阳市石门沟集中供水水源地</w:t>
      </w:r>
      <w:r>
        <w:rPr>
          <w:rFonts w:hint="default" w:ascii="Times New Roman" w:hAnsi="Times New Roman" w:eastAsia="仿宋" w:cs="Times New Roman"/>
          <w:sz w:val="28"/>
          <w:szCs w:val="28"/>
        </w:rPr>
        <w:t>应急指挥部、应急办公室及应急工作组成员要建立完善的通讯联络系统，确保通讯畅通。应急办公室及专项工作组成员单位保持值班电话全天有人接听，并在节假日安排人员值班。电信、移动、联通等部门负责通信与信息线路的维护工作，确保通信畅通。要充分发挥信息网络系统的作用，确保应急时能够统一调动有关人员，物资迅速到位。</w:t>
      </w:r>
    </w:p>
    <w:p w14:paraId="36872C64">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eastAsia" w:cs="Times New Roman"/>
          <w:sz w:val="28"/>
          <w:szCs w:val="28"/>
          <w:lang w:val="en-US" w:eastAsia="zh-CN"/>
        </w:rPr>
        <w:t>汾阳市石门沟集中供水水源地</w:t>
      </w:r>
      <w:r>
        <w:rPr>
          <w:rFonts w:hint="default" w:ascii="Times New Roman" w:hAnsi="Times New Roman" w:eastAsia="仿宋" w:cs="Times New Roman"/>
          <w:sz w:val="28"/>
          <w:szCs w:val="28"/>
        </w:rPr>
        <w:t>应急指挥部负责对外发布事件信息及应急处置进展情况。应急办公室负责提供准确、权威的信息，应急指挥部组织统一发布，确保信息准确、及时传递，正确引导社会舆论。</w:t>
      </w:r>
    </w:p>
    <w:p w14:paraId="22B87B50">
      <w:pPr>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事件发生的第一时间要向社会发布简要信息，随后发布初步核实情况、应对措施等，并根据事件处置情况做好后续发布工作。</w:t>
      </w:r>
    </w:p>
    <w:p w14:paraId="5CD4FF12">
      <w:pPr>
        <w:pStyle w:val="3"/>
        <w:bidi w:val="0"/>
        <w:rPr>
          <w:rFonts w:hint="default"/>
          <w:lang w:val="en-US" w:eastAsia="zh-CN"/>
        </w:rPr>
      </w:pPr>
      <w:bookmarkStart w:id="121" w:name="_Toc916"/>
      <w:bookmarkStart w:id="122" w:name="_Toc12585"/>
      <w:r>
        <w:rPr>
          <w:rFonts w:hint="default"/>
          <w:lang w:val="en-US" w:eastAsia="zh-CN"/>
        </w:rPr>
        <w:t>6.2 应急队伍保障</w:t>
      </w:r>
      <w:bookmarkEnd w:id="121"/>
      <w:bookmarkEnd w:id="122"/>
      <w:r>
        <w:rPr>
          <w:rFonts w:hint="default"/>
          <w:lang w:val="en-US" w:eastAsia="zh-CN"/>
        </w:rPr>
        <w:t xml:space="preserve"> </w:t>
      </w:r>
    </w:p>
    <w:p w14:paraId="6804D193">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eastAsia" w:cs="Times New Roman"/>
          <w:sz w:val="28"/>
          <w:szCs w:val="28"/>
          <w:lang w:val="en-US" w:eastAsia="zh-CN"/>
        </w:rPr>
        <w:t>汾阳市石门沟集中供水水源地</w:t>
      </w:r>
      <w:r>
        <w:rPr>
          <w:rFonts w:hint="default" w:ascii="Times New Roman" w:hAnsi="Times New Roman" w:eastAsia="仿宋" w:cs="Times New Roman"/>
          <w:sz w:val="28"/>
          <w:szCs w:val="28"/>
        </w:rPr>
        <w:t>应急指挥部、应急办公室、现场应急工作组由</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 xml:space="preserve">各职能部门组成，形成完善应急救援体系，确保在事件发生时，能迅速控制污染，减少对人员、生态、经济活动及水源地的危害，保证环境恢复和用水安全。 </w:t>
      </w:r>
    </w:p>
    <w:p w14:paraId="4A04D073">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应每年至少对应急指挥成员单位开展一次应急队伍知识技能培训。培训内容包括信息报告、个体防护、应急资源的使用、应急监测布点方法及监测方法、应急处理方法等培，确保事发应急队伍快速应对。</w:t>
      </w:r>
    </w:p>
    <w:p w14:paraId="599AB798">
      <w:pPr>
        <w:pStyle w:val="3"/>
        <w:bidi w:val="0"/>
        <w:rPr>
          <w:rFonts w:hint="default"/>
          <w:lang w:val="en-US" w:eastAsia="zh-CN"/>
        </w:rPr>
      </w:pPr>
      <w:bookmarkStart w:id="123" w:name="_Toc19386"/>
      <w:bookmarkStart w:id="124" w:name="_Toc10253"/>
      <w:r>
        <w:rPr>
          <w:rFonts w:hint="default"/>
          <w:lang w:val="en-US" w:eastAsia="zh-CN"/>
        </w:rPr>
        <w:t>6.3 应急资源保障</w:t>
      </w:r>
      <w:bookmarkEnd w:id="123"/>
      <w:bookmarkEnd w:id="124"/>
      <w:r>
        <w:rPr>
          <w:rFonts w:hint="default"/>
          <w:lang w:val="en-US" w:eastAsia="zh-CN"/>
        </w:rPr>
        <w:t xml:space="preserve"> </w:t>
      </w:r>
    </w:p>
    <w:p w14:paraId="155787F2">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eastAsia" w:cs="Times New Roman"/>
          <w:sz w:val="28"/>
          <w:szCs w:val="28"/>
          <w:lang w:val="en-US" w:eastAsia="zh-CN"/>
        </w:rPr>
        <w:t>汾阳市石门沟集中供水水源地</w:t>
      </w:r>
      <w:r>
        <w:rPr>
          <w:rFonts w:hint="default" w:ascii="Times New Roman" w:hAnsi="Times New Roman" w:eastAsia="仿宋" w:cs="Times New Roman"/>
          <w:sz w:val="28"/>
          <w:szCs w:val="28"/>
        </w:rPr>
        <w:t xml:space="preserve">应急指挥部要按照职责分工，做好环境应急救援物资紧急调配、储备调拨工作，保障突发环境事件应急处置和环境恢复治理工作的需要。加强对当地环境应急物资储备信息的动态管理，包括应急监测设备的调配和管理。 </w:t>
      </w:r>
    </w:p>
    <w:p w14:paraId="32D36A48">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完善</w:t>
      </w:r>
      <w:r>
        <w:rPr>
          <w:rFonts w:hint="eastAsia" w:cs="Times New Roman"/>
          <w:sz w:val="28"/>
          <w:szCs w:val="28"/>
          <w:lang w:val="en-US" w:eastAsia="zh-CN"/>
        </w:rPr>
        <w:t>汾阳市石门沟集中供水水源地</w:t>
      </w:r>
      <w:r>
        <w:rPr>
          <w:rFonts w:hint="default" w:ascii="Times New Roman" w:hAnsi="Times New Roman" w:eastAsia="仿宋" w:cs="Times New Roman"/>
          <w:sz w:val="28"/>
          <w:szCs w:val="28"/>
        </w:rPr>
        <w:t>突发环境事件应急处置物资储备库。同时利用</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级以上政府及其</w:t>
      </w:r>
      <w:r>
        <w:rPr>
          <w:rFonts w:hint="eastAsia" w:cs="Times New Roman"/>
          <w:sz w:val="28"/>
          <w:szCs w:val="28"/>
          <w:lang w:eastAsia="zh-CN"/>
        </w:rPr>
        <w:t>相关部门</w:t>
      </w:r>
      <w:r>
        <w:rPr>
          <w:rFonts w:hint="default" w:ascii="Times New Roman" w:hAnsi="Times New Roman" w:eastAsia="仿宋" w:cs="Times New Roman"/>
          <w:sz w:val="28"/>
          <w:szCs w:val="28"/>
        </w:rPr>
        <w:t>的应急物资储备，以及社会化应急物资储备，保障应急物资、生活必需品的生产和供给。物资储备应根据事件和演练经验，持续改进提高药剂、物资、装备的存放规范、应急设施的建设位置等，确保事件发生时能够快速高效的使用应急资源。</w:t>
      </w:r>
    </w:p>
    <w:p w14:paraId="19A96DB0">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lang w:val="en-US"/>
        </w:rPr>
      </w:pPr>
      <w:r>
        <w:rPr>
          <w:rFonts w:hint="default" w:ascii="Times New Roman" w:hAnsi="Times New Roman" w:eastAsia="仿宋" w:cs="Times New Roman"/>
          <w:sz w:val="28"/>
          <w:szCs w:val="28"/>
          <w:lang w:val="en-US" w:eastAsia="zh-CN"/>
        </w:rPr>
        <w:t>应急物资配备及存放详情见</w:t>
      </w:r>
      <w:r>
        <w:rPr>
          <w:rFonts w:hint="eastAsia" w:cs="Times New Roman"/>
          <w:sz w:val="28"/>
          <w:szCs w:val="28"/>
          <w:lang w:val="en-US" w:eastAsia="zh-CN"/>
        </w:rPr>
        <w:t>汾阳市石门沟集中供水水源地</w:t>
      </w:r>
      <w:r>
        <w:rPr>
          <w:rFonts w:hint="default" w:ascii="Times New Roman" w:hAnsi="Times New Roman" w:eastAsia="仿宋" w:cs="Times New Roman"/>
          <w:sz w:val="28"/>
          <w:szCs w:val="28"/>
          <w:lang w:val="en-US" w:eastAsia="zh-CN"/>
        </w:rPr>
        <w:t>环境应急资源调查报告。</w:t>
      </w:r>
    </w:p>
    <w:p w14:paraId="7864AD7B">
      <w:pPr>
        <w:pStyle w:val="3"/>
        <w:bidi w:val="0"/>
        <w:rPr>
          <w:rFonts w:hint="default"/>
          <w:lang w:val="en-US" w:eastAsia="zh-CN"/>
        </w:rPr>
      </w:pPr>
      <w:bookmarkStart w:id="125" w:name="_Toc11478"/>
      <w:bookmarkStart w:id="126" w:name="_Toc3109"/>
      <w:r>
        <w:rPr>
          <w:rFonts w:hint="default"/>
          <w:lang w:val="en-US" w:eastAsia="zh-CN"/>
        </w:rPr>
        <w:t>6.4 经费保障</w:t>
      </w:r>
      <w:bookmarkEnd w:id="125"/>
      <w:bookmarkEnd w:id="126"/>
      <w:r>
        <w:rPr>
          <w:rFonts w:hint="default"/>
          <w:lang w:val="en-US" w:eastAsia="zh-CN"/>
        </w:rPr>
        <w:t xml:space="preserve"> </w:t>
      </w:r>
    </w:p>
    <w:p w14:paraId="34152F24">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eastAsia" w:cs="Times New Roman"/>
          <w:sz w:val="28"/>
          <w:szCs w:val="28"/>
          <w:lang w:val="en-US" w:eastAsia="zh-CN"/>
        </w:rPr>
        <w:t>汾阳市石门沟集中供水水源地</w:t>
      </w:r>
      <w:r>
        <w:rPr>
          <w:rFonts w:hint="default" w:ascii="Times New Roman" w:hAnsi="Times New Roman" w:eastAsia="仿宋" w:cs="Times New Roman"/>
          <w:sz w:val="28"/>
          <w:szCs w:val="28"/>
        </w:rPr>
        <w:t>突发环境事件应急工作费用，包括应急预案编制、演练、修订、应急物资采购等费用由</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财政预算支出。</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财政、监察和审计部门加强应急工作经费的审计和监督管理，确保专款专用等。</w:t>
      </w:r>
    </w:p>
    <w:p w14:paraId="773A2F63">
      <w:pPr>
        <w:pStyle w:val="3"/>
        <w:bidi w:val="0"/>
        <w:rPr>
          <w:rFonts w:hint="default"/>
          <w:lang w:val="en-US" w:eastAsia="zh-CN"/>
        </w:rPr>
      </w:pPr>
      <w:bookmarkStart w:id="127" w:name="_Toc4164"/>
      <w:bookmarkStart w:id="128" w:name="_Toc30088"/>
      <w:r>
        <w:rPr>
          <w:rFonts w:hint="default"/>
          <w:lang w:val="en-US" w:eastAsia="zh-CN"/>
        </w:rPr>
        <w:t>6.5 技术保障</w:t>
      </w:r>
      <w:bookmarkEnd w:id="127"/>
      <w:bookmarkEnd w:id="128"/>
      <w:r>
        <w:rPr>
          <w:rFonts w:hint="default"/>
          <w:lang w:val="en-US" w:eastAsia="zh-CN"/>
        </w:rPr>
        <w:t xml:space="preserve"> </w:t>
      </w:r>
    </w:p>
    <w:p w14:paraId="49CCAE4C">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1</w:t>
      </w:r>
      <w:r>
        <w:rPr>
          <w:rFonts w:hint="eastAsia" w:ascii="Times New Roman" w:hAnsi="Times New Roman" w:cs="Times New Roman"/>
          <w:sz w:val="28"/>
          <w:szCs w:val="28"/>
          <w:lang w:val="en-US" w:eastAsia="zh-CN"/>
        </w:rPr>
        <w:t>.</w:t>
      </w:r>
      <w:r>
        <w:rPr>
          <w:rFonts w:hint="default" w:ascii="Times New Roman" w:hAnsi="Times New Roman" w:eastAsia="仿宋" w:cs="Times New Roman"/>
          <w:sz w:val="28"/>
          <w:szCs w:val="28"/>
        </w:rPr>
        <w:t>建立相关专业的专家团队为</w:t>
      </w:r>
      <w:r>
        <w:rPr>
          <w:rFonts w:hint="eastAsia" w:cs="Times New Roman"/>
          <w:sz w:val="28"/>
          <w:szCs w:val="28"/>
          <w:lang w:val="en-US" w:eastAsia="zh-CN"/>
        </w:rPr>
        <w:t>汾阳市石门沟集中供水水源地</w:t>
      </w:r>
      <w:r>
        <w:rPr>
          <w:rFonts w:hint="default" w:ascii="Times New Roman" w:hAnsi="Times New Roman" w:eastAsia="仿宋" w:cs="Times New Roman"/>
          <w:sz w:val="28"/>
          <w:szCs w:val="28"/>
        </w:rPr>
        <w:t>突发环境事件预防和应急处置工作提供有力的技术支撑；</w:t>
      </w:r>
    </w:p>
    <w:p w14:paraId="5F52FF65">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2</w:t>
      </w:r>
      <w:r>
        <w:rPr>
          <w:rFonts w:hint="eastAsia" w:ascii="Times New Roman" w:hAnsi="Times New Roman" w:cs="Times New Roman"/>
          <w:sz w:val="28"/>
          <w:szCs w:val="28"/>
          <w:lang w:val="en-US" w:eastAsia="zh-CN"/>
        </w:rPr>
        <w:t>.</w:t>
      </w:r>
      <w:r>
        <w:rPr>
          <w:rFonts w:hint="eastAsia" w:cs="Times New Roman"/>
          <w:sz w:val="28"/>
          <w:szCs w:val="28"/>
          <w:lang w:eastAsia="zh-CN"/>
        </w:rPr>
        <w:t>汾阳市石门沟集中供水水源地应急办公室</w:t>
      </w:r>
      <w:r>
        <w:rPr>
          <w:rFonts w:hint="default" w:ascii="Times New Roman" w:hAnsi="Times New Roman" w:eastAsia="仿宋" w:cs="Times New Roman"/>
          <w:sz w:val="28"/>
          <w:szCs w:val="28"/>
        </w:rPr>
        <w:t>和</w:t>
      </w:r>
      <w:r>
        <w:rPr>
          <w:rFonts w:hint="eastAsia" w:cs="Times New Roman"/>
          <w:sz w:val="28"/>
          <w:szCs w:val="28"/>
          <w:lang w:eastAsia="zh-CN"/>
        </w:rPr>
        <w:t>相关部门</w:t>
      </w:r>
      <w:r>
        <w:rPr>
          <w:rFonts w:hint="default" w:ascii="Times New Roman" w:hAnsi="Times New Roman" w:eastAsia="仿宋" w:cs="Times New Roman"/>
          <w:sz w:val="28"/>
          <w:szCs w:val="28"/>
        </w:rPr>
        <w:t>共同配合监测单位按照应急需要加强关于</w:t>
      </w:r>
      <w:r>
        <w:rPr>
          <w:rFonts w:hint="eastAsia" w:cs="Times New Roman"/>
          <w:sz w:val="28"/>
          <w:szCs w:val="28"/>
          <w:lang w:val="en-US" w:eastAsia="zh-CN"/>
        </w:rPr>
        <w:t>汾阳市石门沟集中供水水源地</w:t>
      </w:r>
      <w:r>
        <w:rPr>
          <w:rFonts w:hint="default" w:ascii="Times New Roman" w:hAnsi="Times New Roman" w:eastAsia="仿宋" w:cs="Times New Roman"/>
          <w:sz w:val="28"/>
          <w:szCs w:val="28"/>
        </w:rPr>
        <w:t>监测技术方面的保障建设，确保监测数据信息完整可靠。</w:t>
      </w:r>
    </w:p>
    <w:p w14:paraId="6563DAF3">
      <w:pPr>
        <w:pStyle w:val="3"/>
        <w:bidi w:val="0"/>
        <w:rPr>
          <w:rFonts w:hint="default"/>
          <w:lang w:val="en-US" w:eastAsia="zh-CN"/>
        </w:rPr>
      </w:pPr>
      <w:bookmarkStart w:id="129" w:name="_Toc19794"/>
      <w:bookmarkStart w:id="130" w:name="_Toc4769"/>
      <w:bookmarkStart w:id="131" w:name="_Toc16266"/>
      <w:r>
        <w:rPr>
          <w:rFonts w:hint="default"/>
          <w:lang w:val="en-US" w:eastAsia="zh-CN"/>
        </w:rPr>
        <w:t>6.6 其它保障</w:t>
      </w:r>
      <w:bookmarkEnd w:id="129"/>
      <w:bookmarkEnd w:id="130"/>
      <w:r>
        <w:rPr>
          <w:rFonts w:hint="default"/>
          <w:lang w:val="en-US" w:eastAsia="zh-CN"/>
        </w:rPr>
        <w:t xml:space="preserve"> </w:t>
      </w:r>
    </w:p>
    <w:p w14:paraId="3D43CA9B">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卫生部门要快速组织医疗救护队伍进入救灾现场，对伤员进行救治，及时检查、监测灾区的食品、饮用水源安全情况。食品药品监管部门要迅速组织向水源地突发事件影响地区提供所需药品、医疗器械。卫体局负责公共卫生信息系统建设。准确掌握急救资源状况（院前急救、综合医院急诊科、急救队伍等），建立动态数据库，明确医疗救治和疾病预防控制机构的资源分布、救治能力和专长等，全面提高城市公共卫生管理和应急处置能力。</w:t>
      </w:r>
    </w:p>
    <w:p w14:paraId="0FBF2B6C">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交通运输部门要健全公路、铁路紧急运输保障体系，保障应急响应所需人员、物资、装备、器材等的运输。公安部门要加强应急交通管理，保障运送伤病员、应急救援人员、物资、装备、器材车辆的优先通行。</w:t>
      </w:r>
    </w:p>
    <w:p w14:paraId="45DD29A0">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突发事件发生后，由事件发生地人民政府负责治安保障，迅速组织公安部门在突发事件处置现场设立警戒区，负责事故现场治安警戒和管理。警备区和武警支队予以协助和配合，承担对重要场所、重点人群、重要物资的防范防护，维持现场秩序，依法严厉打击违法犯罪活动，全力维护突发事件发生地区的社会稳定。</w:t>
      </w:r>
    </w:p>
    <w:p w14:paraId="161B1235">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br w:type="page"/>
      </w:r>
    </w:p>
    <w:p w14:paraId="229847EB">
      <w:pPr>
        <w:pStyle w:val="2"/>
        <w:bidi w:val="0"/>
        <w:rPr>
          <w:rFonts w:hint="default"/>
        </w:rPr>
        <w:sectPr>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pPr>
    </w:p>
    <w:p w14:paraId="2F25C686">
      <w:pPr>
        <w:widowControl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left="0" w:right="0" w:firstLine="0" w:firstLineChars="0"/>
        <w:jc w:val="center"/>
        <w:outlineLvl w:val="0"/>
        <w:rPr>
          <w:rFonts w:hint="eastAsia" w:ascii="Times New Roman" w:hAnsi="Times New Roman" w:eastAsia="仿宋" w:cs="Times New Roman"/>
          <w:b/>
          <w:bCs/>
          <w:kern w:val="44"/>
          <w:sz w:val="32"/>
          <w:szCs w:val="32"/>
          <w:highlight w:val="none"/>
          <w:lang w:val="en-US" w:eastAsia="zh-CN" w:bidi="ar"/>
        </w:rPr>
      </w:pPr>
      <w:bookmarkStart w:id="132" w:name="_Toc3366"/>
      <w:bookmarkStart w:id="133" w:name="_Toc3711"/>
      <w:bookmarkStart w:id="134" w:name="_Toc6580"/>
      <w:r>
        <w:rPr>
          <w:rFonts w:hint="eastAsia" w:ascii="Times New Roman" w:hAnsi="Times New Roman" w:eastAsia="仿宋" w:cs="Times New Roman"/>
          <w:b/>
          <w:bCs/>
          <w:kern w:val="44"/>
          <w:sz w:val="32"/>
          <w:szCs w:val="32"/>
          <w:highlight w:val="none"/>
          <w:lang w:val="en-US" w:eastAsia="zh-CN" w:bidi="ar"/>
        </w:rPr>
        <w:t>第七章 监督管理</w:t>
      </w:r>
      <w:bookmarkEnd w:id="132"/>
      <w:bookmarkEnd w:id="133"/>
      <w:bookmarkEnd w:id="134"/>
    </w:p>
    <w:p w14:paraId="247CBD40">
      <w:pPr>
        <w:keepNext/>
        <w:keepLines/>
        <w:widowControl w:val="0"/>
        <w:bidi w:val="0"/>
        <w:spacing w:beforeLines="0" w:beforeAutospacing="0" w:afterLines="0" w:afterAutospacing="0" w:line="360" w:lineRule="auto"/>
        <w:ind w:firstLine="0" w:firstLineChars="0"/>
        <w:jc w:val="both"/>
        <w:outlineLvl w:val="1"/>
        <w:rPr>
          <w:rFonts w:hint="eastAsia" w:ascii="Times New Roman" w:hAnsi="Times New Roman" w:eastAsia="仿宋" w:cs="Times New Roman"/>
          <w:b/>
          <w:bCs/>
          <w:kern w:val="2"/>
          <w:sz w:val="30"/>
          <w:szCs w:val="30"/>
          <w:highlight w:val="none"/>
          <w:lang w:val="en-US" w:eastAsia="zh-CN" w:bidi="ar-SA"/>
        </w:rPr>
      </w:pPr>
      <w:bookmarkStart w:id="135" w:name="_Toc5565"/>
      <w:bookmarkStart w:id="136" w:name="_Toc5834"/>
      <w:bookmarkStart w:id="137" w:name="_Toc7434"/>
      <w:r>
        <w:rPr>
          <w:rFonts w:hint="eastAsia" w:ascii="Times New Roman" w:hAnsi="Times New Roman" w:eastAsia="仿宋" w:cs="Times New Roman"/>
          <w:b/>
          <w:bCs/>
          <w:kern w:val="2"/>
          <w:sz w:val="30"/>
          <w:szCs w:val="30"/>
          <w:highlight w:val="none"/>
          <w:lang w:val="en-US" w:eastAsia="zh-CN" w:bidi="ar-SA"/>
        </w:rPr>
        <w:t>7.1宣传与培训</w:t>
      </w:r>
      <w:bookmarkEnd w:id="135"/>
      <w:bookmarkEnd w:id="136"/>
      <w:bookmarkEnd w:id="137"/>
    </w:p>
    <w:p w14:paraId="0B66F77C">
      <w:pPr>
        <w:jc w:val="both"/>
        <w:rPr>
          <w:rFonts w:hint="default"/>
          <w:highlight w:val="none"/>
          <w:lang w:val="en-US" w:eastAsia="zh-CN"/>
        </w:rPr>
      </w:pPr>
      <w:r>
        <w:rPr>
          <w:rFonts w:hint="default"/>
          <w:highlight w:val="none"/>
          <w:lang w:val="en-US" w:eastAsia="zh-CN"/>
        </w:rPr>
        <w:t>通过宣传、授课、操作演练和模拟演习等方式，使</w:t>
      </w:r>
      <w:r>
        <w:rPr>
          <w:rFonts w:hint="eastAsia" w:ascii="Times New Roman"/>
          <w:highlight w:val="none"/>
          <w:lang w:val="en-US" w:eastAsia="zh-CN"/>
        </w:rPr>
        <w:t>汾阳市石门沟集中供水水源地</w:t>
      </w:r>
      <w:r>
        <w:rPr>
          <w:rFonts w:hint="default"/>
          <w:highlight w:val="none"/>
          <w:lang w:val="en-US" w:eastAsia="zh-CN"/>
        </w:rPr>
        <w:t>突发环境事件预警和应急处置专业人员掌握相关知识和技能，提高预警和应急处置能力。宣教与培训内容主要为有关预警和应急处置的法律、法规；预警和应急处置程序及其运行；预警及应急处置的专业知识和技能；预警和应急处置报告的编制和上报程序等。</w:t>
      </w:r>
    </w:p>
    <w:p w14:paraId="788A517D">
      <w:pPr>
        <w:keepNext/>
        <w:keepLines/>
        <w:widowControl w:val="0"/>
        <w:bidi w:val="0"/>
        <w:spacing w:beforeLines="0" w:beforeAutospacing="0" w:afterLines="0" w:afterAutospacing="0" w:line="360" w:lineRule="auto"/>
        <w:ind w:firstLine="0" w:firstLineChars="0"/>
        <w:jc w:val="both"/>
        <w:outlineLvl w:val="1"/>
        <w:rPr>
          <w:rFonts w:hint="eastAsia" w:ascii="Times New Roman" w:hAnsi="Times New Roman" w:eastAsia="仿宋" w:cs="Times New Roman"/>
          <w:b/>
          <w:bCs/>
          <w:kern w:val="2"/>
          <w:sz w:val="30"/>
          <w:szCs w:val="30"/>
          <w:highlight w:val="none"/>
          <w:lang w:val="en-US" w:eastAsia="zh-CN" w:bidi="ar-SA"/>
        </w:rPr>
      </w:pPr>
      <w:bookmarkStart w:id="138" w:name="_Toc27177"/>
      <w:bookmarkStart w:id="139" w:name="_Toc14706"/>
      <w:bookmarkStart w:id="140" w:name="_Toc31893"/>
      <w:r>
        <w:rPr>
          <w:rFonts w:hint="eastAsia" w:ascii="Times New Roman" w:hAnsi="Times New Roman" w:eastAsia="仿宋" w:cs="Times New Roman"/>
          <w:b/>
          <w:bCs/>
          <w:kern w:val="2"/>
          <w:sz w:val="30"/>
          <w:szCs w:val="30"/>
          <w:highlight w:val="none"/>
          <w:lang w:val="en-US" w:eastAsia="zh-CN" w:bidi="ar-SA"/>
        </w:rPr>
        <w:t>7.2应急演练</w:t>
      </w:r>
      <w:bookmarkEnd w:id="138"/>
      <w:bookmarkEnd w:id="139"/>
      <w:bookmarkEnd w:id="140"/>
    </w:p>
    <w:p w14:paraId="4BA96AE3">
      <w:pPr>
        <w:jc w:val="both"/>
        <w:rPr>
          <w:rFonts w:hint="default"/>
          <w:highlight w:val="none"/>
          <w:lang w:val="en-US" w:eastAsia="zh-CN"/>
        </w:rPr>
      </w:pPr>
      <w:r>
        <w:rPr>
          <w:rFonts w:hint="eastAsia" w:ascii="Times New Roman"/>
          <w:highlight w:val="none"/>
          <w:lang w:val="en-US" w:eastAsia="zh-CN"/>
        </w:rPr>
        <w:t>汾阳市石门沟集中供水水源地</w:t>
      </w:r>
      <w:r>
        <w:rPr>
          <w:rFonts w:hint="default"/>
          <w:highlight w:val="none"/>
          <w:lang w:val="en-US" w:eastAsia="zh-CN"/>
        </w:rPr>
        <w:t>应急指挥部办公室根据实际，按照国务院《突发事件应急演练指南》的要求，并结合</w:t>
      </w:r>
      <w:r>
        <w:rPr>
          <w:rFonts w:hint="eastAsia" w:ascii="Times New Roman"/>
          <w:highlight w:val="none"/>
          <w:lang w:val="en-US" w:eastAsia="zh-CN"/>
        </w:rPr>
        <w:t>汾阳市石门沟集中供水水源地</w:t>
      </w:r>
      <w:r>
        <w:rPr>
          <w:rFonts w:hint="default"/>
          <w:highlight w:val="none"/>
          <w:lang w:val="en-US" w:eastAsia="zh-CN"/>
        </w:rPr>
        <w:t>实际情况，定期开展饮用水源地突发环境事件应急处置演练。演练结束后应及时进行总结。</w:t>
      </w:r>
    </w:p>
    <w:p w14:paraId="0886ED4C">
      <w:pPr>
        <w:jc w:val="both"/>
        <w:rPr>
          <w:rFonts w:hint="default"/>
          <w:highlight w:val="none"/>
          <w:lang w:val="en-US" w:eastAsia="zh-CN"/>
        </w:rPr>
      </w:pPr>
      <w:r>
        <w:rPr>
          <w:rFonts w:hint="default"/>
          <w:highlight w:val="none"/>
          <w:lang w:val="en-US" w:eastAsia="zh-CN"/>
        </w:rPr>
        <w:t>应急预案</w:t>
      </w:r>
      <w:r>
        <w:rPr>
          <w:rFonts w:hint="eastAsia"/>
          <w:highlight w:val="none"/>
          <w:lang w:val="en-US" w:eastAsia="zh-CN"/>
        </w:rPr>
        <w:t>在预案有效期内应至少演练一次</w:t>
      </w:r>
      <w:r>
        <w:rPr>
          <w:rFonts w:hint="default"/>
          <w:highlight w:val="none"/>
          <w:lang w:val="en-US" w:eastAsia="zh-CN"/>
        </w:rPr>
        <w:t>，演练内容包括在事故期间通讯系统是否正常运作、信息报送流程、各小组配合情况、人员应急能力、应急资源的使用、应急监测布点方法及监测方法、应急处理方法等。要对演练情况进行总结分析、评价，之后及时修订完善预案。</w:t>
      </w:r>
    </w:p>
    <w:p w14:paraId="425EA1D2">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1</w:t>
      </w:r>
      <w:r>
        <w:rPr>
          <w:rFonts w:hint="eastAsia" w:cs="Times New Roman"/>
          <w:highlight w:val="none"/>
          <w:lang w:val="en-US" w:eastAsia="zh-CN"/>
        </w:rPr>
        <w:t>.</w:t>
      </w:r>
      <w:r>
        <w:rPr>
          <w:rFonts w:hint="default" w:ascii="Times New Roman" w:hAnsi="Times New Roman" w:eastAsia="仿宋" w:cs="Times New Roman"/>
          <w:highlight w:val="none"/>
        </w:rPr>
        <w:t>演练单位、地点、时间</w:t>
      </w:r>
    </w:p>
    <w:p w14:paraId="11870FB7">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主要参与演练单位：</w:t>
      </w:r>
      <w:r>
        <w:rPr>
          <w:rFonts w:hint="eastAsia"/>
          <w:lang w:val="en-US" w:eastAsia="zh-CN"/>
        </w:rPr>
        <w:t>山西杏花村汾酒集团有限责任公司、汾阳市住房和城乡建设局、吕梁市生态环境局汾阳分局、汾阳市自然资源局</w:t>
      </w:r>
      <w:r>
        <w:rPr>
          <w:rFonts w:hint="default"/>
          <w:lang w:eastAsia="zh-CN"/>
        </w:rPr>
        <w:t>、</w:t>
      </w:r>
      <w:r>
        <w:rPr>
          <w:rFonts w:hint="eastAsia"/>
          <w:lang w:val="en-US" w:eastAsia="zh-CN"/>
        </w:rPr>
        <w:t>市发改局、市</w:t>
      </w:r>
      <w:r>
        <w:rPr>
          <w:rFonts w:hint="default"/>
        </w:rPr>
        <w:t>商务局</w:t>
      </w:r>
      <w:r>
        <w:rPr>
          <w:rFonts w:hint="default"/>
          <w:lang w:eastAsia="zh-CN"/>
        </w:rPr>
        <w:t>、</w:t>
      </w:r>
      <w:r>
        <w:rPr>
          <w:rFonts w:hint="eastAsia"/>
          <w:lang w:val="en-US" w:eastAsia="zh-CN"/>
        </w:rPr>
        <w:t>市</w:t>
      </w:r>
      <w:r>
        <w:rPr>
          <w:rFonts w:hint="default"/>
        </w:rPr>
        <w:t>交通运输局</w:t>
      </w:r>
      <w:r>
        <w:rPr>
          <w:rFonts w:hint="default"/>
          <w:lang w:eastAsia="zh-CN"/>
        </w:rPr>
        <w:t>、</w:t>
      </w:r>
      <w:r>
        <w:rPr>
          <w:rFonts w:hint="eastAsia"/>
          <w:lang w:val="en-US" w:eastAsia="zh-CN"/>
        </w:rPr>
        <w:t>市</w:t>
      </w:r>
      <w:r>
        <w:rPr>
          <w:rFonts w:hint="eastAsia"/>
          <w:lang w:eastAsia="zh-CN"/>
        </w:rPr>
        <w:t>农业农村局</w:t>
      </w:r>
      <w:r>
        <w:rPr>
          <w:rFonts w:hint="default"/>
          <w:lang w:eastAsia="zh-CN"/>
        </w:rPr>
        <w:t>、</w:t>
      </w:r>
      <w:r>
        <w:rPr>
          <w:rFonts w:hint="eastAsia"/>
          <w:lang w:val="en-US" w:eastAsia="zh-CN"/>
        </w:rPr>
        <w:t>市</w:t>
      </w:r>
      <w:r>
        <w:rPr>
          <w:rFonts w:hint="default"/>
        </w:rPr>
        <w:t>公安局</w:t>
      </w:r>
      <w:r>
        <w:rPr>
          <w:rFonts w:hint="default"/>
          <w:lang w:eastAsia="zh-CN"/>
        </w:rPr>
        <w:t>、</w:t>
      </w:r>
      <w:r>
        <w:rPr>
          <w:rFonts w:hint="eastAsia"/>
          <w:lang w:val="en-US" w:eastAsia="zh-CN"/>
        </w:rPr>
        <w:t>市</w:t>
      </w:r>
      <w:r>
        <w:rPr>
          <w:rFonts w:hint="default"/>
        </w:rPr>
        <w:t>财政局</w:t>
      </w:r>
      <w:r>
        <w:rPr>
          <w:rFonts w:hint="default"/>
          <w:lang w:eastAsia="zh-CN"/>
        </w:rPr>
        <w:t>、</w:t>
      </w:r>
      <w:r>
        <w:rPr>
          <w:rFonts w:hint="eastAsia"/>
          <w:lang w:eastAsia="zh-CN"/>
        </w:rPr>
        <w:t>汾阳市</w:t>
      </w:r>
      <w:r>
        <w:rPr>
          <w:rFonts w:hint="default"/>
        </w:rPr>
        <w:t>卫生健康局</w:t>
      </w:r>
      <w:r>
        <w:rPr>
          <w:rFonts w:hint="default"/>
          <w:lang w:eastAsia="zh-CN"/>
        </w:rPr>
        <w:t>、</w:t>
      </w:r>
      <w:r>
        <w:rPr>
          <w:rFonts w:hint="eastAsia"/>
          <w:lang w:val="en-US" w:eastAsia="zh-CN"/>
        </w:rPr>
        <w:t>汾阳市</w:t>
      </w:r>
      <w:r>
        <w:rPr>
          <w:rFonts w:hint="default"/>
        </w:rPr>
        <w:t>综合行政执法局</w:t>
      </w:r>
      <w:r>
        <w:rPr>
          <w:rFonts w:hint="default"/>
          <w:lang w:eastAsia="zh-CN"/>
        </w:rPr>
        <w:t>、</w:t>
      </w:r>
      <w:r>
        <w:rPr>
          <w:rFonts w:hint="eastAsia"/>
          <w:lang w:val="en-US" w:eastAsia="zh-CN"/>
        </w:rPr>
        <w:t>汾阳市</w:t>
      </w:r>
      <w:r>
        <w:rPr>
          <w:rFonts w:hint="default"/>
        </w:rPr>
        <w:t>气象局</w:t>
      </w:r>
      <w:r>
        <w:rPr>
          <w:rFonts w:hint="default"/>
          <w:lang w:eastAsia="zh-CN"/>
        </w:rPr>
        <w:t>、</w:t>
      </w:r>
      <w:r>
        <w:rPr>
          <w:rFonts w:hint="eastAsia"/>
          <w:lang w:val="en-US" w:eastAsia="zh-CN"/>
        </w:rPr>
        <w:t>汾阳市</w:t>
      </w:r>
      <w:r>
        <w:rPr>
          <w:rFonts w:hint="default"/>
        </w:rPr>
        <w:t>自来水公司</w:t>
      </w:r>
      <w:r>
        <w:rPr>
          <w:rFonts w:hint="eastAsia"/>
          <w:lang w:eastAsia="zh-CN"/>
        </w:rPr>
        <w:t>、</w:t>
      </w:r>
      <w:r>
        <w:rPr>
          <w:rFonts w:hint="eastAsia"/>
          <w:lang w:val="en-US" w:eastAsia="zh-CN"/>
        </w:rPr>
        <w:t>汾阳市事业服务中心</w:t>
      </w:r>
      <w:r>
        <w:rPr>
          <w:rFonts w:hint="default" w:ascii="Times New Roman" w:hAnsi="Times New Roman" w:eastAsia="仿宋" w:cs="Times New Roman"/>
          <w:highlight w:val="none"/>
        </w:rPr>
        <w:t>等单位。</w:t>
      </w:r>
    </w:p>
    <w:p w14:paraId="7847C167">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 w:cs="Times New Roman"/>
          <w:highlight w:val="none"/>
          <w:lang w:eastAsia="zh-CN"/>
        </w:rPr>
      </w:pPr>
      <w:r>
        <w:rPr>
          <w:rFonts w:hint="default" w:ascii="Times New Roman" w:hAnsi="Times New Roman" w:eastAsia="仿宋" w:cs="Times New Roman"/>
          <w:highlight w:val="none"/>
        </w:rPr>
        <w:t>事件内容设置：</w:t>
      </w:r>
      <w:r>
        <w:rPr>
          <w:rFonts w:hint="eastAsia" w:ascii="Times New Roman"/>
          <w:highlight w:val="none"/>
          <w:lang w:val="en-US" w:eastAsia="zh-CN"/>
        </w:rPr>
        <w:t>汾阳市石门沟集中供水水源地</w:t>
      </w:r>
      <w:r>
        <w:rPr>
          <w:rFonts w:hint="default" w:ascii="Times New Roman" w:hAnsi="Times New Roman" w:eastAsia="仿宋" w:cs="Times New Roman"/>
          <w:highlight w:val="none"/>
        </w:rPr>
        <w:t>突发环境事件应急演练活动时间：自行安排</w:t>
      </w:r>
      <w:r>
        <w:rPr>
          <w:rFonts w:hint="eastAsia" w:cs="Times New Roman"/>
          <w:highlight w:val="none"/>
          <w:lang w:eastAsia="zh-CN"/>
        </w:rPr>
        <w:t>。</w:t>
      </w:r>
    </w:p>
    <w:p w14:paraId="1CA03523">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 w:cs="Times New Roman"/>
          <w:highlight w:val="none"/>
          <w:lang w:eastAsia="zh-CN"/>
        </w:rPr>
      </w:pPr>
      <w:r>
        <w:rPr>
          <w:rFonts w:hint="default" w:ascii="Times New Roman" w:hAnsi="Times New Roman" w:eastAsia="仿宋" w:cs="Times New Roman"/>
          <w:highlight w:val="none"/>
        </w:rPr>
        <w:t>应急演练活动地点：根据事件演练内容自行设定</w:t>
      </w:r>
      <w:r>
        <w:rPr>
          <w:rFonts w:hint="eastAsia" w:cs="Times New Roman"/>
          <w:highlight w:val="none"/>
          <w:lang w:eastAsia="zh-CN"/>
        </w:rPr>
        <w:t>。</w:t>
      </w:r>
    </w:p>
    <w:p w14:paraId="7C19BCCE">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2</w:t>
      </w:r>
      <w:r>
        <w:rPr>
          <w:rFonts w:hint="eastAsia" w:cs="Times New Roman"/>
          <w:highlight w:val="none"/>
          <w:lang w:val="en-US" w:eastAsia="zh-CN"/>
        </w:rPr>
        <w:t>.</w:t>
      </w:r>
      <w:r>
        <w:rPr>
          <w:rFonts w:hint="default" w:ascii="Times New Roman" w:hAnsi="Times New Roman" w:eastAsia="仿宋" w:cs="Times New Roman"/>
          <w:highlight w:val="none"/>
        </w:rPr>
        <w:t>具体演练内容</w:t>
      </w:r>
    </w:p>
    <w:p w14:paraId="3891B198">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1）演练模拟场景：吕梁市生态环境局汾阳分局123</w:t>
      </w:r>
      <w:r>
        <w:rPr>
          <w:rFonts w:hint="eastAsia" w:cs="Times New Roman"/>
          <w:highlight w:val="none"/>
          <w:lang w:val="en-US" w:eastAsia="zh-CN"/>
        </w:rPr>
        <w:t>45</w:t>
      </w:r>
      <w:r>
        <w:rPr>
          <w:rFonts w:hint="default" w:ascii="Times New Roman" w:hAnsi="Times New Roman" w:eastAsia="仿宋" w:cs="Times New Roman"/>
          <w:highlight w:val="none"/>
        </w:rPr>
        <w:t>值班室接到事发点事故报告，事发点由于某类污染物泄露导致水源地环境受到污染。</w:t>
      </w:r>
    </w:p>
    <w:p w14:paraId="066A261E">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2）</w:t>
      </w:r>
      <w:r>
        <w:rPr>
          <w:rFonts w:hint="eastAsia" w:cs="Times New Roman"/>
          <w:highlight w:val="none"/>
          <w:lang w:val="en-US" w:eastAsia="zh-CN"/>
        </w:rPr>
        <w:t>12345</w:t>
      </w:r>
      <w:r>
        <w:rPr>
          <w:rFonts w:hint="default" w:ascii="Times New Roman" w:hAnsi="Times New Roman" w:eastAsia="仿宋" w:cs="Times New Roman"/>
          <w:highlight w:val="none"/>
        </w:rPr>
        <w:t>值班人员将此事逐级上报，根据应急指挥办公室主任指令第一时间向</w:t>
      </w:r>
      <w:r>
        <w:rPr>
          <w:rFonts w:hint="eastAsia" w:cs="Times New Roman"/>
          <w:highlight w:val="none"/>
          <w:lang w:val="en-US" w:eastAsia="zh-CN"/>
        </w:rPr>
        <w:t>汾阳市</w:t>
      </w:r>
      <w:r>
        <w:rPr>
          <w:rFonts w:hint="default" w:ascii="Times New Roman" w:hAnsi="Times New Roman" w:eastAsia="仿宋" w:cs="Times New Roman"/>
          <w:highlight w:val="none"/>
        </w:rPr>
        <w:t>政府报告，</w:t>
      </w:r>
      <w:r>
        <w:rPr>
          <w:rFonts w:hint="eastAsia" w:cs="Times New Roman"/>
          <w:highlight w:val="none"/>
          <w:lang w:val="en-US" w:eastAsia="zh-CN"/>
        </w:rPr>
        <w:t>汾阳市</w:t>
      </w:r>
      <w:r>
        <w:rPr>
          <w:rFonts w:hint="default" w:ascii="Times New Roman" w:hAnsi="Times New Roman" w:eastAsia="仿宋" w:cs="Times New Roman"/>
          <w:highlight w:val="none"/>
        </w:rPr>
        <w:t>政府立即启动本预案，确定应急响应级别。同时向各相关部门下达应急指令。</w:t>
      </w:r>
    </w:p>
    <w:p w14:paraId="0AE30B3F">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3）进入应急状态后，各个单位按照专家组提出的应急处置技术方案迅速行动，展开抢险及应急救援。市汾阳市应急管理局、吕梁市生态环境局汾阳分局、汾阳市农业农村和水利局、汾阳市公安局、汾阳市卫生健康局、汾阳市消防救援大队</w:t>
      </w:r>
      <w:r>
        <w:rPr>
          <w:rFonts w:hint="eastAsia" w:cs="Times New Roman"/>
          <w:highlight w:val="none"/>
          <w:lang w:eastAsia="zh-CN"/>
        </w:rPr>
        <w:t>、</w:t>
      </w:r>
      <w:r>
        <w:rPr>
          <w:rFonts w:hint="default" w:ascii="Times New Roman" w:hAnsi="Times New Roman" w:eastAsia="仿宋" w:cs="Times New Roman"/>
          <w:highlight w:val="none"/>
        </w:rPr>
        <w:t>汾阳市疾病预防控制中心、各乡镇政府等部门组织专业应急队伍实施救援，使事故得到有效控制。</w:t>
      </w:r>
    </w:p>
    <w:p w14:paraId="58C6F3F3">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4）各单位立即出动，采取抢救、设立事发现场及受影响区域的警戒线，对事件现场及附近进行监测，切断污染源等措施，开展应急处置救援工作。</w:t>
      </w:r>
    </w:p>
    <w:p w14:paraId="5FCD7088">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5）各单位向应急指挥部报告各自应急处置情况。</w:t>
      </w:r>
    </w:p>
    <w:p w14:paraId="59F5449F">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 w:cs="Times New Roman"/>
          <w:highlight w:val="none"/>
          <w:lang w:eastAsia="zh-CN"/>
        </w:rPr>
      </w:pPr>
      <w:r>
        <w:rPr>
          <w:rFonts w:hint="default" w:ascii="Times New Roman" w:hAnsi="Times New Roman" w:eastAsia="仿宋" w:cs="Times New Roman"/>
          <w:highlight w:val="none"/>
        </w:rPr>
        <w:t>6）事发地做好现场善后处理工作，安排现场抢救人员体检，确保安全生产。生态环境部门密切关注水源地环境安全变化情况，控制事态发展</w:t>
      </w:r>
      <w:r>
        <w:rPr>
          <w:rFonts w:hint="eastAsia" w:cs="Times New Roman"/>
          <w:highlight w:val="none"/>
          <w:lang w:val="en-US" w:eastAsia="zh-CN"/>
        </w:rPr>
        <w:t>。</w:t>
      </w:r>
    </w:p>
    <w:p w14:paraId="2AED4D4D">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7）</w:t>
      </w:r>
      <w:r>
        <w:rPr>
          <w:rFonts w:hint="eastAsia" w:ascii="Times New Roman"/>
          <w:highlight w:val="none"/>
          <w:lang w:val="en-US" w:eastAsia="zh-CN"/>
        </w:rPr>
        <w:t>汾阳市石门沟集中供水水源地</w:t>
      </w:r>
      <w:r>
        <w:rPr>
          <w:rFonts w:hint="default" w:ascii="Times New Roman" w:hAnsi="Times New Roman" w:eastAsia="仿宋" w:cs="Times New Roman"/>
          <w:highlight w:val="none"/>
        </w:rPr>
        <w:t>应急指挥部下达响应终止命令。</w:t>
      </w:r>
    </w:p>
    <w:p w14:paraId="1AB685CE">
      <w:pPr>
        <w:keepNext w:val="0"/>
        <w:keepLines w:val="0"/>
        <w:pageBreakBefore w:val="0"/>
        <w:widowControl w:val="0"/>
        <w:kinsoku/>
        <w:wordWrap/>
        <w:overflowPunct/>
        <w:topLinePunct w:val="0"/>
        <w:autoSpaceDE/>
        <w:autoSpaceDN/>
        <w:bidi w:val="0"/>
        <w:adjustRightInd/>
        <w:snapToGrid/>
        <w:textAlignment w:val="auto"/>
        <w:rPr>
          <w:rFonts w:ascii="仿宋" w:hAnsi="仿宋" w:eastAsia="仿宋" w:cs="仿宋"/>
          <w:szCs w:val="28"/>
          <w:highlight w:val="none"/>
        </w:rPr>
      </w:pPr>
      <w:r>
        <w:rPr>
          <w:rFonts w:hint="default" w:ascii="Times New Roman" w:hAnsi="Times New Roman" w:eastAsia="仿宋" w:cs="Times New Roman"/>
          <w:highlight w:val="none"/>
        </w:rPr>
        <w:t>8）召开新闻发布会向媒体通报情况，尽快形成总结和分析报告上报。</w:t>
      </w:r>
    </w:p>
    <w:p w14:paraId="24756EB4">
      <w:pPr>
        <w:keepNext/>
        <w:keepLines/>
        <w:widowControl w:val="0"/>
        <w:bidi w:val="0"/>
        <w:spacing w:beforeLines="0" w:beforeAutospacing="0" w:afterLines="0" w:afterAutospacing="0" w:line="360" w:lineRule="auto"/>
        <w:ind w:firstLine="0" w:firstLineChars="0"/>
        <w:jc w:val="both"/>
        <w:outlineLvl w:val="1"/>
        <w:rPr>
          <w:rFonts w:hint="eastAsia" w:ascii="Times New Roman" w:hAnsi="Times New Roman" w:eastAsia="仿宋" w:cs="Times New Roman"/>
          <w:b/>
          <w:bCs/>
          <w:kern w:val="2"/>
          <w:sz w:val="30"/>
          <w:szCs w:val="30"/>
          <w:highlight w:val="none"/>
          <w:lang w:val="en-US" w:eastAsia="zh-CN" w:bidi="ar-SA"/>
        </w:rPr>
      </w:pPr>
      <w:bookmarkStart w:id="141" w:name="_Toc29528"/>
      <w:bookmarkStart w:id="142" w:name="_Toc16130"/>
      <w:bookmarkStart w:id="143" w:name="_Toc31804"/>
      <w:r>
        <w:rPr>
          <w:rFonts w:hint="eastAsia" w:ascii="Times New Roman" w:hAnsi="Times New Roman" w:eastAsia="仿宋" w:cs="Times New Roman"/>
          <w:b/>
          <w:bCs/>
          <w:kern w:val="2"/>
          <w:sz w:val="30"/>
          <w:szCs w:val="30"/>
          <w:highlight w:val="none"/>
          <w:lang w:val="en-US" w:eastAsia="zh-CN" w:bidi="ar-SA"/>
        </w:rPr>
        <w:t>7.3奖惩</w:t>
      </w:r>
      <w:bookmarkEnd w:id="141"/>
      <w:bookmarkEnd w:id="142"/>
      <w:bookmarkEnd w:id="143"/>
    </w:p>
    <w:p w14:paraId="47128A62">
      <w:pPr>
        <w:keepNext/>
        <w:keepLines/>
        <w:widowControl w:val="0"/>
        <w:bidi w:val="0"/>
        <w:spacing w:beforeLines="0" w:beforeAutospacing="0" w:afterLines="0" w:afterAutospacing="0" w:line="360" w:lineRule="auto"/>
        <w:ind w:firstLine="0" w:firstLineChars="0"/>
        <w:jc w:val="both"/>
        <w:outlineLvl w:val="2"/>
        <w:rPr>
          <w:rFonts w:hint="eastAsia" w:ascii="Times New Roman" w:hAnsi="Times New Roman" w:eastAsia="仿宋" w:cs="Times New Roman"/>
          <w:b/>
          <w:bCs/>
          <w:kern w:val="2"/>
          <w:sz w:val="28"/>
          <w:szCs w:val="28"/>
          <w:highlight w:val="none"/>
          <w:lang w:val="en-US" w:eastAsia="zh-CN" w:bidi="ar-SA"/>
        </w:rPr>
      </w:pPr>
      <w:bookmarkStart w:id="144" w:name="_Toc32323"/>
      <w:bookmarkStart w:id="145" w:name="_Toc15235"/>
      <w:bookmarkStart w:id="146" w:name="_Toc28318"/>
      <w:r>
        <w:rPr>
          <w:rFonts w:hint="eastAsia" w:ascii="Times New Roman" w:hAnsi="Times New Roman" w:eastAsia="仿宋" w:cs="Times New Roman"/>
          <w:b/>
          <w:bCs/>
          <w:kern w:val="2"/>
          <w:sz w:val="28"/>
          <w:szCs w:val="28"/>
          <w:highlight w:val="none"/>
          <w:lang w:val="en-US" w:eastAsia="zh-CN" w:bidi="ar-SA"/>
        </w:rPr>
        <w:t>7.3.1奖励</w:t>
      </w:r>
      <w:bookmarkEnd w:id="144"/>
      <w:bookmarkEnd w:id="145"/>
      <w:bookmarkEnd w:id="146"/>
    </w:p>
    <w:p w14:paraId="114EA7F8">
      <w:pPr>
        <w:rPr>
          <w:rFonts w:hint="default"/>
          <w:highlight w:val="none"/>
          <w:lang w:val="en-US" w:eastAsia="zh-CN"/>
        </w:rPr>
      </w:pPr>
      <w:r>
        <w:rPr>
          <w:rFonts w:hint="default"/>
          <w:highlight w:val="none"/>
          <w:lang w:val="en-US" w:eastAsia="zh-CN"/>
        </w:rPr>
        <w:t>饮用水源污染事件应急处置工作，实行行政领导负责制和责任追究制。对在饮用水源污染事件应急处置工作中，作出突出贡献的先进集体和个人要给予表彰和奖励。</w:t>
      </w:r>
    </w:p>
    <w:p w14:paraId="10AD0325">
      <w:pPr>
        <w:keepNext/>
        <w:keepLines/>
        <w:widowControl w:val="0"/>
        <w:bidi w:val="0"/>
        <w:spacing w:beforeLines="0" w:beforeAutospacing="0" w:afterLines="0" w:afterAutospacing="0" w:line="360" w:lineRule="auto"/>
        <w:ind w:firstLine="0" w:firstLineChars="0"/>
        <w:jc w:val="both"/>
        <w:outlineLvl w:val="2"/>
        <w:rPr>
          <w:rFonts w:hint="eastAsia" w:ascii="Times New Roman" w:hAnsi="Times New Roman" w:eastAsia="仿宋" w:cs="Times New Roman"/>
          <w:b/>
          <w:bCs/>
          <w:kern w:val="2"/>
          <w:sz w:val="28"/>
          <w:szCs w:val="28"/>
          <w:highlight w:val="none"/>
          <w:lang w:val="en-US" w:eastAsia="zh-CN" w:bidi="ar-SA"/>
        </w:rPr>
      </w:pPr>
      <w:bookmarkStart w:id="147" w:name="_Toc31898"/>
      <w:bookmarkStart w:id="148" w:name="_Toc30231"/>
      <w:bookmarkStart w:id="149" w:name="_Toc1493"/>
      <w:r>
        <w:rPr>
          <w:rFonts w:hint="eastAsia" w:ascii="Times New Roman" w:hAnsi="Times New Roman" w:eastAsia="仿宋" w:cs="Times New Roman"/>
          <w:b/>
          <w:bCs/>
          <w:kern w:val="2"/>
          <w:sz w:val="28"/>
          <w:szCs w:val="28"/>
          <w:highlight w:val="none"/>
          <w:lang w:val="en-US" w:eastAsia="zh-CN" w:bidi="ar-SA"/>
        </w:rPr>
        <w:t>7.3.2惩罚</w:t>
      </w:r>
      <w:bookmarkEnd w:id="147"/>
      <w:bookmarkEnd w:id="148"/>
      <w:bookmarkEnd w:id="149"/>
    </w:p>
    <w:p w14:paraId="3590E228">
      <w:pPr>
        <w:rPr>
          <w:rFonts w:hint="default"/>
          <w:highlight w:val="none"/>
          <w:lang w:val="en-US" w:eastAsia="zh-CN"/>
        </w:rPr>
      </w:pPr>
      <w:r>
        <w:rPr>
          <w:rFonts w:hint="default"/>
          <w:highlight w:val="none"/>
          <w:lang w:val="en-US" w:eastAsia="zh-CN"/>
        </w:rPr>
        <w:t>在饮用水源污染事件应急处置工作中下列行为之一的，依法对有关责任人员给予行政处分，构成犯罪的，依法追究刑事责任。</w:t>
      </w:r>
    </w:p>
    <w:p w14:paraId="2DE50A6F">
      <w:pPr>
        <w:rPr>
          <w:rFonts w:hint="default"/>
          <w:highlight w:val="none"/>
          <w:lang w:val="en-US" w:eastAsia="zh-CN"/>
        </w:rPr>
      </w:pPr>
      <w:r>
        <w:rPr>
          <w:rFonts w:hint="default"/>
          <w:highlight w:val="none"/>
          <w:lang w:val="en-US" w:eastAsia="zh-CN"/>
        </w:rPr>
        <w:t>1</w:t>
      </w:r>
      <w:r>
        <w:rPr>
          <w:rFonts w:hint="eastAsia" w:ascii="Times New Roman" w:eastAsia="仿宋"/>
          <w:highlight w:val="none"/>
          <w:lang w:val="en-US" w:eastAsia="zh-CN"/>
        </w:rPr>
        <w:t>.</w:t>
      </w:r>
      <w:r>
        <w:rPr>
          <w:rFonts w:hint="default"/>
          <w:highlight w:val="none"/>
          <w:lang w:val="en-US" w:eastAsia="zh-CN"/>
        </w:rPr>
        <w:t>未依照规定履行报告职责，迟报、瞒报、漏报和谎报或者授意他人迟报、瞒报、漏报和谎报饮用水源污染事件重要情况的；</w:t>
      </w:r>
    </w:p>
    <w:p w14:paraId="5F457FA2">
      <w:pPr>
        <w:rPr>
          <w:rFonts w:hint="default"/>
          <w:highlight w:val="none"/>
          <w:lang w:val="en-US" w:eastAsia="zh-CN"/>
        </w:rPr>
      </w:pPr>
      <w:r>
        <w:rPr>
          <w:rFonts w:hint="default"/>
          <w:highlight w:val="none"/>
          <w:lang w:val="en-US" w:eastAsia="zh-CN"/>
        </w:rPr>
        <w:t>2</w:t>
      </w:r>
      <w:r>
        <w:rPr>
          <w:rFonts w:hint="eastAsia" w:ascii="Times New Roman" w:eastAsia="仿宋"/>
          <w:highlight w:val="none"/>
          <w:lang w:val="en-US" w:eastAsia="zh-CN"/>
        </w:rPr>
        <w:t>.</w:t>
      </w:r>
      <w:r>
        <w:rPr>
          <w:rFonts w:hint="default"/>
          <w:highlight w:val="none"/>
          <w:lang w:val="en-US" w:eastAsia="zh-CN"/>
        </w:rPr>
        <w:t>未依照规定完成饮用水源污染事件应急处置所需设施、设备、急需物资的生产、供应、运输和储备的；</w:t>
      </w:r>
    </w:p>
    <w:p w14:paraId="2F4E63AD">
      <w:pPr>
        <w:rPr>
          <w:rFonts w:hint="default"/>
          <w:highlight w:val="none"/>
          <w:lang w:val="en-US" w:eastAsia="zh-CN"/>
        </w:rPr>
      </w:pPr>
      <w:r>
        <w:rPr>
          <w:rFonts w:hint="default"/>
          <w:highlight w:val="none"/>
          <w:lang w:val="en-US" w:eastAsia="zh-CN"/>
        </w:rPr>
        <w:t>3</w:t>
      </w:r>
      <w:r>
        <w:rPr>
          <w:rFonts w:hint="eastAsia" w:ascii="Times New Roman" w:eastAsia="仿宋"/>
          <w:highlight w:val="none"/>
          <w:lang w:val="en-US" w:eastAsia="zh-CN"/>
        </w:rPr>
        <w:t>.</w:t>
      </w:r>
      <w:r>
        <w:rPr>
          <w:rFonts w:hint="default"/>
          <w:highlight w:val="none"/>
          <w:lang w:val="en-US" w:eastAsia="zh-CN"/>
        </w:rPr>
        <w:t>饮用水源地突发环境事件发生后，对上级人民政府有关部门的调查不予配合，或者采取其他方式阻碍、干涉调查的；</w:t>
      </w:r>
    </w:p>
    <w:p w14:paraId="2263E080">
      <w:pPr>
        <w:rPr>
          <w:rFonts w:hint="default"/>
          <w:highlight w:val="none"/>
          <w:lang w:val="en-US" w:eastAsia="zh-CN"/>
        </w:rPr>
      </w:pPr>
      <w:r>
        <w:rPr>
          <w:rFonts w:hint="default"/>
          <w:highlight w:val="none"/>
          <w:lang w:val="en-US" w:eastAsia="zh-CN"/>
        </w:rPr>
        <w:t>4</w:t>
      </w:r>
      <w:r>
        <w:rPr>
          <w:rFonts w:hint="eastAsia" w:ascii="Times New Roman" w:eastAsia="仿宋"/>
          <w:highlight w:val="none"/>
          <w:lang w:val="en-US" w:eastAsia="zh-CN"/>
        </w:rPr>
        <w:t>.</w:t>
      </w:r>
      <w:r>
        <w:rPr>
          <w:rFonts w:hint="default"/>
          <w:highlight w:val="none"/>
          <w:lang w:val="en-US" w:eastAsia="zh-CN"/>
        </w:rPr>
        <w:t>在饮用水源地突发环境事件调查、控制、救治工作中玩忽职守、失职、渎职的；</w:t>
      </w:r>
    </w:p>
    <w:p w14:paraId="154C1BCE">
      <w:pPr>
        <w:rPr>
          <w:rFonts w:hint="default"/>
          <w:highlight w:val="none"/>
          <w:lang w:val="en-US" w:eastAsia="zh-CN"/>
        </w:rPr>
      </w:pPr>
      <w:r>
        <w:rPr>
          <w:rFonts w:hint="default"/>
          <w:highlight w:val="none"/>
          <w:lang w:val="en-US" w:eastAsia="zh-CN"/>
        </w:rPr>
        <w:t>5</w:t>
      </w:r>
      <w:r>
        <w:rPr>
          <w:rFonts w:hint="eastAsia" w:ascii="Times New Roman" w:eastAsia="仿宋"/>
          <w:highlight w:val="none"/>
          <w:lang w:val="en-US" w:eastAsia="zh-CN"/>
        </w:rPr>
        <w:t>.</w:t>
      </w:r>
      <w:r>
        <w:rPr>
          <w:rFonts w:hint="default"/>
          <w:highlight w:val="none"/>
          <w:lang w:val="en-US" w:eastAsia="zh-CN"/>
        </w:rPr>
        <w:t>有关部门应履行而拒不履行应急处理职责的；</w:t>
      </w:r>
    </w:p>
    <w:p w14:paraId="298B2AC4">
      <w:pPr>
        <w:rPr>
          <w:rFonts w:hint="default" w:ascii="Times New Roman" w:hAnsi="Times New Roman"/>
          <w:highlight w:val="none"/>
          <w:lang w:val="en-US" w:eastAsia="zh-CN"/>
        </w:rPr>
        <w:sectPr>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pPr>
      <w:r>
        <w:rPr>
          <w:rFonts w:hint="default" w:ascii="Times New Roman" w:hAnsi="Times New Roman"/>
          <w:highlight w:val="none"/>
          <w:lang w:val="en-US" w:eastAsia="zh-CN"/>
        </w:rPr>
        <w:t>6</w:t>
      </w:r>
      <w:r>
        <w:rPr>
          <w:rFonts w:hint="eastAsia" w:ascii="Times New Roman" w:hAnsi="Times New Roman"/>
          <w:highlight w:val="none"/>
          <w:lang w:val="en-US" w:eastAsia="zh-CN"/>
        </w:rPr>
        <w:t>.</w:t>
      </w:r>
      <w:r>
        <w:rPr>
          <w:rFonts w:hint="default" w:ascii="Times New Roman" w:hAnsi="Times New Roman"/>
          <w:highlight w:val="none"/>
          <w:lang w:val="en-US" w:eastAsia="zh-CN"/>
        </w:rPr>
        <w:t>有其他失职、渎职行为的</w:t>
      </w:r>
    </w:p>
    <w:p w14:paraId="3F997649">
      <w:pPr>
        <w:pStyle w:val="2"/>
        <w:bidi w:val="0"/>
        <w:rPr>
          <w:rFonts w:hint="default"/>
        </w:rPr>
      </w:pPr>
      <w:bookmarkStart w:id="150" w:name="_Toc31360"/>
      <w:r>
        <w:rPr>
          <w:rFonts w:hint="default"/>
        </w:rPr>
        <w:t>第</w:t>
      </w:r>
      <w:r>
        <w:rPr>
          <w:rFonts w:hint="eastAsia"/>
          <w:lang w:val="en-US" w:eastAsia="zh-CN"/>
        </w:rPr>
        <w:t>八</w:t>
      </w:r>
      <w:r>
        <w:rPr>
          <w:rFonts w:hint="default"/>
        </w:rPr>
        <w:t>章</w:t>
      </w:r>
      <w:r>
        <w:rPr>
          <w:rFonts w:hint="default"/>
          <w:lang w:val="en-US" w:eastAsia="zh-CN"/>
        </w:rPr>
        <w:t xml:space="preserve"> </w:t>
      </w:r>
      <w:r>
        <w:rPr>
          <w:rFonts w:hint="default"/>
        </w:rPr>
        <w:t>附则</w:t>
      </w:r>
      <w:bookmarkEnd w:id="131"/>
      <w:bookmarkEnd w:id="150"/>
    </w:p>
    <w:p w14:paraId="29EBCEA2">
      <w:pPr>
        <w:pStyle w:val="3"/>
        <w:bidi w:val="0"/>
        <w:rPr>
          <w:rFonts w:hint="default"/>
          <w:lang w:val="en-US" w:eastAsia="zh-CN"/>
        </w:rPr>
      </w:pPr>
      <w:bookmarkStart w:id="151" w:name="_Toc14516"/>
      <w:bookmarkStart w:id="152" w:name="_Toc15421"/>
      <w:r>
        <w:rPr>
          <w:rFonts w:hint="eastAsia"/>
          <w:lang w:val="en-US" w:eastAsia="zh-CN"/>
        </w:rPr>
        <w:t>8</w:t>
      </w:r>
      <w:r>
        <w:rPr>
          <w:rFonts w:hint="default"/>
          <w:lang w:val="en-US" w:eastAsia="zh-CN"/>
        </w:rPr>
        <w:t>.1 名词术语</w:t>
      </w:r>
      <w:bookmarkEnd w:id="151"/>
      <w:bookmarkEnd w:id="152"/>
      <w:r>
        <w:rPr>
          <w:rFonts w:hint="default"/>
          <w:lang w:val="en-US" w:eastAsia="zh-CN"/>
        </w:rPr>
        <w:t xml:space="preserve"> </w:t>
      </w:r>
    </w:p>
    <w:p w14:paraId="7CA86079">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集中式饮用水水源地：进入输水管网送到用户和具有一定取水规模（供水人口一般大于1000人</w:t>
      </w:r>
      <w:r>
        <w:rPr>
          <w:rFonts w:hint="eastAsia" w:cs="Times New Roman"/>
          <w:sz w:val="28"/>
          <w:szCs w:val="28"/>
          <w:lang w:eastAsia="zh-CN"/>
        </w:rPr>
        <w:t>）</w:t>
      </w:r>
      <w:r>
        <w:rPr>
          <w:rFonts w:hint="default" w:ascii="Times New Roman" w:hAnsi="Times New Roman" w:eastAsia="仿宋" w:cs="Times New Roman"/>
          <w:sz w:val="28"/>
          <w:szCs w:val="28"/>
        </w:rPr>
        <w:t>的在用、备用和规划水源地。依据取水区域不同，集中式饮用水水源地可分为地表水饮用水水源地和地下水饮用水水源地；依据取水口所在水体类型的不同，地表水饮用水水源地可分为河流型饮用水水源地和湖泊、水库型饮用水水源地。</w:t>
      </w:r>
    </w:p>
    <w:p w14:paraId="0E352D63">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饮用水水源保护区：指为防止饮用水水源地污染、保证水源水质而划定，并要求加以特殊保护的一定范围的水域和陆域。</w:t>
      </w:r>
    </w:p>
    <w:p w14:paraId="607149A4">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饮用水水源保护区分为一级保护区和二级保护区，必要时可在保护区外划分准保护区。</w:t>
      </w:r>
    </w:p>
    <w:p w14:paraId="593260FC">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饮用水水源地突发环境事件：指由于污染物排放或自然灾害、生产安全事故、交通运输事故等因素，导致水源地风险物质进入水源保护区或其上游的连接水体，突然造成或可能造成水源地水质超标，影响或可能影响饮用水供水单位（以下简称供水单位）正常取水，危及公众身体健康和财产安全，需要采取紧急措施予以应对的事件。</w:t>
      </w:r>
    </w:p>
    <w:p w14:paraId="0CB345AA">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水质超标：指水源地水质超过《地下水质量标准》规定的Ⅲ类水质标准或标准限值的要求。</w:t>
      </w:r>
    </w:p>
    <w:p w14:paraId="6FB86277">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危险化学品：指具有毒害、腐蚀、爆炸、燃烧、助燃等性质，对人体、设施、环境具有危害的剧毒化学品和其他化学品。</w:t>
      </w:r>
    </w:p>
    <w:p w14:paraId="087F8004">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危险废物：列入国家危险废物名录或者根据国家规定的危险废物鉴别标准和鉴别方法认定的具有危险特性的废物。具有下列情形之一的</w:t>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HYPERLINK "https://baike.baidu.com/item/%E5%9B%BA%E4%BD%93%E5%BA%9F%E7%89%A9" \h </w:instrText>
      </w:r>
      <w:r>
        <w:rPr>
          <w:rFonts w:hint="default" w:ascii="Times New Roman" w:hAnsi="Times New Roman" w:eastAsia="仿宋" w:cs="Times New Roman"/>
          <w:sz w:val="28"/>
          <w:szCs w:val="28"/>
        </w:rPr>
        <w:fldChar w:fldCharType="separate"/>
      </w:r>
      <w:r>
        <w:rPr>
          <w:rFonts w:hint="default" w:ascii="Times New Roman" w:hAnsi="Times New Roman" w:eastAsia="仿宋" w:cs="Times New Roman"/>
          <w:sz w:val="28"/>
          <w:szCs w:val="28"/>
        </w:rPr>
        <w:t>固体废</w:t>
      </w:r>
      <w:r>
        <w:rPr>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HYPERLINK "https://baike.baidu.com/item/%E5%9B%BA%E4%BD%93%E5%BA%9F%E7%89%A9" \h </w:instrText>
      </w:r>
      <w:r>
        <w:rPr>
          <w:rFonts w:hint="default" w:ascii="Times New Roman" w:hAnsi="Times New Roman" w:eastAsia="仿宋" w:cs="Times New Roman"/>
          <w:sz w:val="28"/>
          <w:szCs w:val="28"/>
        </w:rPr>
        <w:fldChar w:fldCharType="separate"/>
      </w:r>
      <w:r>
        <w:rPr>
          <w:rFonts w:hint="default" w:ascii="Times New Roman" w:hAnsi="Times New Roman" w:eastAsia="仿宋" w:cs="Times New Roman"/>
          <w:sz w:val="28"/>
          <w:szCs w:val="28"/>
        </w:rPr>
        <w:t>物</w:t>
      </w:r>
      <w:r>
        <w:rPr>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HYPERLINK "https://baike.baidu.com/item/%E5%9B%BA%E4%BD%93%E5%BA%9F%E7%89%A9" \h </w:instrText>
      </w:r>
      <w:r>
        <w:rPr>
          <w:rFonts w:hint="default" w:ascii="Times New Roman" w:hAnsi="Times New Roman" w:eastAsia="仿宋" w:cs="Times New Roman"/>
          <w:sz w:val="28"/>
          <w:szCs w:val="28"/>
        </w:rPr>
        <w:fldChar w:fldCharType="separate"/>
      </w: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HYPERLINK "https://baike.baidu.com/item/%E5%9B%BA%E4%BD%93%E5%BA%9F%E7%89%A9" \h </w:instrText>
      </w:r>
      <w:r>
        <w:rPr>
          <w:rFonts w:hint="default" w:ascii="Times New Roman" w:hAnsi="Times New Roman" w:eastAsia="仿宋" w:cs="Times New Roman"/>
          <w:sz w:val="28"/>
          <w:szCs w:val="28"/>
        </w:rPr>
        <w:fldChar w:fldCharType="separate"/>
      </w:r>
      <w:r>
        <w:rPr>
          <w:rFonts w:hint="default" w:ascii="Times New Roman" w:hAnsi="Times New Roman" w:eastAsia="仿宋" w:cs="Times New Roman"/>
          <w:sz w:val="28"/>
          <w:szCs w:val="28"/>
        </w:rPr>
        <w:t>包</w:t>
      </w:r>
      <w:r>
        <w:rPr>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t>括液态废物），列入国家危险废物名录：</w:t>
      </w:r>
    </w:p>
    <w:p w14:paraId="188B2F10">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一</w:t>
      </w:r>
      <w:r>
        <w:rPr>
          <w:rFonts w:hint="default" w:ascii="Times New Roman" w:hAnsi="Times New Roman" w:eastAsia="仿宋" w:cs="Times New Roman"/>
          <w:sz w:val="28"/>
          <w:szCs w:val="28"/>
        </w:rPr>
        <w:t>）具有</w:t>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HYPERLINK "https://baike.baidu.com/item/%E8%85%90%E8%9A%80%E6%80%A7" \h </w:instrText>
      </w:r>
      <w:r>
        <w:rPr>
          <w:rFonts w:hint="default" w:ascii="Times New Roman" w:hAnsi="Times New Roman" w:eastAsia="仿宋" w:cs="Times New Roman"/>
          <w:sz w:val="28"/>
          <w:szCs w:val="28"/>
        </w:rPr>
        <w:fldChar w:fldCharType="separate"/>
      </w:r>
      <w:r>
        <w:rPr>
          <w:rFonts w:hint="default" w:ascii="Times New Roman" w:hAnsi="Times New Roman" w:eastAsia="仿宋" w:cs="Times New Roman"/>
          <w:sz w:val="28"/>
          <w:szCs w:val="28"/>
        </w:rPr>
        <w:t>腐蚀性、</w:t>
      </w:r>
      <w:r>
        <w:rPr>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t>毒性</w:t>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HYPERLINK "https://baike.baidu.com/item/%E6%98%93%E7%87%83%E6%80%A7" \h </w:instrText>
      </w:r>
      <w:r>
        <w:rPr>
          <w:rFonts w:hint="default" w:ascii="Times New Roman" w:hAnsi="Times New Roman" w:eastAsia="仿宋" w:cs="Times New Roman"/>
          <w:sz w:val="28"/>
          <w:szCs w:val="28"/>
        </w:rPr>
        <w:fldChar w:fldCharType="separate"/>
      </w: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HYPERLINK "https://baike.baidu.com/item/%E6%98%93%E7%87%83%E6%80%A7" \h </w:instrText>
      </w:r>
      <w:r>
        <w:rPr>
          <w:rFonts w:hint="default" w:ascii="Times New Roman" w:hAnsi="Times New Roman" w:eastAsia="仿宋" w:cs="Times New Roman"/>
          <w:sz w:val="28"/>
          <w:szCs w:val="28"/>
        </w:rPr>
        <w:fldChar w:fldCharType="separate"/>
      </w:r>
      <w:r>
        <w:rPr>
          <w:rFonts w:hint="default" w:ascii="Times New Roman" w:hAnsi="Times New Roman" w:eastAsia="仿宋" w:cs="Times New Roman"/>
          <w:sz w:val="28"/>
          <w:szCs w:val="28"/>
        </w:rPr>
        <w:t>易燃性、</w:t>
      </w:r>
      <w:r>
        <w:rPr>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t>反应性或者感染性等一种或者几种危险特性的；</w:t>
      </w:r>
    </w:p>
    <w:p w14:paraId="457F3422">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二</w:t>
      </w:r>
      <w:r>
        <w:rPr>
          <w:rFonts w:hint="default" w:ascii="Times New Roman" w:hAnsi="Times New Roman" w:eastAsia="仿宋" w:cs="Times New Roman"/>
          <w:sz w:val="28"/>
          <w:szCs w:val="28"/>
        </w:rPr>
        <w:t>）不排除具有危险特性，可能对环境或者人体健康造成有害影响，需要按照危险废物进行管理的。</w:t>
      </w:r>
    </w:p>
    <w:p w14:paraId="013C5DB5">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环境风险源：指可能发生突发环境事件并对周边环境造成危害的环境因素，环境风险源的危险程度由所涉及的危险物质的特性(物质危险性和物质的量)、危险物质存在的安全状态、所处的周边环境状况三个要素决定。</w:t>
      </w:r>
    </w:p>
    <w:p w14:paraId="235547AB">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生物性污染：是指病原微生物排入水体后，直接成间接地使人感染或传染各种疾病。衡量指标主要有大肠菌类指数、细菌总数等。</w:t>
      </w:r>
    </w:p>
    <w:p w14:paraId="5E6DB5D1">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化学性污染：由于化学物质（化学品）进入环境后造成的环境污染。即因化学污染物引起的环境污染。</w:t>
      </w:r>
    </w:p>
    <w:p w14:paraId="2885E450">
      <w:pPr>
        <w:pStyle w:val="3"/>
        <w:bidi w:val="0"/>
        <w:rPr>
          <w:rFonts w:hint="default"/>
          <w:lang w:val="en-US" w:eastAsia="zh-CN"/>
        </w:rPr>
      </w:pPr>
      <w:bookmarkStart w:id="153" w:name="_Toc2049"/>
      <w:bookmarkStart w:id="154" w:name="_Toc7567"/>
      <w:r>
        <w:rPr>
          <w:rFonts w:hint="eastAsia"/>
          <w:lang w:val="en-US" w:eastAsia="zh-CN"/>
        </w:rPr>
        <w:t>8</w:t>
      </w:r>
      <w:r>
        <w:rPr>
          <w:rFonts w:hint="default"/>
          <w:lang w:val="en-US" w:eastAsia="zh-CN"/>
        </w:rPr>
        <w:t>.2预案制定和解释权属</w:t>
      </w:r>
      <w:bookmarkEnd w:id="153"/>
      <w:bookmarkEnd w:id="154"/>
      <w:r>
        <w:rPr>
          <w:rFonts w:hint="default"/>
          <w:lang w:val="en-US" w:eastAsia="zh-CN"/>
        </w:rPr>
        <w:t xml:space="preserve"> </w:t>
      </w:r>
    </w:p>
    <w:p w14:paraId="7C08452E">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本预案由</w:t>
      </w:r>
      <w:r>
        <w:rPr>
          <w:rFonts w:hint="eastAsia" w:cs="Times New Roman"/>
          <w:sz w:val="28"/>
          <w:szCs w:val="28"/>
          <w:lang w:val="en-US" w:eastAsia="zh-CN"/>
        </w:rPr>
        <w:t>吕梁</w:t>
      </w:r>
      <w:r>
        <w:rPr>
          <w:rFonts w:hint="default" w:ascii="Times New Roman" w:hAnsi="Times New Roman" w:eastAsia="仿宋" w:cs="Times New Roman"/>
          <w:sz w:val="28"/>
          <w:szCs w:val="28"/>
        </w:rPr>
        <w:t>市生态环境局</w:t>
      </w:r>
      <w:r>
        <w:rPr>
          <w:rFonts w:hint="eastAsia" w:ascii="Times New Roman" w:hAnsi="Times New Roman" w:eastAsia="仿宋" w:cs="Times New Roman"/>
          <w:sz w:val="28"/>
          <w:szCs w:val="28"/>
          <w:lang w:eastAsia="zh-CN"/>
        </w:rPr>
        <w:t>汾阳</w:t>
      </w:r>
      <w:r>
        <w:rPr>
          <w:rFonts w:hint="default" w:ascii="Times New Roman" w:hAnsi="Times New Roman" w:eastAsia="仿宋" w:cs="Times New Roman"/>
          <w:sz w:val="28"/>
          <w:szCs w:val="28"/>
        </w:rPr>
        <w:t>分局负责解释。</w:t>
      </w:r>
    </w:p>
    <w:p w14:paraId="3D0F7E55">
      <w:pPr>
        <w:pStyle w:val="3"/>
        <w:bidi w:val="0"/>
        <w:rPr>
          <w:rFonts w:hint="default"/>
          <w:lang w:val="en-US" w:eastAsia="zh-CN"/>
        </w:rPr>
      </w:pPr>
      <w:bookmarkStart w:id="155" w:name="_Toc30674"/>
      <w:bookmarkStart w:id="156" w:name="_Toc3658"/>
      <w:r>
        <w:rPr>
          <w:rFonts w:hint="eastAsia"/>
          <w:lang w:val="en-US" w:eastAsia="zh-CN"/>
        </w:rPr>
        <w:t>8</w:t>
      </w:r>
      <w:r>
        <w:rPr>
          <w:rFonts w:hint="default"/>
          <w:lang w:val="en-US" w:eastAsia="zh-CN"/>
        </w:rPr>
        <w:t>.3预案的评估与修订</w:t>
      </w:r>
      <w:bookmarkEnd w:id="155"/>
      <w:bookmarkEnd w:id="156"/>
    </w:p>
    <w:p w14:paraId="54847D0A">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 xml:space="preserve">人民政府建立本应急预案定期评估制度，重点分析应急预案内容的针对性、实用性和可操作性等，并根据评估情况提出修订应急预案意见，实现应急预案的动态更新优化。本预案原则上每 </w:t>
      </w:r>
      <w:r>
        <w:rPr>
          <w:rFonts w:hint="eastAsia"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 xml:space="preserve"> 年评估一次。应急预案的评估工作，可以委托第三方专业机构组织实施。</w:t>
      </w:r>
    </w:p>
    <w:p w14:paraId="5F725AF4">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有下列情形之一的，应当及时修订本预案：</w:t>
      </w:r>
    </w:p>
    <w:p w14:paraId="62D7754B">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有关法律、行政法规、规章、标准、上位预案中的有关规定发生变化的；</w:t>
      </w:r>
    </w:p>
    <w:p w14:paraId="7A571BFC">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应急指挥机构及其职责发生重大调整的；</w:t>
      </w:r>
    </w:p>
    <w:p w14:paraId="681C057D">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在突发事件实际应对和应急演练中发现问题需要作出重大调整的；</w:t>
      </w:r>
    </w:p>
    <w:p w14:paraId="5B2468BA">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rPr>
        <w:t>水源地发生变更；</w:t>
      </w:r>
    </w:p>
    <w:p w14:paraId="70520585">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5、</w:t>
      </w:r>
      <w:r>
        <w:rPr>
          <w:rFonts w:hint="default" w:ascii="Times New Roman" w:hAnsi="Times New Roman" w:eastAsia="仿宋" w:cs="Times New Roman"/>
          <w:sz w:val="28"/>
          <w:szCs w:val="28"/>
        </w:rPr>
        <w:t>周围环境或者环境敏感点发生变化的；</w:t>
      </w:r>
    </w:p>
    <w:p w14:paraId="497FE9D9">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6、</w:t>
      </w:r>
      <w:r>
        <w:rPr>
          <w:rFonts w:hint="default" w:ascii="Times New Roman" w:hAnsi="Times New Roman" w:eastAsia="仿宋" w:cs="Times New Roman"/>
          <w:sz w:val="28"/>
          <w:szCs w:val="28"/>
        </w:rPr>
        <w:t>其他需要修订预案的原因；</w:t>
      </w:r>
    </w:p>
    <w:p w14:paraId="677FD9F6">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预案修订后，需经</w:t>
      </w:r>
      <w:r>
        <w:rPr>
          <w:rFonts w:hint="eastAsia" w:cs="Times New Roman"/>
          <w:sz w:val="28"/>
          <w:szCs w:val="28"/>
          <w:lang w:eastAsia="zh-CN"/>
        </w:rPr>
        <w:t>汾阳市人民政府</w:t>
      </w:r>
      <w:r>
        <w:rPr>
          <w:rFonts w:hint="default" w:ascii="Times New Roman" w:hAnsi="Times New Roman" w:eastAsia="仿宋" w:cs="Times New Roman"/>
          <w:sz w:val="28"/>
          <w:szCs w:val="28"/>
        </w:rPr>
        <w:t>批准发布，并告知与本预案相关的机构和人员。</w:t>
      </w:r>
    </w:p>
    <w:p w14:paraId="4C5D469F">
      <w:pPr>
        <w:pStyle w:val="3"/>
        <w:bidi w:val="0"/>
        <w:rPr>
          <w:rFonts w:hint="default"/>
          <w:lang w:val="en-US" w:eastAsia="zh-CN"/>
        </w:rPr>
      </w:pPr>
      <w:bookmarkStart w:id="157" w:name="_Toc27956"/>
      <w:bookmarkStart w:id="158" w:name="_Toc23783"/>
      <w:r>
        <w:rPr>
          <w:rFonts w:hint="eastAsia"/>
          <w:lang w:val="en-US" w:eastAsia="zh-CN"/>
        </w:rPr>
        <w:t>8</w:t>
      </w:r>
      <w:r>
        <w:rPr>
          <w:rFonts w:hint="default"/>
          <w:lang w:val="en-US" w:eastAsia="zh-CN"/>
        </w:rPr>
        <w:t>.4 实施日期</w:t>
      </w:r>
      <w:bookmarkEnd w:id="157"/>
      <w:bookmarkEnd w:id="158"/>
    </w:p>
    <w:p w14:paraId="26FA2140">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sectPr>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pPr>
      <w:r>
        <w:rPr>
          <w:rFonts w:hint="default" w:ascii="Times New Roman" w:hAnsi="Times New Roman" w:eastAsia="仿宋" w:cs="Times New Roman"/>
          <w:sz w:val="28"/>
          <w:szCs w:val="28"/>
        </w:rPr>
        <w:t>本预案自发布之日起实施。</w:t>
      </w:r>
    </w:p>
    <w:p w14:paraId="55DDA90F">
      <w:pPr>
        <w:pStyle w:val="3"/>
        <w:bidi w:val="0"/>
        <w:rPr>
          <w:rFonts w:hint="eastAsia"/>
          <w:lang w:val="en-US" w:eastAsia="zh-CN"/>
        </w:rPr>
      </w:pPr>
      <w:bookmarkStart w:id="159" w:name="_Toc26364"/>
      <w:bookmarkStart w:id="160" w:name="_Toc21777"/>
      <w:r>
        <w:rPr>
          <w:rFonts w:hint="eastAsia"/>
          <w:lang w:val="en-US" w:eastAsia="zh-CN"/>
        </w:rPr>
        <w:t>附图1：汾阳市地理位置区域图</w:t>
      </w:r>
      <w:bookmarkEnd w:id="159"/>
      <w:bookmarkEnd w:id="160"/>
    </w:p>
    <w:p w14:paraId="27BE02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sectPr>
          <w:pgSz w:w="16838" w:h="11906" w:orient="landscape"/>
          <w:pgMar w:top="1440" w:right="1800" w:bottom="1440" w:left="1800" w:header="851" w:footer="794" w:gutter="0"/>
          <w:pgBorders>
            <w:top w:val="none" w:sz="0" w:space="0"/>
            <w:left w:val="none" w:sz="0" w:space="0"/>
            <w:bottom w:val="none" w:sz="0" w:space="0"/>
            <w:right w:val="none" w:sz="0" w:space="0"/>
          </w:pgBorders>
          <w:pgNumType w:fmt="decimal"/>
          <w:cols w:space="720" w:num="1"/>
          <w:rtlGutter w:val="0"/>
          <w:docGrid w:type="lines" w:linePitch="312" w:charSpace="0"/>
        </w:sectPr>
      </w:pPr>
      <w:r>
        <w:rPr>
          <w:highlight w:val="none"/>
        </w:rPr>
        <w:drawing>
          <wp:inline distT="0" distB="0" distL="114300" distR="114300">
            <wp:extent cx="7164705" cy="4916170"/>
            <wp:effectExtent l="0" t="0" r="17145" b="1778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8"/>
                    <a:stretch>
                      <a:fillRect/>
                    </a:stretch>
                  </pic:blipFill>
                  <pic:spPr>
                    <a:xfrm>
                      <a:off x="0" y="0"/>
                      <a:ext cx="7164705" cy="4916170"/>
                    </a:xfrm>
                    <a:prstGeom prst="rect">
                      <a:avLst/>
                    </a:prstGeom>
                    <a:noFill/>
                    <a:ln>
                      <a:noFill/>
                    </a:ln>
                  </pic:spPr>
                </pic:pic>
              </a:graphicData>
            </a:graphic>
          </wp:inline>
        </w:drawing>
      </w:r>
    </w:p>
    <w:p w14:paraId="556FD926">
      <w:pPr>
        <w:pStyle w:val="3"/>
        <w:bidi w:val="0"/>
        <w:rPr>
          <w:rFonts w:hint="eastAsia"/>
          <w:lang w:val="en-US" w:eastAsia="zh-CN"/>
        </w:rPr>
      </w:pPr>
      <w:bookmarkStart w:id="161" w:name="_Toc22510"/>
      <w:bookmarkStart w:id="162" w:name="_Toc31142"/>
      <w:r>
        <w:rPr>
          <w:rFonts w:hint="eastAsia"/>
          <w:lang w:val="en-US" w:eastAsia="zh-CN"/>
        </w:rPr>
        <w:t>附图2：汾阳市地表水系图</w:t>
      </w:r>
      <w:bookmarkEnd w:id="161"/>
      <w:bookmarkEnd w:id="162"/>
    </w:p>
    <w:p w14:paraId="4E9B53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仿宋"/>
          <w:lang w:eastAsia="zh-CN"/>
        </w:rPr>
        <w:sectPr>
          <w:pgSz w:w="16838" w:h="11906" w:orient="landscape"/>
          <w:pgMar w:top="1440" w:right="1800" w:bottom="1440" w:left="1800" w:header="851" w:footer="794" w:gutter="0"/>
          <w:pgBorders>
            <w:top w:val="none" w:sz="0" w:space="0"/>
            <w:left w:val="none" w:sz="0" w:space="0"/>
            <w:bottom w:val="none" w:sz="0" w:space="0"/>
            <w:right w:val="none" w:sz="0" w:space="0"/>
          </w:pgBorders>
          <w:pgNumType w:fmt="decimal"/>
          <w:cols w:space="720" w:num="1"/>
          <w:rtlGutter w:val="0"/>
          <w:docGrid w:type="lines" w:linePitch="312" w:charSpace="0"/>
        </w:sectPr>
      </w:pPr>
      <w:r>
        <w:rPr>
          <w:rFonts w:hint="eastAsia" w:eastAsia="仿宋"/>
          <w:highlight w:val="none"/>
          <w:lang w:eastAsia="zh-CN"/>
        </w:rPr>
        <w:drawing>
          <wp:inline distT="0" distB="0" distL="114300" distR="114300">
            <wp:extent cx="6765925" cy="4910455"/>
            <wp:effectExtent l="0" t="0" r="15875" b="4445"/>
            <wp:docPr id="8" name="图片 4" descr="4fff533313b89b21554b3edfde0858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4fff533313b89b21554b3edfde0858dc"/>
                    <pic:cNvPicPr>
                      <a:picLocks noChangeAspect="1"/>
                    </pic:cNvPicPr>
                  </pic:nvPicPr>
                  <pic:blipFill>
                    <a:blip r:embed="rId29"/>
                    <a:srcRect l="3261" t="1462" r="2187" b="3389"/>
                    <a:stretch>
                      <a:fillRect/>
                    </a:stretch>
                  </pic:blipFill>
                  <pic:spPr>
                    <a:xfrm>
                      <a:off x="0" y="0"/>
                      <a:ext cx="6765925" cy="4910455"/>
                    </a:xfrm>
                    <a:prstGeom prst="rect">
                      <a:avLst/>
                    </a:prstGeom>
                    <a:noFill/>
                    <a:ln>
                      <a:noFill/>
                    </a:ln>
                  </pic:spPr>
                </pic:pic>
              </a:graphicData>
            </a:graphic>
          </wp:inline>
        </w:drawing>
      </w:r>
    </w:p>
    <w:p w14:paraId="4CCFDC0F">
      <w:pPr>
        <w:pStyle w:val="3"/>
        <w:bidi w:val="0"/>
        <w:rPr>
          <w:rFonts w:hint="eastAsia"/>
          <w:lang w:val="en-US" w:eastAsia="zh-CN"/>
        </w:rPr>
      </w:pPr>
      <w:bookmarkStart w:id="163" w:name="_Toc26102"/>
      <w:r>
        <w:rPr>
          <w:rFonts w:hint="eastAsia"/>
          <w:lang w:val="en-US" w:eastAsia="zh-CN"/>
        </w:rPr>
        <w:t>附件1：应急组织体系图</w:t>
      </w:r>
      <w:bookmarkEnd w:id="163"/>
    </w:p>
    <w:p w14:paraId="0A2F1FB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lang w:val="en-US" w:eastAsia="zh-CN"/>
        </w:rPr>
        <w:sectPr>
          <w:pgSz w:w="11906" w:h="16838"/>
          <w:pgMar w:top="1800" w:right="1440" w:bottom="1800" w:left="1440" w:header="851" w:footer="794" w:gutter="0"/>
          <w:pgBorders>
            <w:top w:val="none" w:sz="0" w:space="0"/>
            <w:left w:val="none" w:sz="0" w:space="0"/>
            <w:bottom w:val="none" w:sz="0" w:space="0"/>
            <w:right w:val="none" w:sz="0" w:space="0"/>
          </w:pgBorders>
          <w:pgNumType w:fmt="decimal"/>
          <w:cols w:space="720" w:num="1"/>
          <w:rtlGutter w:val="0"/>
          <w:docGrid w:type="lines" w:linePitch="312" w:charSpace="0"/>
        </w:sectPr>
      </w:pPr>
      <w:r>
        <w:drawing>
          <wp:inline distT="0" distB="0" distL="114300" distR="114300">
            <wp:extent cx="5726430" cy="6098540"/>
            <wp:effectExtent l="0" t="0" r="7620" b="165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0"/>
                    <a:stretch>
                      <a:fillRect/>
                    </a:stretch>
                  </pic:blipFill>
                  <pic:spPr>
                    <a:xfrm>
                      <a:off x="0" y="0"/>
                      <a:ext cx="5726430" cy="6098540"/>
                    </a:xfrm>
                    <a:prstGeom prst="rect">
                      <a:avLst/>
                    </a:prstGeom>
                    <a:noFill/>
                    <a:ln>
                      <a:noFill/>
                    </a:ln>
                  </pic:spPr>
                </pic:pic>
              </a:graphicData>
            </a:graphic>
          </wp:inline>
        </w:drawing>
      </w:r>
    </w:p>
    <w:p w14:paraId="5BDBA675">
      <w:pPr>
        <w:pStyle w:val="3"/>
        <w:bidi w:val="0"/>
        <w:rPr>
          <w:rFonts w:hint="default"/>
          <w:lang w:val="en-US" w:eastAsia="zh-CN"/>
        </w:rPr>
      </w:pPr>
      <w:bookmarkStart w:id="164" w:name="_Toc11766"/>
      <w:bookmarkStart w:id="165" w:name="_Toc17751"/>
      <w:r>
        <w:rPr>
          <w:rFonts w:hint="default"/>
          <w:lang w:val="en-US" w:eastAsia="zh-CN"/>
        </w:rPr>
        <w:t>附件2：饮用水水源地突发环境事件应急响应工作路线图</w:t>
      </w:r>
      <w:bookmarkEnd w:id="164"/>
      <w:bookmarkEnd w:id="165"/>
    </w:p>
    <w:p w14:paraId="2C136055">
      <w:pPr>
        <w:keepNext w:val="0"/>
        <w:keepLines w:val="0"/>
        <w:pageBreakBefore w:val="0"/>
        <w:widowControl w:val="0"/>
        <w:kinsoku/>
        <w:wordWrap/>
        <w:overflowPunct/>
        <w:topLinePunct w:val="0"/>
        <w:autoSpaceDE/>
        <w:autoSpaceDN/>
        <w:bidi w:val="0"/>
        <w:adjustRightInd/>
        <w:snapToGrid/>
        <w:spacing w:after="0" w:line="240" w:lineRule="auto"/>
        <w:ind w:left="-420" w:leftChars="-150" w:right="0" w:firstLine="0" w:firstLineChars="0"/>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drawing>
          <wp:inline distT="0" distB="0" distL="114300" distR="114300">
            <wp:extent cx="5525770" cy="6449695"/>
            <wp:effectExtent l="0" t="0" r="17780"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5525770" cy="6449695"/>
                    </a:xfrm>
                    <a:prstGeom prst="rect">
                      <a:avLst/>
                    </a:prstGeom>
                    <a:noFill/>
                    <a:ln>
                      <a:noFill/>
                    </a:ln>
                  </pic:spPr>
                </pic:pic>
              </a:graphicData>
            </a:graphic>
          </wp:inline>
        </w:drawing>
      </w:r>
    </w:p>
    <w:p w14:paraId="3B39F728">
      <w:pPr>
        <w:keepNext w:val="0"/>
        <w:keepLines w:val="0"/>
        <w:pageBreakBefore w:val="0"/>
        <w:widowControl w:val="0"/>
        <w:kinsoku/>
        <w:overflowPunct/>
        <w:topLinePunct w:val="0"/>
        <w:bidi w:val="0"/>
        <w:spacing w:line="360" w:lineRule="auto"/>
        <w:rPr>
          <w:rFonts w:hint="default" w:ascii="Times New Roman" w:hAnsi="Times New Roman" w:eastAsia="仿宋" w:cs="Times New Roman"/>
          <w:sz w:val="28"/>
          <w:szCs w:val="28"/>
        </w:rPr>
        <w:sectPr>
          <w:headerReference r:id="rId9" w:type="default"/>
          <w:footerReference r:id="rId10" w:type="default"/>
          <w:footerReference r:id="rId11" w:type="even"/>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pPr>
      <w:r>
        <w:rPr>
          <w:rFonts w:hint="default" w:ascii="Times New Roman" w:hAnsi="Times New Roman" w:eastAsia="仿宋" w:cs="Times New Roman"/>
          <w:sz w:val="28"/>
          <w:szCs w:val="28"/>
        </w:rPr>
        <w:br w:type="page"/>
      </w:r>
    </w:p>
    <w:p w14:paraId="7AD33CCE">
      <w:pPr>
        <w:pStyle w:val="3"/>
        <w:bidi w:val="0"/>
        <w:rPr>
          <w:rFonts w:hint="default"/>
          <w:lang w:val="en-US" w:eastAsia="zh-CN"/>
        </w:rPr>
      </w:pPr>
      <w:bookmarkStart w:id="166" w:name="_Toc414"/>
      <w:bookmarkStart w:id="167" w:name="_Toc553"/>
      <w:r>
        <w:rPr>
          <w:rFonts w:hint="default"/>
          <w:lang w:val="en-US" w:eastAsia="zh-CN"/>
        </w:rPr>
        <w:t>附件</w:t>
      </w:r>
      <w:r>
        <w:rPr>
          <w:rFonts w:hint="eastAsia"/>
          <w:lang w:val="en-US" w:eastAsia="zh-CN"/>
        </w:rPr>
        <w:t>3</w:t>
      </w:r>
      <w:r>
        <w:rPr>
          <w:rFonts w:hint="default"/>
          <w:lang w:val="en-US" w:eastAsia="zh-CN"/>
        </w:rPr>
        <w:t>：培训、宣传与演练</w:t>
      </w:r>
      <w:bookmarkEnd w:id="166"/>
      <w:bookmarkEnd w:id="167"/>
    </w:p>
    <w:p w14:paraId="4B30A3C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培训记录表（样表）</w:t>
      </w:r>
    </w:p>
    <w:tbl>
      <w:tblPr>
        <w:tblStyle w:val="26"/>
        <w:tblW w:w="87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49" w:type="dxa"/>
          <w:left w:w="108" w:type="dxa"/>
          <w:bottom w:w="0" w:type="dxa"/>
          <w:right w:w="115" w:type="dxa"/>
        </w:tblCellMar>
      </w:tblPr>
      <w:tblGrid>
        <w:gridCol w:w="1450"/>
        <w:gridCol w:w="1453"/>
        <w:gridCol w:w="1337"/>
        <w:gridCol w:w="115"/>
        <w:gridCol w:w="1452"/>
        <w:gridCol w:w="1453"/>
        <w:gridCol w:w="1454"/>
      </w:tblGrid>
      <w:tr w14:paraId="01A53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9" w:type="dxa"/>
            <w:left w:w="108" w:type="dxa"/>
            <w:bottom w:w="0" w:type="dxa"/>
            <w:right w:w="115" w:type="dxa"/>
          </w:tblCellMar>
        </w:tblPrEx>
        <w:trPr>
          <w:trHeight w:val="626" w:hRule="atLeast"/>
          <w:jc w:val="center"/>
        </w:trPr>
        <w:tc>
          <w:tcPr>
            <w:tcW w:w="2903" w:type="dxa"/>
            <w:gridSpan w:val="2"/>
            <w:vAlign w:val="center"/>
          </w:tcPr>
          <w:p w14:paraId="4BE3DCE5">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培训目的：</w:t>
            </w:r>
          </w:p>
        </w:tc>
        <w:tc>
          <w:tcPr>
            <w:tcW w:w="1337" w:type="dxa"/>
            <w:vAlign w:val="center"/>
          </w:tcPr>
          <w:p w14:paraId="67743C0F">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仿宋" w:cs="Times New Roman"/>
                <w:sz w:val="24"/>
                <w:szCs w:val="24"/>
                <w:lang w:eastAsia="zh-CN"/>
              </w:rPr>
            </w:pPr>
          </w:p>
        </w:tc>
        <w:tc>
          <w:tcPr>
            <w:tcW w:w="3020" w:type="dxa"/>
            <w:gridSpan w:val="3"/>
            <w:vAlign w:val="center"/>
          </w:tcPr>
          <w:p w14:paraId="32672D25">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培训日期：</w:t>
            </w:r>
          </w:p>
        </w:tc>
        <w:tc>
          <w:tcPr>
            <w:tcW w:w="1454" w:type="dxa"/>
            <w:vAlign w:val="center"/>
          </w:tcPr>
          <w:p w14:paraId="45DF330A">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仿宋" w:cs="Times New Roman"/>
                <w:sz w:val="24"/>
                <w:szCs w:val="24"/>
                <w:lang w:eastAsia="zh-CN"/>
              </w:rPr>
            </w:pPr>
          </w:p>
        </w:tc>
      </w:tr>
      <w:tr w14:paraId="122CD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9" w:type="dxa"/>
            <w:left w:w="108" w:type="dxa"/>
            <w:bottom w:w="0" w:type="dxa"/>
            <w:right w:w="115" w:type="dxa"/>
          </w:tblCellMar>
        </w:tblPrEx>
        <w:trPr>
          <w:trHeight w:val="626" w:hRule="atLeast"/>
          <w:jc w:val="center"/>
        </w:trPr>
        <w:tc>
          <w:tcPr>
            <w:tcW w:w="2903" w:type="dxa"/>
            <w:gridSpan w:val="2"/>
            <w:vAlign w:val="center"/>
          </w:tcPr>
          <w:p w14:paraId="673E157A">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培训教师：</w:t>
            </w:r>
          </w:p>
        </w:tc>
        <w:tc>
          <w:tcPr>
            <w:tcW w:w="1337" w:type="dxa"/>
            <w:vAlign w:val="center"/>
          </w:tcPr>
          <w:p w14:paraId="547898F0">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仿宋" w:cs="Times New Roman"/>
                <w:sz w:val="24"/>
                <w:szCs w:val="24"/>
                <w:lang w:eastAsia="zh-CN"/>
              </w:rPr>
            </w:pPr>
          </w:p>
        </w:tc>
        <w:tc>
          <w:tcPr>
            <w:tcW w:w="3020" w:type="dxa"/>
            <w:gridSpan w:val="3"/>
            <w:vAlign w:val="center"/>
          </w:tcPr>
          <w:p w14:paraId="4377C7DE">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培训地点：</w:t>
            </w:r>
          </w:p>
        </w:tc>
        <w:tc>
          <w:tcPr>
            <w:tcW w:w="1454" w:type="dxa"/>
            <w:vAlign w:val="center"/>
          </w:tcPr>
          <w:p w14:paraId="6B21990A">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仿宋" w:cs="Times New Roman"/>
                <w:sz w:val="24"/>
                <w:szCs w:val="24"/>
                <w:lang w:eastAsia="zh-CN"/>
              </w:rPr>
            </w:pPr>
          </w:p>
        </w:tc>
      </w:tr>
      <w:tr w14:paraId="085C4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9" w:type="dxa"/>
            <w:left w:w="108" w:type="dxa"/>
            <w:bottom w:w="0" w:type="dxa"/>
            <w:right w:w="115" w:type="dxa"/>
          </w:tblCellMar>
        </w:tblPrEx>
        <w:trPr>
          <w:trHeight w:val="626" w:hRule="atLeast"/>
          <w:jc w:val="center"/>
        </w:trPr>
        <w:tc>
          <w:tcPr>
            <w:tcW w:w="2903" w:type="dxa"/>
            <w:gridSpan w:val="2"/>
            <w:vAlign w:val="center"/>
          </w:tcPr>
          <w:p w14:paraId="36BDBAD0">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组织部门：</w:t>
            </w:r>
          </w:p>
        </w:tc>
        <w:tc>
          <w:tcPr>
            <w:tcW w:w="1337" w:type="dxa"/>
            <w:vAlign w:val="center"/>
          </w:tcPr>
          <w:p w14:paraId="436F2F71">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仿宋" w:cs="Times New Roman"/>
                <w:sz w:val="24"/>
                <w:szCs w:val="24"/>
                <w:lang w:eastAsia="zh-CN"/>
              </w:rPr>
            </w:pPr>
          </w:p>
        </w:tc>
        <w:tc>
          <w:tcPr>
            <w:tcW w:w="3020" w:type="dxa"/>
            <w:gridSpan w:val="3"/>
            <w:vAlign w:val="center"/>
          </w:tcPr>
          <w:p w14:paraId="34232B9F">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负责人：</w:t>
            </w:r>
          </w:p>
        </w:tc>
        <w:tc>
          <w:tcPr>
            <w:tcW w:w="1454" w:type="dxa"/>
            <w:vAlign w:val="center"/>
          </w:tcPr>
          <w:p w14:paraId="24171154">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仿宋" w:cs="Times New Roman"/>
                <w:sz w:val="24"/>
                <w:szCs w:val="24"/>
                <w:lang w:eastAsia="zh-CN"/>
              </w:rPr>
            </w:pPr>
          </w:p>
        </w:tc>
      </w:tr>
      <w:tr w14:paraId="7C3A3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9" w:type="dxa"/>
            <w:left w:w="108" w:type="dxa"/>
            <w:bottom w:w="0" w:type="dxa"/>
            <w:right w:w="115" w:type="dxa"/>
          </w:tblCellMar>
        </w:tblPrEx>
        <w:trPr>
          <w:trHeight w:val="925" w:hRule="atLeast"/>
          <w:jc w:val="center"/>
        </w:trPr>
        <w:tc>
          <w:tcPr>
            <w:tcW w:w="2903" w:type="dxa"/>
            <w:gridSpan w:val="2"/>
            <w:vAlign w:val="center"/>
          </w:tcPr>
          <w:p w14:paraId="2D10561F">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培训摘要：</w:t>
            </w:r>
          </w:p>
        </w:tc>
        <w:tc>
          <w:tcPr>
            <w:tcW w:w="5811" w:type="dxa"/>
            <w:gridSpan w:val="5"/>
            <w:vAlign w:val="center"/>
          </w:tcPr>
          <w:p w14:paraId="3E852F78">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仿宋" w:cs="Times New Roman"/>
                <w:sz w:val="24"/>
                <w:szCs w:val="24"/>
                <w:lang w:eastAsia="zh-CN"/>
              </w:rPr>
            </w:pPr>
          </w:p>
        </w:tc>
      </w:tr>
      <w:tr w14:paraId="0E291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9" w:type="dxa"/>
            <w:left w:w="108" w:type="dxa"/>
            <w:bottom w:w="0" w:type="dxa"/>
            <w:right w:w="115" w:type="dxa"/>
          </w:tblCellMar>
        </w:tblPrEx>
        <w:trPr>
          <w:trHeight w:val="626" w:hRule="atLeast"/>
          <w:jc w:val="center"/>
        </w:trPr>
        <w:tc>
          <w:tcPr>
            <w:tcW w:w="8714" w:type="dxa"/>
            <w:gridSpan w:val="7"/>
            <w:vAlign w:val="center"/>
          </w:tcPr>
          <w:p w14:paraId="10268403">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培训参加人员签到记录</w:t>
            </w:r>
          </w:p>
        </w:tc>
      </w:tr>
      <w:tr w14:paraId="106F6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9" w:type="dxa"/>
            <w:left w:w="108" w:type="dxa"/>
            <w:bottom w:w="0" w:type="dxa"/>
            <w:right w:w="115" w:type="dxa"/>
          </w:tblCellMar>
        </w:tblPrEx>
        <w:trPr>
          <w:trHeight w:val="722" w:hRule="atLeast"/>
          <w:jc w:val="center"/>
        </w:trPr>
        <w:tc>
          <w:tcPr>
            <w:tcW w:w="1450" w:type="dxa"/>
            <w:vAlign w:val="center"/>
          </w:tcPr>
          <w:p w14:paraId="4CB4EAE1">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序号</w:t>
            </w:r>
          </w:p>
        </w:tc>
        <w:tc>
          <w:tcPr>
            <w:tcW w:w="1453" w:type="dxa"/>
            <w:vAlign w:val="center"/>
          </w:tcPr>
          <w:p w14:paraId="333F454C">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姓名</w:t>
            </w:r>
          </w:p>
        </w:tc>
        <w:tc>
          <w:tcPr>
            <w:tcW w:w="1452" w:type="dxa"/>
            <w:gridSpan w:val="2"/>
            <w:vAlign w:val="center"/>
          </w:tcPr>
          <w:p w14:paraId="0718E33E">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部门/队组</w:t>
            </w:r>
          </w:p>
        </w:tc>
        <w:tc>
          <w:tcPr>
            <w:tcW w:w="1452" w:type="dxa"/>
            <w:vAlign w:val="center"/>
          </w:tcPr>
          <w:p w14:paraId="4A63DF87">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岗位</w:t>
            </w:r>
          </w:p>
        </w:tc>
        <w:tc>
          <w:tcPr>
            <w:tcW w:w="1453" w:type="dxa"/>
            <w:vAlign w:val="center"/>
          </w:tcPr>
          <w:p w14:paraId="75D6DA9C">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上次培训时间</w:t>
            </w:r>
          </w:p>
        </w:tc>
        <w:tc>
          <w:tcPr>
            <w:tcW w:w="1454" w:type="dxa"/>
            <w:vAlign w:val="center"/>
          </w:tcPr>
          <w:p w14:paraId="2E225986">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备注</w:t>
            </w:r>
          </w:p>
        </w:tc>
      </w:tr>
      <w:tr w14:paraId="2F02A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9" w:type="dxa"/>
            <w:left w:w="108" w:type="dxa"/>
            <w:bottom w:w="0" w:type="dxa"/>
            <w:right w:w="115" w:type="dxa"/>
          </w:tblCellMar>
        </w:tblPrEx>
        <w:trPr>
          <w:trHeight w:val="680" w:hRule="atLeast"/>
          <w:jc w:val="center"/>
        </w:trPr>
        <w:tc>
          <w:tcPr>
            <w:tcW w:w="1450" w:type="dxa"/>
            <w:vAlign w:val="center"/>
          </w:tcPr>
          <w:p w14:paraId="6F5389A2">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仿宋" w:cs="Times New Roman"/>
                <w:sz w:val="24"/>
                <w:szCs w:val="24"/>
                <w:lang w:eastAsia="zh-CN"/>
              </w:rPr>
            </w:pPr>
          </w:p>
        </w:tc>
        <w:tc>
          <w:tcPr>
            <w:tcW w:w="1453" w:type="dxa"/>
            <w:vAlign w:val="center"/>
          </w:tcPr>
          <w:p w14:paraId="51A8FE76">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仿宋" w:cs="Times New Roman"/>
                <w:sz w:val="24"/>
                <w:szCs w:val="24"/>
                <w:lang w:eastAsia="zh-CN"/>
              </w:rPr>
            </w:pPr>
          </w:p>
        </w:tc>
        <w:tc>
          <w:tcPr>
            <w:tcW w:w="1452" w:type="dxa"/>
            <w:gridSpan w:val="2"/>
            <w:vAlign w:val="center"/>
          </w:tcPr>
          <w:p w14:paraId="3D5A035A">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仿宋" w:cs="Times New Roman"/>
                <w:sz w:val="24"/>
                <w:szCs w:val="24"/>
                <w:lang w:eastAsia="zh-CN"/>
              </w:rPr>
            </w:pPr>
          </w:p>
        </w:tc>
        <w:tc>
          <w:tcPr>
            <w:tcW w:w="1452" w:type="dxa"/>
            <w:vAlign w:val="center"/>
          </w:tcPr>
          <w:p w14:paraId="57DBF0B9">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仿宋" w:cs="Times New Roman"/>
                <w:sz w:val="24"/>
                <w:szCs w:val="24"/>
                <w:lang w:eastAsia="zh-CN"/>
              </w:rPr>
            </w:pPr>
          </w:p>
        </w:tc>
        <w:tc>
          <w:tcPr>
            <w:tcW w:w="1453" w:type="dxa"/>
            <w:vAlign w:val="center"/>
          </w:tcPr>
          <w:p w14:paraId="53DA32E9">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仿宋" w:cs="Times New Roman"/>
                <w:sz w:val="24"/>
                <w:szCs w:val="24"/>
                <w:lang w:eastAsia="zh-CN"/>
              </w:rPr>
            </w:pPr>
          </w:p>
        </w:tc>
        <w:tc>
          <w:tcPr>
            <w:tcW w:w="1454" w:type="dxa"/>
            <w:vAlign w:val="center"/>
          </w:tcPr>
          <w:p w14:paraId="7AE3F4A6">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仿宋" w:cs="Times New Roman"/>
                <w:sz w:val="24"/>
                <w:szCs w:val="24"/>
                <w:lang w:eastAsia="zh-CN"/>
              </w:rPr>
            </w:pPr>
          </w:p>
        </w:tc>
      </w:tr>
      <w:tr w14:paraId="1D2A7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9" w:type="dxa"/>
            <w:left w:w="108" w:type="dxa"/>
            <w:bottom w:w="0" w:type="dxa"/>
            <w:right w:w="115" w:type="dxa"/>
          </w:tblCellMar>
        </w:tblPrEx>
        <w:trPr>
          <w:trHeight w:val="680" w:hRule="atLeast"/>
          <w:jc w:val="center"/>
        </w:trPr>
        <w:tc>
          <w:tcPr>
            <w:tcW w:w="1450" w:type="dxa"/>
            <w:vAlign w:val="center"/>
          </w:tcPr>
          <w:p w14:paraId="6B0FDF78">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仿宋" w:cs="Times New Roman"/>
                <w:sz w:val="24"/>
                <w:szCs w:val="24"/>
                <w:lang w:eastAsia="zh-CN"/>
              </w:rPr>
            </w:pPr>
          </w:p>
        </w:tc>
        <w:tc>
          <w:tcPr>
            <w:tcW w:w="1453" w:type="dxa"/>
            <w:vAlign w:val="center"/>
          </w:tcPr>
          <w:p w14:paraId="04D061F3">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仿宋" w:cs="Times New Roman"/>
                <w:sz w:val="24"/>
                <w:szCs w:val="24"/>
                <w:lang w:eastAsia="zh-CN"/>
              </w:rPr>
            </w:pPr>
          </w:p>
        </w:tc>
        <w:tc>
          <w:tcPr>
            <w:tcW w:w="1452" w:type="dxa"/>
            <w:gridSpan w:val="2"/>
            <w:vAlign w:val="center"/>
          </w:tcPr>
          <w:p w14:paraId="6AB23196">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仿宋" w:cs="Times New Roman"/>
                <w:sz w:val="24"/>
                <w:szCs w:val="24"/>
                <w:lang w:eastAsia="zh-CN"/>
              </w:rPr>
            </w:pPr>
          </w:p>
        </w:tc>
        <w:tc>
          <w:tcPr>
            <w:tcW w:w="1452" w:type="dxa"/>
            <w:vAlign w:val="center"/>
          </w:tcPr>
          <w:p w14:paraId="75B4071B">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仿宋" w:cs="Times New Roman"/>
                <w:sz w:val="24"/>
                <w:szCs w:val="24"/>
                <w:lang w:eastAsia="zh-CN"/>
              </w:rPr>
            </w:pPr>
          </w:p>
        </w:tc>
        <w:tc>
          <w:tcPr>
            <w:tcW w:w="1453" w:type="dxa"/>
            <w:vAlign w:val="center"/>
          </w:tcPr>
          <w:p w14:paraId="435D6EC8">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仿宋" w:cs="Times New Roman"/>
                <w:sz w:val="24"/>
                <w:szCs w:val="24"/>
                <w:lang w:eastAsia="zh-CN"/>
              </w:rPr>
            </w:pPr>
          </w:p>
        </w:tc>
        <w:tc>
          <w:tcPr>
            <w:tcW w:w="1454" w:type="dxa"/>
            <w:vAlign w:val="center"/>
          </w:tcPr>
          <w:p w14:paraId="797C336F">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仿宋" w:cs="Times New Roman"/>
                <w:sz w:val="24"/>
                <w:szCs w:val="24"/>
                <w:lang w:eastAsia="zh-CN"/>
              </w:rPr>
            </w:pPr>
          </w:p>
        </w:tc>
      </w:tr>
      <w:tr w14:paraId="20722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9" w:type="dxa"/>
            <w:left w:w="108" w:type="dxa"/>
            <w:bottom w:w="0" w:type="dxa"/>
            <w:right w:w="115" w:type="dxa"/>
          </w:tblCellMar>
        </w:tblPrEx>
        <w:trPr>
          <w:trHeight w:val="680" w:hRule="atLeast"/>
          <w:jc w:val="center"/>
        </w:trPr>
        <w:tc>
          <w:tcPr>
            <w:tcW w:w="1450" w:type="dxa"/>
            <w:vAlign w:val="center"/>
          </w:tcPr>
          <w:p w14:paraId="76D5E356">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仿宋" w:cs="Times New Roman"/>
                <w:sz w:val="24"/>
                <w:szCs w:val="24"/>
                <w:lang w:eastAsia="zh-CN"/>
              </w:rPr>
            </w:pPr>
          </w:p>
        </w:tc>
        <w:tc>
          <w:tcPr>
            <w:tcW w:w="1453" w:type="dxa"/>
            <w:vAlign w:val="center"/>
          </w:tcPr>
          <w:p w14:paraId="3DC7DC2C">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仿宋" w:cs="Times New Roman"/>
                <w:sz w:val="24"/>
                <w:szCs w:val="24"/>
                <w:lang w:eastAsia="zh-CN"/>
              </w:rPr>
            </w:pPr>
          </w:p>
        </w:tc>
        <w:tc>
          <w:tcPr>
            <w:tcW w:w="1452" w:type="dxa"/>
            <w:gridSpan w:val="2"/>
            <w:vAlign w:val="center"/>
          </w:tcPr>
          <w:p w14:paraId="4C52B0B6">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仿宋" w:cs="Times New Roman"/>
                <w:sz w:val="24"/>
                <w:szCs w:val="24"/>
                <w:lang w:eastAsia="zh-CN"/>
              </w:rPr>
            </w:pPr>
          </w:p>
        </w:tc>
        <w:tc>
          <w:tcPr>
            <w:tcW w:w="1452" w:type="dxa"/>
            <w:vAlign w:val="center"/>
          </w:tcPr>
          <w:p w14:paraId="43100758">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仿宋" w:cs="Times New Roman"/>
                <w:sz w:val="24"/>
                <w:szCs w:val="24"/>
                <w:lang w:eastAsia="zh-CN"/>
              </w:rPr>
            </w:pPr>
          </w:p>
        </w:tc>
        <w:tc>
          <w:tcPr>
            <w:tcW w:w="1453" w:type="dxa"/>
            <w:vAlign w:val="center"/>
          </w:tcPr>
          <w:p w14:paraId="6EE1998B">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仿宋" w:cs="Times New Roman"/>
                <w:sz w:val="24"/>
                <w:szCs w:val="24"/>
                <w:lang w:eastAsia="zh-CN"/>
              </w:rPr>
            </w:pPr>
          </w:p>
        </w:tc>
        <w:tc>
          <w:tcPr>
            <w:tcW w:w="1454" w:type="dxa"/>
            <w:vAlign w:val="center"/>
          </w:tcPr>
          <w:p w14:paraId="42F23F40">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仿宋" w:cs="Times New Roman"/>
                <w:sz w:val="24"/>
                <w:szCs w:val="24"/>
                <w:lang w:eastAsia="zh-CN"/>
              </w:rPr>
            </w:pPr>
          </w:p>
        </w:tc>
      </w:tr>
      <w:tr w14:paraId="59C28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9" w:type="dxa"/>
            <w:left w:w="108" w:type="dxa"/>
            <w:bottom w:w="0" w:type="dxa"/>
            <w:right w:w="115" w:type="dxa"/>
          </w:tblCellMar>
        </w:tblPrEx>
        <w:trPr>
          <w:trHeight w:val="680" w:hRule="atLeast"/>
          <w:jc w:val="center"/>
        </w:trPr>
        <w:tc>
          <w:tcPr>
            <w:tcW w:w="1450" w:type="dxa"/>
            <w:vAlign w:val="center"/>
          </w:tcPr>
          <w:p w14:paraId="73030CE2">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仿宋" w:cs="Times New Roman"/>
                <w:sz w:val="24"/>
                <w:szCs w:val="24"/>
              </w:rPr>
            </w:pPr>
          </w:p>
        </w:tc>
        <w:tc>
          <w:tcPr>
            <w:tcW w:w="1453" w:type="dxa"/>
            <w:vAlign w:val="center"/>
          </w:tcPr>
          <w:p w14:paraId="7F0A470D">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仿宋" w:cs="Times New Roman"/>
                <w:sz w:val="24"/>
                <w:szCs w:val="24"/>
              </w:rPr>
            </w:pPr>
          </w:p>
        </w:tc>
        <w:tc>
          <w:tcPr>
            <w:tcW w:w="1452" w:type="dxa"/>
            <w:gridSpan w:val="2"/>
            <w:vAlign w:val="center"/>
          </w:tcPr>
          <w:p w14:paraId="474E056E">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仿宋" w:cs="Times New Roman"/>
                <w:sz w:val="24"/>
                <w:szCs w:val="24"/>
              </w:rPr>
            </w:pPr>
          </w:p>
        </w:tc>
        <w:tc>
          <w:tcPr>
            <w:tcW w:w="1452" w:type="dxa"/>
            <w:vAlign w:val="center"/>
          </w:tcPr>
          <w:p w14:paraId="59673997">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仿宋" w:cs="Times New Roman"/>
                <w:sz w:val="24"/>
                <w:szCs w:val="24"/>
              </w:rPr>
            </w:pPr>
          </w:p>
        </w:tc>
        <w:tc>
          <w:tcPr>
            <w:tcW w:w="1453" w:type="dxa"/>
            <w:vAlign w:val="center"/>
          </w:tcPr>
          <w:p w14:paraId="4C5FA438">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仿宋" w:cs="Times New Roman"/>
                <w:sz w:val="24"/>
                <w:szCs w:val="24"/>
              </w:rPr>
            </w:pPr>
          </w:p>
        </w:tc>
        <w:tc>
          <w:tcPr>
            <w:tcW w:w="1454" w:type="dxa"/>
            <w:vAlign w:val="center"/>
          </w:tcPr>
          <w:p w14:paraId="57BB5BA1">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仿宋" w:cs="Times New Roman"/>
                <w:sz w:val="24"/>
                <w:szCs w:val="24"/>
              </w:rPr>
            </w:pPr>
          </w:p>
        </w:tc>
      </w:tr>
      <w:tr w14:paraId="0205F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9" w:type="dxa"/>
            <w:left w:w="108" w:type="dxa"/>
            <w:bottom w:w="0" w:type="dxa"/>
            <w:right w:w="115" w:type="dxa"/>
          </w:tblCellMar>
        </w:tblPrEx>
        <w:trPr>
          <w:trHeight w:val="680" w:hRule="atLeast"/>
          <w:jc w:val="center"/>
        </w:trPr>
        <w:tc>
          <w:tcPr>
            <w:tcW w:w="1450" w:type="dxa"/>
            <w:vAlign w:val="center"/>
          </w:tcPr>
          <w:p w14:paraId="240CD616">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仿宋" w:cs="Times New Roman"/>
                <w:sz w:val="24"/>
                <w:szCs w:val="24"/>
              </w:rPr>
            </w:pPr>
          </w:p>
        </w:tc>
        <w:tc>
          <w:tcPr>
            <w:tcW w:w="1453" w:type="dxa"/>
            <w:vAlign w:val="center"/>
          </w:tcPr>
          <w:p w14:paraId="0E933990">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仿宋" w:cs="Times New Roman"/>
                <w:sz w:val="24"/>
                <w:szCs w:val="24"/>
              </w:rPr>
            </w:pPr>
          </w:p>
        </w:tc>
        <w:tc>
          <w:tcPr>
            <w:tcW w:w="1452" w:type="dxa"/>
            <w:gridSpan w:val="2"/>
            <w:vAlign w:val="center"/>
          </w:tcPr>
          <w:p w14:paraId="121878AB">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仿宋" w:cs="Times New Roman"/>
                <w:sz w:val="24"/>
                <w:szCs w:val="24"/>
              </w:rPr>
            </w:pPr>
          </w:p>
        </w:tc>
        <w:tc>
          <w:tcPr>
            <w:tcW w:w="1452" w:type="dxa"/>
            <w:vAlign w:val="center"/>
          </w:tcPr>
          <w:p w14:paraId="401F4E24">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仿宋" w:cs="Times New Roman"/>
                <w:sz w:val="24"/>
                <w:szCs w:val="24"/>
              </w:rPr>
            </w:pPr>
          </w:p>
        </w:tc>
        <w:tc>
          <w:tcPr>
            <w:tcW w:w="1453" w:type="dxa"/>
            <w:vAlign w:val="center"/>
          </w:tcPr>
          <w:p w14:paraId="62FBE13E">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仿宋" w:cs="Times New Roman"/>
                <w:sz w:val="24"/>
                <w:szCs w:val="24"/>
              </w:rPr>
            </w:pPr>
          </w:p>
        </w:tc>
        <w:tc>
          <w:tcPr>
            <w:tcW w:w="1454" w:type="dxa"/>
            <w:vAlign w:val="center"/>
          </w:tcPr>
          <w:p w14:paraId="237DBD3A">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center"/>
              <w:textAlignment w:val="auto"/>
              <w:rPr>
                <w:rFonts w:hint="default" w:ascii="Times New Roman" w:hAnsi="Times New Roman" w:eastAsia="仿宋" w:cs="Times New Roman"/>
                <w:sz w:val="24"/>
                <w:szCs w:val="24"/>
              </w:rPr>
            </w:pPr>
          </w:p>
        </w:tc>
      </w:tr>
    </w:tbl>
    <w:p w14:paraId="61361EC8">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textAlignment w:val="auto"/>
        <w:rPr>
          <w:rFonts w:hint="default" w:ascii="Times New Roman" w:hAnsi="Times New Roman" w:eastAsia="仿宋" w:cs="Times New Roman"/>
          <w:sz w:val="28"/>
          <w:szCs w:val="28"/>
        </w:rPr>
      </w:pPr>
    </w:p>
    <w:p w14:paraId="56E90E1D">
      <w:pPr>
        <w:keepNext w:val="0"/>
        <w:keepLines w:val="0"/>
        <w:pageBreakBefore w:val="0"/>
        <w:widowControl w:val="0"/>
        <w:kinsoku/>
        <w:overflowPunct/>
        <w:topLinePunct w:val="0"/>
        <w:bidi w:val="0"/>
        <w:spacing w:after="3" w:line="360" w:lineRule="auto"/>
        <w:ind w:left="0" w:leftChars="0" w:right="1867" w:firstLine="0" w:firstLineChars="0"/>
        <w:jc w:val="both"/>
        <w:outlineLvl w:val="0"/>
        <w:rPr>
          <w:rFonts w:hint="default" w:ascii="Times New Roman" w:hAnsi="Times New Roman" w:eastAsia="仿宋" w:cs="Times New Roman"/>
          <w:b/>
          <w:bCs/>
          <w:sz w:val="28"/>
          <w:szCs w:val="28"/>
        </w:rPr>
        <w:sectPr>
          <w:footerReference r:id="rId15" w:type="first"/>
          <w:headerReference r:id="rId12" w:type="default"/>
          <w:footerReference r:id="rId13" w:type="default"/>
          <w:footerReference r:id="rId14" w:type="even"/>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pPr>
      <w:bookmarkStart w:id="168" w:name="_Toc8678"/>
      <w:bookmarkStart w:id="169" w:name="_Toc4073"/>
    </w:p>
    <w:p w14:paraId="4E7CB5E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应急演练记录</w:t>
      </w:r>
      <w:bookmarkEnd w:id="168"/>
      <w:bookmarkEnd w:id="169"/>
    </w:p>
    <w:tbl>
      <w:tblPr>
        <w:tblStyle w:val="26"/>
        <w:tblW w:w="8721" w:type="dxa"/>
        <w:jc w:val="center"/>
        <w:tblLayout w:type="autofit"/>
        <w:tblCellMar>
          <w:top w:w="88" w:type="dxa"/>
          <w:left w:w="106" w:type="dxa"/>
          <w:bottom w:w="0" w:type="dxa"/>
          <w:right w:w="110" w:type="dxa"/>
        </w:tblCellMar>
      </w:tblPr>
      <w:tblGrid>
        <w:gridCol w:w="1656"/>
        <w:gridCol w:w="2905"/>
        <w:gridCol w:w="302"/>
        <w:gridCol w:w="1337"/>
        <w:gridCol w:w="2521"/>
      </w:tblGrid>
      <w:tr w14:paraId="04383F04">
        <w:tblPrEx>
          <w:tblCellMar>
            <w:top w:w="88" w:type="dxa"/>
            <w:left w:w="106" w:type="dxa"/>
            <w:bottom w:w="0" w:type="dxa"/>
            <w:right w:w="110" w:type="dxa"/>
          </w:tblCellMar>
        </w:tblPrEx>
        <w:trPr>
          <w:trHeight w:val="568" w:hRule="atLeast"/>
          <w:jc w:val="center"/>
        </w:trPr>
        <w:tc>
          <w:tcPr>
            <w:tcW w:w="4561" w:type="dxa"/>
            <w:gridSpan w:val="2"/>
            <w:tcBorders>
              <w:top w:val="single" w:color="000000" w:sz="4" w:space="0"/>
              <w:left w:val="single" w:color="000000" w:sz="4" w:space="0"/>
              <w:bottom w:val="single" w:color="000000" w:sz="4" w:space="0"/>
              <w:right w:val="nil"/>
            </w:tcBorders>
            <w:vAlign w:val="center"/>
          </w:tcPr>
          <w:p w14:paraId="03ECCEE5">
            <w:pPr>
              <w:keepNext w:val="0"/>
              <w:keepLines w:val="0"/>
              <w:pageBreakBefore w:val="0"/>
              <w:widowControl w:val="0"/>
              <w:tabs>
                <w:tab w:val="center" w:pos="1658"/>
              </w:tabs>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编号：</w:t>
            </w:r>
          </w:p>
        </w:tc>
        <w:tc>
          <w:tcPr>
            <w:tcW w:w="4160" w:type="dxa"/>
            <w:gridSpan w:val="3"/>
            <w:tcBorders>
              <w:top w:val="single" w:color="000000" w:sz="4" w:space="0"/>
              <w:left w:val="nil"/>
              <w:bottom w:val="single" w:color="000000" w:sz="4" w:space="0"/>
              <w:right w:val="single" w:color="000000" w:sz="4" w:space="0"/>
            </w:tcBorders>
          </w:tcPr>
          <w:p w14:paraId="2D7D995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default" w:ascii="Times New Roman" w:hAnsi="Times New Roman" w:eastAsia="仿宋" w:cs="Times New Roman"/>
                <w:sz w:val="24"/>
                <w:szCs w:val="24"/>
              </w:rPr>
            </w:pPr>
          </w:p>
        </w:tc>
      </w:tr>
      <w:tr w14:paraId="01190781">
        <w:tblPrEx>
          <w:tblCellMar>
            <w:top w:w="88" w:type="dxa"/>
            <w:left w:w="106" w:type="dxa"/>
            <w:bottom w:w="0" w:type="dxa"/>
            <w:right w:w="110" w:type="dxa"/>
          </w:tblCellMar>
        </w:tblPrEx>
        <w:trPr>
          <w:trHeight w:val="648" w:hRule="atLeast"/>
          <w:jc w:val="center"/>
        </w:trPr>
        <w:tc>
          <w:tcPr>
            <w:tcW w:w="1656" w:type="dxa"/>
            <w:tcBorders>
              <w:top w:val="single" w:color="000000" w:sz="4" w:space="0"/>
              <w:left w:val="single" w:color="000000" w:sz="4" w:space="0"/>
              <w:bottom w:val="single" w:color="000000" w:sz="4" w:space="0"/>
              <w:right w:val="single" w:color="000000" w:sz="4" w:space="0"/>
            </w:tcBorders>
            <w:vAlign w:val="center"/>
          </w:tcPr>
          <w:p w14:paraId="11A7A0E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 xml:space="preserve">演练时间 </w:t>
            </w:r>
          </w:p>
        </w:tc>
        <w:tc>
          <w:tcPr>
            <w:tcW w:w="2905" w:type="dxa"/>
            <w:tcBorders>
              <w:top w:val="single" w:color="000000" w:sz="4" w:space="0"/>
              <w:left w:val="single" w:color="000000" w:sz="4" w:space="0"/>
              <w:bottom w:val="single" w:color="000000" w:sz="4" w:space="0"/>
              <w:right w:val="nil"/>
            </w:tcBorders>
          </w:tcPr>
          <w:p w14:paraId="760CB40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sz w:val="24"/>
                <w:szCs w:val="24"/>
              </w:rPr>
            </w:pPr>
          </w:p>
        </w:tc>
        <w:tc>
          <w:tcPr>
            <w:tcW w:w="302" w:type="dxa"/>
            <w:tcBorders>
              <w:top w:val="single" w:color="000000" w:sz="4" w:space="0"/>
              <w:left w:val="nil"/>
              <w:bottom w:val="single" w:color="000000" w:sz="4" w:space="0"/>
              <w:right w:val="single" w:color="000000" w:sz="4" w:space="0"/>
            </w:tcBorders>
          </w:tcPr>
          <w:p w14:paraId="004D6E9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sz w:val="24"/>
                <w:szCs w:val="24"/>
              </w:rPr>
            </w:pPr>
          </w:p>
        </w:tc>
        <w:tc>
          <w:tcPr>
            <w:tcW w:w="1337" w:type="dxa"/>
            <w:tcBorders>
              <w:top w:val="single" w:color="000000" w:sz="4" w:space="0"/>
              <w:left w:val="single" w:color="000000" w:sz="4" w:space="0"/>
              <w:bottom w:val="single" w:color="000000" w:sz="4" w:space="0"/>
              <w:right w:val="single" w:color="000000" w:sz="4" w:space="0"/>
            </w:tcBorders>
            <w:vAlign w:val="center"/>
          </w:tcPr>
          <w:p w14:paraId="2F3DB63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 xml:space="preserve">演练地点 </w:t>
            </w:r>
          </w:p>
        </w:tc>
        <w:tc>
          <w:tcPr>
            <w:tcW w:w="2521" w:type="dxa"/>
            <w:tcBorders>
              <w:top w:val="single" w:color="000000" w:sz="4" w:space="0"/>
              <w:left w:val="single" w:color="000000" w:sz="4" w:space="0"/>
              <w:bottom w:val="single" w:color="000000" w:sz="4" w:space="0"/>
              <w:right w:val="single" w:color="000000" w:sz="4" w:space="0"/>
            </w:tcBorders>
          </w:tcPr>
          <w:p w14:paraId="1DBEAD1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 xml:space="preserve"> </w:t>
            </w:r>
          </w:p>
        </w:tc>
      </w:tr>
      <w:tr w14:paraId="2E1B079B">
        <w:tblPrEx>
          <w:tblCellMar>
            <w:top w:w="88" w:type="dxa"/>
            <w:left w:w="106" w:type="dxa"/>
            <w:bottom w:w="0" w:type="dxa"/>
            <w:right w:w="110" w:type="dxa"/>
          </w:tblCellMar>
        </w:tblPrEx>
        <w:trPr>
          <w:trHeight w:val="646" w:hRule="atLeast"/>
          <w:jc w:val="center"/>
        </w:trPr>
        <w:tc>
          <w:tcPr>
            <w:tcW w:w="1656" w:type="dxa"/>
            <w:tcBorders>
              <w:top w:val="single" w:color="000000" w:sz="4" w:space="0"/>
              <w:left w:val="single" w:color="000000" w:sz="4" w:space="0"/>
              <w:bottom w:val="single" w:color="000000" w:sz="4" w:space="0"/>
              <w:right w:val="single" w:color="000000" w:sz="4" w:space="0"/>
            </w:tcBorders>
            <w:vAlign w:val="center"/>
          </w:tcPr>
          <w:p w14:paraId="1B9D65F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 xml:space="preserve">演练名称 </w:t>
            </w:r>
          </w:p>
        </w:tc>
        <w:tc>
          <w:tcPr>
            <w:tcW w:w="2905" w:type="dxa"/>
            <w:tcBorders>
              <w:top w:val="single" w:color="000000" w:sz="4" w:space="0"/>
              <w:left w:val="single" w:color="000000" w:sz="4" w:space="0"/>
              <w:bottom w:val="single" w:color="000000" w:sz="4" w:space="0"/>
              <w:right w:val="nil"/>
            </w:tcBorders>
          </w:tcPr>
          <w:p w14:paraId="5E9D185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 xml:space="preserve"> </w:t>
            </w:r>
          </w:p>
        </w:tc>
        <w:tc>
          <w:tcPr>
            <w:tcW w:w="302" w:type="dxa"/>
            <w:tcBorders>
              <w:top w:val="single" w:color="000000" w:sz="4" w:space="0"/>
              <w:left w:val="nil"/>
              <w:bottom w:val="single" w:color="000000" w:sz="4" w:space="0"/>
              <w:right w:val="single" w:color="000000" w:sz="4" w:space="0"/>
            </w:tcBorders>
          </w:tcPr>
          <w:p w14:paraId="7D83484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sz w:val="24"/>
                <w:szCs w:val="24"/>
              </w:rPr>
            </w:pPr>
          </w:p>
        </w:tc>
        <w:tc>
          <w:tcPr>
            <w:tcW w:w="1337" w:type="dxa"/>
            <w:tcBorders>
              <w:top w:val="single" w:color="000000" w:sz="4" w:space="0"/>
              <w:left w:val="single" w:color="000000" w:sz="4" w:space="0"/>
              <w:bottom w:val="single" w:color="000000" w:sz="4" w:space="0"/>
              <w:right w:val="single" w:color="000000" w:sz="4" w:space="0"/>
            </w:tcBorders>
            <w:vAlign w:val="center"/>
          </w:tcPr>
          <w:p w14:paraId="7D7611E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 xml:space="preserve">指挥人 </w:t>
            </w:r>
          </w:p>
        </w:tc>
        <w:tc>
          <w:tcPr>
            <w:tcW w:w="2521" w:type="dxa"/>
            <w:tcBorders>
              <w:top w:val="single" w:color="000000" w:sz="4" w:space="0"/>
              <w:left w:val="single" w:color="000000" w:sz="4" w:space="0"/>
              <w:bottom w:val="single" w:color="000000" w:sz="4" w:space="0"/>
              <w:right w:val="single" w:color="000000" w:sz="4" w:space="0"/>
            </w:tcBorders>
          </w:tcPr>
          <w:p w14:paraId="1655B5D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 xml:space="preserve"> </w:t>
            </w:r>
          </w:p>
        </w:tc>
      </w:tr>
      <w:tr w14:paraId="7C6A60A6">
        <w:tblPrEx>
          <w:tblCellMar>
            <w:top w:w="88" w:type="dxa"/>
            <w:left w:w="106" w:type="dxa"/>
            <w:bottom w:w="0" w:type="dxa"/>
            <w:right w:w="110" w:type="dxa"/>
          </w:tblCellMar>
        </w:tblPrEx>
        <w:trPr>
          <w:trHeight w:val="1485" w:hRule="atLeast"/>
          <w:jc w:val="center"/>
        </w:trPr>
        <w:tc>
          <w:tcPr>
            <w:tcW w:w="4561" w:type="dxa"/>
            <w:gridSpan w:val="2"/>
            <w:tcBorders>
              <w:top w:val="single" w:color="000000" w:sz="4" w:space="0"/>
              <w:left w:val="single" w:color="000000" w:sz="4" w:space="0"/>
              <w:bottom w:val="single" w:color="000000" w:sz="4" w:space="0"/>
              <w:right w:val="nil"/>
            </w:tcBorders>
          </w:tcPr>
          <w:p w14:paraId="0A18204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参加人：</w:t>
            </w:r>
          </w:p>
        </w:tc>
        <w:tc>
          <w:tcPr>
            <w:tcW w:w="4160" w:type="dxa"/>
            <w:gridSpan w:val="3"/>
            <w:tcBorders>
              <w:top w:val="single" w:color="000000" w:sz="4" w:space="0"/>
              <w:left w:val="nil"/>
              <w:bottom w:val="single" w:color="000000" w:sz="4" w:space="0"/>
              <w:right w:val="single" w:color="000000" w:sz="4" w:space="0"/>
            </w:tcBorders>
          </w:tcPr>
          <w:p w14:paraId="7AAE31B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sz w:val="24"/>
                <w:szCs w:val="24"/>
              </w:rPr>
            </w:pPr>
          </w:p>
        </w:tc>
      </w:tr>
      <w:tr w14:paraId="7217789E">
        <w:tblPrEx>
          <w:tblCellMar>
            <w:top w:w="88" w:type="dxa"/>
            <w:left w:w="106" w:type="dxa"/>
            <w:bottom w:w="0" w:type="dxa"/>
            <w:right w:w="110" w:type="dxa"/>
          </w:tblCellMar>
        </w:tblPrEx>
        <w:trPr>
          <w:trHeight w:val="1929" w:hRule="atLeast"/>
          <w:jc w:val="center"/>
        </w:trPr>
        <w:tc>
          <w:tcPr>
            <w:tcW w:w="4561" w:type="dxa"/>
            <w:gridSpan w:val="2"/>
            <w:tcBorders>
              <w:top w:val="single" w:color="000000" w:sz="4" w:space="0"/>
              <w:left w:val="single" w:color="000000" w:sz="4" w:space="0"/>
              <w:bottom w:val="single" w:color="000000" w:sz="4" w:space="0"/>
              <w:right w:val="nil"/>
            </w:tcBorders>
          </w:tcPr>
          <w:p w14:paraId="468F59D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演练过程：</w:t>
            </w:r>
          </w:p>
        </w:tc>
        <w:tc>
          <w:tcPr>
            <w:tcW w:w="4160" w:type="dxa"/>
            <w:gridSpan w:val="3"/>
            <w:tcBorders>
              <w:top w:val="single" w:color="000000" w:sz="4" w:space="0"/>
              <w:left w:val="nil"/>
              <w:bottom w:val="single" w:color="000000" w:sz="4" w:space="0"/>
              <w:right w:val="single" w:color="000000" w:sz="4" w:space="0"/>
            </w:tcBorders>
          </w:tcPr>
          <w:p w14:paraId="3E66033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sz w:val="24"/>
                <w:szCs w:val="24"/>
              </w:rPr>
            </w:pPr>
          </w:p>
        </w:tc>
      </w:tr>
      <w:tr w14:paraId="15122AFB">
        <w:tblPrEx>
          <w:tblCellMar>
            <w:top w:w="88" w:type="dxa"/>
            <w:left w:w="106" w:type="dxa"/>
            <w:bottom w:w="0" w:type="dxa"/>
            <w:right w:w="110" w:type="dxa"/>
          </w:tblCellMar>
        </w:tblPrEx>
        <w:trPr>
          <w:trHeight w:val="2456" w:hRule="atLeast"/>
          <w:jc w:val="center"/>
        </w:trPr>
        <w:tc>
          <w:tcPr>
            <w:tcW w:w="4561" w:type="dxa"/>
            <w:gridSpan w:val="2"/>
            <w:tcBorders>
              <w:top w:val="single" w:color="000000" w:sz="4" w:space="0"/>
              <w:left w:val="single" w:color="000000" w:sz="4" w:space="0"/>
              <w:bottom w:val="single" w:color="000000" w:sz="4" w:space="0"/>
              <w:right w:val="nil"/>
            </w:tcBorders>
          </w:tcPr>
          <w:p w14:paraId="1D5D02C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演练存在的问题及整改措施：</w:t>
            </w:r>
          </w:p>
        </w:tc>
        <w:tc>
          <w:tcPr>
            <w:tcW w:w="4160" w:type="dxa"/>
            <w:gridSpan w:val="3"/>
            <w:tcBorders>
              <w:top w:val="single" w:color="000000" w:sz="4" w:space="0"/>
              <w:left w:val="nil"/>
              <w:bottom w:val="single" w:color="000000" w:sz="4" w:space="0"/>
              <w:right w:val="single" w:color="000000" w:sz="4" w:space="0"/>
            </w:tcBorders>
          </w:tcPr>
          <w:p w14:paraId="16E8743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sz w:val="24"/>
                <w:szCs w:val="24"/>
              </w:rPr>
            </w:pPr>
          </w:p>
        </w:tc>
      </w:tr>
      <w:tr w14:paraId="736E7B49">
        <w:tblPrEx>
          <w:tblCellMar>
            <w:top w:w="88" w:type="dxa"/>
            <w:left w:w="106" w:type="dxa"/>
            <w:bottom w:w="0" w:type="dxa"/>
            <w:right w:w="110" w:type="dxa"/>
          </w:tblCellMar>
        </w:tblPrEx>
        <w:trPr>
          <w:trHeight w:val="1350" w:hRule="atLeast"/>
          <w:jc w:val="center"/>
        </w:trPr>
        <w:tc>
          <w:tcPr>
            <w:tcW w:w="4561" w:type="dxa"/>
            <w:gridSpan w:val="2"/>
            <w:tcBorders>
              <w:top w:val="single" w:color="000000" w:sz="4" w:space="0"/>
              <w:left w:val="single" w:color="000000" w:sz="4" w:space="0"/>
              <w:bottom w:val="single" w:color="000000" w:sz="4" w:space="0"/>
              <w:right w:val="single" w:color="000000" w:sz="4" w:space="0"/>
            </w:tcBorders>
            <w:vAlign w:val="center"/>
          </w:tcPr>
          <w:p w14:paraId="6B571AC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单位主管领导签字：</w:t>
            </w:r>
          </w:p>
        </w:tc>
        <w:tc>
          <w:tcPr>
            <w:tcW w:w="4160" w:type="dxa"/>
            <w:gridSpan w:val="3"/>
            <w:tcBorders>
              <w:top w:val="single" w:color="000000" w:sz="4" w:space="0"/>
              <w:left w:val="single" w:color="000000" w:sz="4" w:space="0"/>
              <w:bottom w:val="single" w:color="000000" w:sz="4" w:space="0"/>
              <w:right w:val="single" w:color="000000" w:sz="4" w:space="0"/>
            </w:tcBorders>
            <w:vAlign w:val="center"/>
          </w:tcPr>
          <w:p w14:paraId="6691976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评价人签字：</w:t>
            </w:r>
          </w:p>
        </w:tc>
      </w:tr>
      <w:tr w14:paraId="74E7A378">
        <w:tblPrEx>
          <w:tblCellMar>
            <w:top w:w="88" w:type="dxa"/>
            <w:left w:w="106" w:type="dxa"/>
            <w:bottom w:w="0" w:type="dxa"/>
            <w:right w:w="110" w:type="dxa"/>
          </w:tblCellMar>
        </w:tblPrEx>
        <w:trPr>
          <w:trHeight w:val="1563" w:hRule="atLeast"/>
          <w:jc w:val="center"/>
        </w:trPr>
        <w:tc>
          <w:tcPr>
            <w:tcW w:w="4561" w:type="dxa"/>
            <w:gridSpan w:val="2"/>
            <w:tcBorders>
              <w:top w:val="single" w:color="000000" w:sz="4" w:space="0"/>
              <w:left w:val="single" w:color="000000" w:sz="4" w:space="0"/>
              <w:bottom w:val="single" w:color="000000" w:sz="4" w:space="0"/>
              <w:right w:val="single" w:color="000000" w:sz="4" w:space="0"/>
            </w:tcBorders>
            <w:vAlign w:val="center"/>
          </w:tcPr>
          <w:p w14:paraId="34BD9D3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保存部门：</w:t>
            </w:r>
          </w:p>
        </w:tc>
        <w:tc>
          <w:tcPr>
            <w:tcW w:w="4160" w:type="dxa"/>
            <w:gridSpan w:val="3"/>
            <w:tcBorders>
              <w:top w:val="single" w:color="000000" w:sz="4" w:space="0"/>
              <w:left w:val="single" w:color="000000" w:sz="4" w:space="0"/>
              <w:bottom w:val="single" w:color="000000" w:sz="4" w:space="0"/>
              <w:right w:val="single" w:color="000000" w:sz="4" w:space="0"/>
            </w:tcBorders>
            <w:vAlign w:val="center"/>
          </w:tcPr>
          <w:p w14:paraId="6D9062E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保存期：</w:t>
            </w:r>
          </w:p>
        </w:tc>
      </w:tr>
    </w:tbl>
    <w:p w14:paraId="262509E9">
      <w:pPr>
        <w:keepNext w:val="0"/>
        <w:keepLines w:val="0"/>
        <w:pageBreakBefore w:val="0"/>
        <w:widowControl w:val="0"/>
        <w:kinsoku/>
        <w:overflowPunct/>
        <w:topLinePunct w:val="0"/>
        <w:bidi w:val="0"/>
        <w:spacing w:after="3" w:line="360" w:lineRule="auto"/>
        <w:ind w:left="1685" w:right="1992"/>
        <w:jc w:val="center"/>
        <w:rPr>
          <w:rFonts w:hint="default" w:ascii="Times New Roman" w:hAnsi="Times New Roman" w:eastAsia="仿宋" w:cs="Times New Roman"/>
          <w:b/>
          <w:bCs/>
          <w:sz w:val="28"/>
          <w:szCs w:val="28"/>
        </w:rPr>
      </w:pPr>
    </w:p>
    <w:p w14:paraId="22521664">
      <w:pPr>
        <w:keepNext w:val="0"/>
        <w:keepLines w:val="0"/>
        <w:pageBreakBefore w:val="0"/>
        <w:widowControl w:val="0"/>
        <w:kinsoku/>
        <w:overflowPunct/>
        <w:topLinePunct w:val="0"/>
        <w:bidi w:val="0"/>
        <w:spacing w:after="3" w:line="360" w:lineRule="auto"/>
        <w:ind w:left="1685" w:right="1992"/>
        <w:jc w:val="center"/>
        <w:rPr>
          <w:rFonts w:hint="default" w:ascii="Times New Roman" w:hAnsi="Times New Roman" w:eastAsia="仿宋" w:cs="Times New Roman"/>
          <w:b/>
          <w:bCs/>
          <w:sz w:val="28"/>
          <w:szCs w:val="28"/>
        </w:rPr>
      </w:pPr>
    </w:p>
    <w:p w14:paraId="49A47F45">
      <w:pPr>
        <w:keepNext w:val="0"/>
        <w:keepLines w:val="0"/>
        <w:pageBreakBefore w:val="0"/>
        <w:widowControl w:val="0"/>
        <w:kinsoku/>
        <w:overflowPunct/>
        <w:topLinePunct w:val="0"/>
        <w:bidi w:val="0"/>
        <w:spacing w:after="3" w:line="360" w:lineRule="auto"/>
        <w:ind w:left="1685" w:right="1992"/>
        <w:jc w:val="center"/>
        <w:rPr>
          <w:rFonts w:hint="default" w:ascii="Times New Roman" w:hAnsi="Times New Roman" w:eastAsia="仿宋" w:cs="Times New Roman"/>
          <w:b/>
          <w:bCs/>
          <w:sz w:val="28"/>
          <w:szCs w:val="28"/>
        </w:rPr>
      </w:pPr>
    </w:p>
    <w:p w14:paraId="3D301917">
      <w:pPr>
        <w:keepNext w:val="0"/>
        <w:keepLines w:val="0"/>
        <w:pageBreakBefore w:val="0"/>
        <w:widowControl w:val="0"/>
        <w:kinsoku/>
        <w:overflowPunct/>
        <w:topLinePunct w:val="0"/>
        <w:bidi w:val="0"/>
        <w:spacing w:after="3" w:line="360" w:lineRule="auto"/>
        <w:ind w:left="1685" w:right="1992"/>
        <w:jc w:val="center"/>
        <w:rPr>
          <w:rFonts w:hint="default" w:ascii="Times New Roman" w:hAnsi="Times New Roman" w:eastAsia="仿宋" w:cs="Times New Roman"/>
          <w:b/>
          <w:bCs/>
          <w:sz w:val="28"/>
          <w:szCs w:val="28"/>
        </w:rPr>
        <w:sectPr>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pPr>
    </w:p>
    <w:p w14:paraId="7D8D32AB">
      <w:pPr>
        <w:keepNext w:val="0"/>
        <w:keepLines w:val="0"/>
        <w:pageBreakBefore w:val="0"/>
        <w:widowControl w:val="0"/>
        <w:kinsoku/>
        <w:wordWrap/>
        <w:overflowPunct/>
        <w:topLinePunct w:val="0"/>
        <w:autoSpaceDE/>
        <w:autoSpaceDN/>
        <w:bidi w:val="0"/>
        <w:adjustRightInd w:val="0"/>
        <w:snapToGrid w:val="0"/>
        <w:spacing w:after="3" w:line="240" w:lineRule="auto"/>
        <w:ind w:left="0" w:right="0" w:firstLine="0" w:firstLineChars="0"/>
        <w:jc w:val="center"/>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应急演练总结报告</w:t>
      </w:r>
    </w:p>
    <w:tbl>
      <w:tblPr>
        <w:tblStyle w:val="26"/>
        <w:tblW w:w="8723" w:type="dxa"/>
        <w:jc w:val="center"/>
        <w:tblLayout w:type="autofit"/>
        <w:tblCellMar>
          <w:top w:w="49" w:type="dxa"/>
          <w:left w:w="5" w:type="dxa"/>
          <w:bottom w:w="0" w:type="dxa"/>
          <w:right w:w="115" w:type="dxa"/>
        </w:tblCellMar>
      </w:tblPr>
      <w:tblGrid>
        <w:gridCol w:w="1716"/>
        <w:gridCol w:w="2643"/>
        <w:gridCol w:w="1109"/>
        <w:gridCol w:w="1426"/>
        <w:gridCol w:w="1829"/>
      </w:tblGrid>
      <w:tr w14:paraId="65EE957F">
        <w:tblPrEx>
          <w:tblCellMar>
            <w:top w:w="49" w:type="dxa"/>
            <w:left w:w="5" w:type="dxa"/>
            <w:bottom w:w="0" w:type="dxa"/>
            <w:right w:w="115" w:type="dxa"/>
          </w:tblCellMar>
        </w:tblPrEx>
        <w:trPr>
          <w:trHeight w:val="607" w:hRule="atLeast"/>
          <w:jc w:val="center"/>
        </w:trPr>
        <w:tc>
          <w:tcPr>
            <w:tcW w:w="4359" w:type="dxa"/>
            <w:gridSpan w:val="2"/>
            <w:tcBorders>
              <w:top w:val="single" w:color="000000" w:sz="4" w:space="0"/>
              <w:left w:val="single" w:color="000000" w:sz="4" w:space="0"/>
              <w:bottom w:val="single" w:color="000000" w:sz="4" w:space="0"/>
              <w:right w:val="nil"/>
            </w:tcBorders>
            <w:vAlign w:val="center"/>
          </w:tcPr>
          <w:p w14:paraId="1BE061FE">
            <w:pPr>
              <w:keepNext w:val="0"/>
              <w:keepLines w:val="0"/>
              <w:pageBreakBefore w:val="0"/>
              <w:widowControl w:val="0"/>
              <w:tabs>
                <w:tab w:val="center" w:pos="1711"/>
              </w:tabs>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编号：</w:t>
            </w:r>
          </w:p>
        </w:tc>
        <w:tc>
          <w:tcPr>
            <w:tcW w:w="4364" w:type="dxa"/>
            <w:gridSpan w:val="3"/>
            <w:tcBorders>
              <w:top w:val="single" w:color="000000" w:sz="4" w:space="0"/>
              <w:left w:val="nil"/>
              <w:bottom w:val="single" w:color="000000" w:sz="4" w:space="0"/>
              <w:right w:val="single" w:color="000000" w:sz="4" w:space="0"/>
            </w:tcBorders>
            <w:vAlign w:val="center"/>
          </w:tcPr>
          <w:p w14:paraId="3E49EF5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r>
      <w:tr w14:paraId="3C9960BE">
        <w:tblPrEx>
          <w:tblCellMar>
            <w:top w:w="49" w:type="dxa"/>
            <w:left w:w="5" w:type="dxa"/>
            <w:bottom w:w="0" w:type="dxa"/>
            <w:right w:w="115" w:type="dxa"/>
          </w:tblCellMar>
        </w:tblPrEx>
        <w:trPr>
          <w:trHeight w:val="607" w:hRule="atLeast"/>
          <w:jc w:val="center"/>
        </w:trPr>
        <w:tc>
          <w:tcPr>
            <w:tcW w:w="1716" w:type="dxa"/>
            <w:tcBorders>
              <w:top w:val="single" w:color="000000" w:sz="4" w:space="0"/>
              <w:left w:val="single" w:color="000000" w:sz="4" w:space="0"/>
              <w:bottom w:val="single" w:color="000000" w:sz="4" w:space="0"/>
              <w:right w:val="single" w:color="000000" w:sz="4" w:space="0"/>
            </w:tcBorders>
            <w:vAlign w:val="center"/>
          </w:tcPr>
          <w:p w14:paraId="55A0462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演练时间</w:t>
            </w:r>
          </w:p>
        </w:tc>
        <w:tc>
          <w:tcPr>
            <w:tcW w:w="2643" w:type="dxa"/>
            <w:tcBorders>
              <w:top w:val="single" w:color="000000" w:sz="4" w:space="0"/>
              <w:left w:val="single" w:color="000000" w:sz="4" w:space="0"/>
              <w:bottom w:val="single" w:color="000000" w:sz="4" w:space="0"/>
              <w:right w:val="nil"/>
            </w:tcBorders>
            <w:vAlign w:val="center"/>
          </w:tcPr>
          <w:p w14:paraId="7C935EDE">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1109" w:type="dxa"/>
            <w:tcBorders>
              <w:top w:val="single" w:color="000000" w:sz="4" w:space="0"/>
              <w:left w:val="nil"/>
              <w:bottom w:val="single" w:color="000000" w:sz="4" w:space="0"/>
              <w:right w:val="single" w:color="000000" w:sz="4" w:space="0"/>
            </w:tcBorders>
            <w:vAlign w:val="center"/>
          </w:tcPr>
          <w:p w14:paraId="2FC181A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1426" w:type="dxa"/>
            <w:tcBorders>
              <w:top w:val="single" w:color="000000" w:sz="4" w:space="0"/>
              <w:left w:val="single" w:color="000000" w:sz="4" w:space="0"/>
              <w:bottom w:val="single" w:color="000000" w:sz="4" w:space="0"/>
              <w:right w:val="single" w:color="000000" w:sz="4" w:space="0"/>
            </w:tcBorders>
            <w:vAlign w:val="center"/>
          </w:tcPr>
          <w:p w14:paraId="4B67223D">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演练地点</w:t>
            </w:r>
          </w:p>
        </w:tc>
        <w:tc>
          <w:tcPr>
            <w:tcW w:w="1829" w:type="dxa"/>
            <w:tcBorders>
              <w:top w:val="single" w:color="000000" w:sz="4" w:space="0"/>
              <w:left w:val="single" w:color="000000" w:sz="4" w:space="0"/>
              <w:bottom w:val="single" w:color="000000" w:sz="4" w:space="0"/>
              <w:right w:val="single" w:color="000000" w:sz="4" w:space="0"/>
            </w:tcBorders>
            <w:vAlign w:val="center"/>
          </w:tcPr>
          <w:p w14:paraId="6EFBC053">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r>
      <w:tr w14:paraId="61C2F123">
        <w:tblPrEx>
          <w:tblCellMar>
            <w:top w:w="49" w:type="dxa"/>
            <w:left w:w="5" w:type="dxa"/>
            <w:bottom w:w="0" w:type="dxa"/>
            <w:right w:w="115" w:type="dxa"/>
          </w:tblCellMar>
        </w:tblPrEx>
        <w:trPr>
          <w:trHeight w:val="607" w:hRule="atLeast"/>
          <w:jc w:val="center"/>
        </w:trPr>
        <w:tc>
          <w:tcPr>
            <w:tcW w:w="1716" w:type="dxa"/>
            <w:tcBorders>
              <w:top w:val="single" w:color="000000" w:sz="4" w:space="0"/>
              <w:left w:val="single" w:color="000000" w:sz="4" w:space="0"/>
              <w:bottom w:val="single" w:color="000000" w:sz="4" w:space="0"/>
              <w:right w:val="single" w:color="000000" w:sz="4" w:space="0"/>
            </w:tcBorders>
            <w:vAlign w:val="center"/>
          </w:tcPr>
          <w:p w14:paraId="65C7F187">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演练名称</w:t>
            </w:r>
          </w:p>
        </w:tc>
        <w:tc>
          <w:tcPr>
            <w:tcW w:w="2643" w:type="dxa"/>
            <w:tcBorders>
              <w:top w:val="single" w:color="000000" w:sz="4" w:space="0"/>
              <w:left w:val="single" w:color="000000" w:sz="4" w:space="0"/>
              <w:bottom w:val="single" w:color="000000" w:sz="4" w:space="0"/>
              <w:right w:val="nil"/>
            </w:tcBorders>
            <w:vAlign w:val="center"/>
          </w:tcPr>
          <w:p w14:paraId="48A8221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1109" w:type="dxa"/>
            <w:tcBorders>
              <w:top w:val="single" w:color="000000" w:sz="4" w:space="0"/>
              <w:left w:val="nil"/>
              <w:bottom w:val="single" w:color="000000" w:sz="4" w:space="0"/>
              <w:right w:val="single" w:color="000000" w:sz="4" w:space="0"/>
            </w:tcBorders>
            <w:vAlign w:val="center"/>
          </w:tcPr>
          <w:p w14:paraId="11C31527">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1426" w:type="dxa"/>
            <w:tcBorders>
              <w:top w:val="single" w:color="000000" w:sz="4" w:space="0"/>
              <w:left w:val="single" w:color="000000" w:sz="4" w:space="0"/>
              <w:bottom w:val="single" w:color="000000" w:sz="4" w:space="0"/>
              <w:right w:val="single" w:color="000000" w:sz="4" w:space="0"/>
            </w:tcBorders>
            <w:vAlign w:val="center"/>
          </w:tcPr>
          <w:p w14:paraId="483DD12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指挥人</w:t>
            </w:r>
          </w:p>
        </w:tc>
        <w:tc>
          <w:tcPr>
            <w:tcW w:w="1829" w:type="dxa"/>
            <w:tcBorders>
              <w:top w:val="single" w:color="000000" w:sz="4" w:space="0"/>
              <w:left w:val="single" w:color="000000" w:sz="4" w:space="0"/>
              <w:bottom w:val="single" w:color="000000" w:sz="4" w:space="0"/>
              <w:right w:val="single" w:color="000000" w:sz="4" w:space="0"/>
            </w:tcBorders>
            <w:vAlign w:val="center"/>
          </w:tcPr>
          <w:p w14:paraId="456430B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r>
      <w:tr w14:paraId="7DF42CA2">
        <w:tblPrEx>
          <w:tblCellMar>
            <w:top w:w="49" w:type="dxa"/>
            <w:left w:w="5" w:type="dxa"/>
            <w:bottom w:w="0" w:type="dxa"/>
            <w:right w:w="115" w:type="dxa"/>
          </w:tblCellMar>
        </w:tblPrEx>
        <w:trPr>
          <w:trHeight w:val="1155" w:hRule="atLeast"/>
          <w:jc w:val="center"/>
        </w:trPr>
        <w:tc>
          <w:tcPr>
            <w:tcW w:w="4359" w:type="dxa"/>
            <w:gridSpan w:val="2"/>
            <w:tcBorders>
              <w:top w:val="single" w:color="000000" w:sz="4" w:space="0"/>
              <w:left w:val="single" w:color="000000" w:sz="4" w:space="0"/>
              <w:bottom w:val="single" w:color="000000" w:sz="4" w:space="0"/>
              <w:right w:val="nil"/>
            </w:tcBorders>
            <w:vAlign w:val="top"/>
          </w:tcPr>
          <w:p w14:paraId="4E8940EA">
            <w:pPr>
              <w:keepNext w:val="0"/>
              <w:keepLines w:val="0"/>
              <w:pageBreakBefore w:val="0"/>
              <w:widowControl w:val="0"/>
              <w:tabs>
                <w:tab w:val="center" w:pos="1711"/>
              </w:tabs>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参加人：</w:t>
            </w:r>
          </w:p>
        </w:tc>
        <w:tc>
          <w:tcPr>
            <w:tcW w:w="4364" w:type="dxa"/>
            <w:gridSpan w:val="3"/>
            <w:tcBorders>
              <w:top w:val="single" w:color="000000" w:sz="4" w:space="0"/>
              <w:left w:val="nil"/>
              <w:bottom w:val="single" w:color="000000" w:sz="4" w:space="0"/>
              <w:right w:val="single" w:color="000000" w:sz="4" w:space="0"/>
            </w:tcBorders>
            <w:vAlign w:val="center"/>
          </w:tcPr>
          <w:p w14:paraId="0879D26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r>
      <w:tr w14:paraId="2218CE38">
        <w:tblPrEx>
          <w:tblCellMar>
            <w:top w:w="49" w:type="dxa"/>
            <w:left w:w="5" w:type="dxa"/>
            <w:bottom w:w="0" w:type="dxa"/>
            <w:right w:w="115" w:type="dxa"/>
          </w:tblCellMar>
        </w:tblPrEx>
        <w:trPr>
          <w:trHeight w:val="90" w:hRule="atLeast"/>
          <w:jc w:val="center"/>
        </w:trPr>
        <w:tc>
          <w:tcPr>
            <w:tcW w:w="4359" w:type="dxa"/>
            <w:gridSpan w:val="2"/>
            <w:tcBorders>
              <w:top w:val="single" w:color="000000" w:sz="4" w:space="0"/>
              <w:left w:val="single" w:color="000000" w:sz="4" w:space="0"/>
              <w:bottom w:val="single" w:color="000000" w:sz="4" w:space="0"/>
              <w:right w:val="nil"/>
            </w:tcBorders>
            <w:vAlign w:val="center"/>
          </w:tcPr>
          <w:p w14:paraId="74E5DFD3">
            <w:pPr>
              <w:keepNext w:val="0"/>
              <w:keepLines w:val="0"/>
              <w:pageBreakBefore w:val="0"/>
              <w:widowControl w:val="0"/>
              <w:tabs>
                <w:tab w:val="center" w:pos="2506"/>
              </w:tabs>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效果评价及完善意见：</w:t>
            </w:r>
          </w:p>
        </w:tc>
        <w:tc>
          <w:tcPr>
            <w:tcW w:w="4364" w:type="dxa"/>
            <w:gridSpan w:val="3"/>
            <w:tcBorders>
              <w:top w:val="single" w:color="000000" w:sz="4" w:space="0"/>
              <w:left w:val="nil"/>
              <w:bottom w:val="single" w:color="000000" w:sz="4" w:space="0"/>
              <w:right w:val="single" w:color="000000" w:sz="4" w:space="0"/>
            </w:tcBorders>
            <w:vAlign w:val="center"/>
          </w:tcPr>
          <w:p w14:paraId="1A518A8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r>
      <w:tr w14:paraId="672E2DC3">
        <w:tblPrEx>
          <w:tblCellMar>
            <w:top w:w="49" w:type="dxa"/>
            <w:left w:w="5" w:type="dxa"/>
            <w:bottom w:w="0" w:type="dxa"/>
            <w:right w:w="115" w:type="dxa"/>
          </w:tblCellMar>
        </w:tblPrEx>
        <w:trPr>
          <w:trHeight w:val="784" w:hRule="atLeast"/>
          <w:jc w:val="center"/>
        </w:trPr>
        <w:tc>
          <w:tcPr>
            <w:tcW w:w="4359" w:type="dxa"/>
            <w:gridSpan w:val="2"/>
            <w:tcBorders>
              <w:top w:val="single" w:color="000000" w:sz="4" w:space="0"/>
              <w:left w:val="single" w:color="000000" w:sz="4" w:space="0"/>
              <w:bottom w:val="single" w:color="000000" w:sz="4" w:space="0"/>
              <w:right w:val="nil"/>
            </w:tcBorders>
            <w:vAlign w:val="center"/>
          </w:tcPr>
          <w:p w14:paraId="3C3E54C1">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评价人签字：</w:t>
            </w:r>
          </w:p>
        </w:tc>
        <w:tc>
          <w:tcPr>
            <w:tcW w:w="4364" w:type="dxa"/>
            <w:gridSpan w:val="3"/>
            <w:tcBorders>
              <w:top w:val="single" w:color="000000" w:sz="4" w:space="0"/>
              <w:left w:val="nil"/>
              <w:bottom w:val="single" w:color="000000" w:sz="4" w:space="0"/>
              <w:right w:val="single" w:color="000000" w:sz="4" w:space="0"/>
            </w:tcBorders>
            <w:vAlign w:val="center"/>
          </w:tcPr>
          <w:p w14:paraId="249F2E7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r>
      <w:tr w14:paraId="553667D3">
        <w:tblPrEx>
          <w:tblCellMar>
            <w:top w:w="49" w:type="dxa"/>
            <w:left w:w="5" w:type="dxa"/>
            <w:bottom w:w="0" w:type="dxa"/>
            <w:right w:w="115" w:type="dxa"/>
          </w:tblCellMar>
        </w:tblPrEx>
        <w:trPr>
          <w:trHeight w:val="701" w:hRule="atLeast"/>
          <w:jc w:val="center"/>
        </w:trPr>
        <w:tc>
          <w:tcPr>
            <w:tcW w:w="4359" w:type="dxa"/>
            <w:gridSpan w:val="2"/>
            <w:tcBorders>
              <w:top w:val="single" w:color="000000" w:sz="4" w:space="0"/>
              <w:left w:val="single" w:color="000000" w:sz="4" w:space="0"/>
              <w:bottom w:val="single" w:color="000000" w:sz="4" w:space="0"/>
              <w:right w:val="single" w:color="000000" w:sz="4" w:space="0"/>
            </w:tcBorders>
            <w:vAlign w:val="center"/>
          </w:tcPr>
          <w:p w14:paraId="78BE01D1">
            <w:pPr>
              <w:keepNext w:val="0"/>
              <w:keepLines w:val="0"/>
              <w:pageBreakBefore w:val="0"/>
              <w:widowControl w:val="0"/>
              <w:tabs>
                <w:tab w:val="center" w:pos="1711"/>
              </w:tabs>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保存部门：</w:t>
            </w:r>
          </w:p>
        </w:tc>
        <w:tc>
          <w:tcPr>
            <w:tcW w:w="4364" w:type="dxa"/>
            <w:gridSpan w:val="3"/>
            <w:tcBorders>
              <w:top w:val="single" w:color="000000" w:sz="4" w:space="0"/>
              <w:left w:val="single" w:color="000000" w:sz="4" w:space="0"/>
              <w:bottom w:val="single" w:color="000000" w:sz="4" w:space="0"/>
              <w:right w:val="single" w:color="000000" w:sz="4" w:space="0"/>
            </w:tcBorders>
            <w:vAlign w:val="center"/>
          </w:tcPr>
          <w:p w14:paraId="56C83DA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保存期：</w:t>
            </w:r>
          </w:p>
        </w:tc>
      </w:tr>
    </w:tbl>
    <w:p w14:paraId="40055302">
      <w:pPr>
        <w:keepNext w:val="0"/>
        <w:keepLines w:val="0"/>
        <w:pageBreakBefore w:val="0"/>
        <w:widowControl w:val="0"/>
        <w:kinsoku/>
        <w:overflowPunct/>
        <w:topLinePunct w:val="0"/>
        <w:bidi w:val="0"/>
        <w:spacing w:line="360" w:lineRule="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br w:type="page"/>
      </w:r>
    </w:p>
    <w:p w14:paraId="0085F481">
      <w:pPr>
        <w:pStyle w:val="3"/>
        <w:bidi w:val="0"/>
        <w:rPr>
          <w:rFonts w:hint="default"/>
          <w:lang w:val="en-US" w:eastAsia="zh-CN"/>
        </w:rPr>
      </w:pPr>
      <w:bookmarkStart w:id="170" w:name="_Toc5892"/>
      <w:bookmarkStart w:id="171" w:name="_Toc15836"/>
      <w:r>
        <w:rPr>
          <w:rFonts w:hint="default"/>
          <w:lang w:val="en-US" w:eastAsia="zh-CN"/>
        </w:rPr>
        <w:t>附件</w:t>
      </w:r>
      <w:r>
        <w:rPr>
          <w:rFonts w:hint="eastAsia"/>
          <w:lang w:val="en-US" w:eastAsia="zh-CN"/>
        </w:rPr>
        <w:t>4</w:t>
      </w:r>
      <w:r>
        <w:rPr>
          <w:rFonts w:hint="default"/>
          <w:lang w:val="en-US" w:eastAsia="zh-CN"/>
        </w:rPr>
        <w:t>：水质超标指标控制和处理技术推荐表</w:t>
      </w:r>
      <w:bookmarkEnd w:id="170"/>
      <w:bookmarkEnd w:id="171"/>
      <w:r>
        <w:rPr>
          <w:rFonts w:hint="default"/>
          <w:lang w:val="en-US" w:eastAsia="zh-CN"/>
        </w:rPr>
        <w:t xml:space="preserve"> </w:t>
      </w:r>
    </w:p>
    <w:tbl>
      <w:tblPr>
        <w:tblStyle w:val="26"/>
        <w:tblW w:w="8519" w:type="dxa"/>
        <w:tblInd w:w="-202" w:type="dxa"/>
        <w:tblLayout w:type="autofit"/>
        <w:tblCellMar>
          <w:top w:w="77" w:type="dxa"/>
          <w:left w:w="106" w:type="dxa"/>
          <w:bottom w:w="0" w:type="dxa"/>
          <w:right w:w="80" w:type="dxa"/>
        </w:tblCellMar>
      </w:tblPr>
      <w:tblGrid>
        <w:gridCol w:w="960"/>
        <w:gridCol w:w="2017"/>
        <w:gridCol w:w="5542"/>
      </w:tblGrid>
      <w:tr w14:paraId="0F664528">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6371418E">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b/>
                <w:bCs/>
                <w:sz w:val="24"/>
                <w:szCs w:val="24"/>
                <w:lang w:eastAsia="zh-CN"/>
              </w:rPr>
            </w:pPr>
            <w:r>
              <w:rPr>
                <w:rFonts w:hint="default" w:ascii="Times New Roman" w:hAnsi="Times New Roman" w:eastAsia="仿宋" w:cs="Times New Roman"/>
                <w:b/>
                <w:bCs/>
                <w:sz w:val="24"/>
                <w:szCs w:val="24"/>
              </w:rPr>
              <w:t>序号</w:t>
            </w:r>
          </w:p>
        </w:tc>
        <w:tc>
          <w:tcPr>
            <w:tcW w:w="2017" w:type="dxa"/>
            <w:tcBorders>
              <w:top w:val="single" w:color="000000" w:sz="4" w:space="0"/>
              <w:left w:val="single" w:color="000000" w:sz="4" w:space="0"/>
              <w:bottom w:val="single" w:color="000000" w:sz="4" w:space="0"/>
              <w:right w:val="single" w:color="000000" w:sz="4" w:space="0"/>
            </w:tcBorders>
            <w:vAlign w:val="center"/>
          </w:tcPr>
          <w:p w14:paraId="198ED04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b/>
                <w:bCs/>
                <w:sz w:val="24"/>
                <w:szCs w:val="24"/>
                <w:lang w:eastAsia="zh-CN"/>
              </w:rPr>
            </w:pPr>
            <w:r>
              <w:rPr>
                <w:rFonts w:hint="default" w:ascii="Times New Roman" w:hAnsi="Times New Roman" w:eastAsia="仿宋" w:cs="Times New Roman"/>
                <w:b/>
                <w:bCs/>
                <w:sz w:val="24"/>
                <w:szCs w:val="24"/>
              </w:rPr>
              <w:t>超标指标</w:t>
            </w:r>
          </w:p>
        </w:tc>
        <w:tc>
          <w:tcPr>
            <w:tcW w:w="5543" w:type="dxa"/>
            <w:tcBorders>
              <w:top w:val="single" w:color="000000" w:sz="4" w:space="0"/>
              <w:left w:val="single" w:color="000000" w:sz="4" w:space="0"/>
              <w:bottom w:val="single" w:color="000000" w:sz="4" w:space="0"/>
              <w:right w:val="single" w:color="000000" w:sz="4" w:space="0"/>
            </w:tcBorders>
            <w:vAlign w:val="center"/>
          </w:tcPr>
          <w:p w14:paraId="172FCD8B">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b/>
                <w:bCs/>
                <w:sz w:val="24"/>
                <w:szCs w:val="24"/>
                <w:lang w:eastAsia="zh-CN"/>
              </w:rPr>
            </w:pPr>
            <w:r>
              <w:rPr>
                <w:rFonts w:hint="default" w:ascii="Times New Roman" w:hAnsi="Times New Roman" w:eastAsia="仿宋" w:cs="Times New Roman"/>
                <w:b/>
                <w:bCs/>
                <w:sz w:val="24"/>
                <w:szCs w:val="24"/>
              </w:rPr>
              <w:t>控制和处理技术</w:t>
            </w:r>
          </w:p>
        </w:tc>
      </w:tr>
      <w:tr w14:paraId="31FDF0AE">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54191E27">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1</w:t>
            </w:r>
          </w:p>
        </w:tc>
        <w:tc>
          <w:tcPr>
            <w:tcW w:w="2017" w:type="dxa"/>
            <w:tcBorders>
              <w:top w:val="single" w:color="000000" w:sz="4" w:space="0"/>
              <w:left w:val="single" w:color="000000" w:sz="4" w:space="0"/>
              <w:bottom w:val="single" w:color="000000" w:sz="4" w:space="0"/>
              <w:right w:val="single" w:color="000000" w:sz="4" w:space="0"/>
            </w:tcBorders>
            <w:vAlign w:val="center"/>
          </w:tcPr>
          <w:p w14:paraId="5CDA7CD3">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浊度</w:t>
            </w:r>
          </w:p>
        </w:tc>
        <w:tc>
          <w:tcPr>
            <w:tcW w:w="5543" w:type="dxa"/>
            <w:tcBorders>
              <w:top w:val="single" w:color="000000" w:sz="4" w:space="0"/>
              <w:left w:val="single" w:color="000000" w:sz="4" w:space="0"/>
              <w:bottom w:val="single" w:color="000000" w:sz="4" w:space="0"/>
              <w:right w:val="single" w:color="000000" w:sz="4" w:space="0"/>
            </w:tcBorders>
            <w:vAlign w:val="center"/>
          </w:tcPr>
          <w:p w14:paraId="1A8CA993">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快速砂滤池、絮凝、沉淀、过滤</w:t>
            </w:r>
          </w:p>
        </w:tc>
      </w:tr>
      <w:tr w14:paraId="19B48BFE">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5902344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2</w:t>
            </w:r>
          </w:p>
        </w:tc>
        <w:tc>
          <w:tcPr>
            <w:tcW w:w="2017" w:type="dxa"/>
            <w:tcBorders>
              <w:top w:val="single" w:color="000000" w:sz="4" w:space="0"/>
              <w:left w:val="single" w:color="000000" w:sz="4" w:space="0"/>
              <w:bottom w:val="single" w:color="000000" w:sz="4" w:space="0"/>
              <w:right w:val="single" w:color="000000" w:sz="4" w:space="0"/>
            </w:tcBorders>
            <w:vAlign w:val="center"/>
          </w:tcPr>
          <w:p w14:paraId="26700BA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色度</w:t>
            </w:r>
          </w:p>
        </w:tc>
        <w:tc>
          <w:tcPr>
            <w:tcW w:w="5543" w:type="dxa"/>
            <w:tcBorders>
              <w:top w:val="single" w:color="000000" w:sz="4" w:space="0"/>
              <w:left w:val="single" w:color="000000" w:sz="4" w:space="0"/>
              <w:bottom w:val="single" w:color="000000" w:sz="4" w:space="0"/>
              <w:right w:val="single" w:color="000000" w:sz="4" w:space="0"/>
            </w:tcBorders>
            <w:vAlign w:val="center"/>
          </w:tcPr>
          <w:p w14:paraId="12F4232E">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快速砂滤池、絮凝；活性炭吸附；化学氧化预处理：臭氧、氯、高锰酸钾、二氧化氯</w:t>
            </w:r>
          </w:p>
        </w:tc>
      </w:tr>
      <w:tr w14:paraId="57493D1E">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0F54EF9E">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3</w:t>
            </w:r>
          </w:p>
        </w:tc>
        <w:tc>
          <w:tcPr>
            <w:tcW w:w="2017" w:type="dxa"/>
            <w:tcBorders>
              <w:top w:val="single" w:color="000000" w:sz="4" w:space="0"/>
              <w:left w:val="single" w:color="000000" w:sz="4" w:space="0"/>
              <w:bottom w:val="single" w:color="000000" w:sz="4" w:space="0"/>
              <w:right w:val="single" w:color="000000" w:sz="4" w:space="0"/>
            </w:tcBorders>
            <w:vAlign w:val="center"/>
          </w:tcPr>
          <w:p w14:paraId="7C49DC43">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嗅味</w:t>
            </w:r>
          </w:p>
        </w:tc>
        <w:tc>
          <w:tcPr>
            <w:tcW w:w="5543" w:type="dxa"/>
            <w:tcBorders>
              <w:top w:val="single" w:color="000000" w:sz="4" w:space="0"/>
              <w:left w:val="single" w:color="000000" w:sz="4" w:space="0"/>
              <w:bottom w:val="single" w:color="000000" w:sz="4" w:space="0"/>
              <w:right w:val="single" w:color="000000" w:sz="4" w:space="0"/>
            </w:tcBorders>
            <w:vAlign w:val="center"/>
          </w:tcPr>
          <w:p w14:paraId="46EC47B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化学氧化预处理：臭氧、氯、高锰酸钾、二氧化氯、活性炭</w:t>
            </w:r>
          </w:p>
        </w:tc>
      </w:tr>
      <w:tr w14:paraId="012EE3C5">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0B87D04B">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4</w:t>
            </w:r>
          </w:p>
        </w:tc>
        <w:tc>
          <w:tcPr>
            <w:tcW w:w="2017" w:type="dxa"/>
            <w:tcBorders>
              <w:top w:val="single" w:color="000000" w:sz="4" w:space="0"/>
              <w:left w:val="single" w:color="000000" w:sz="4" w:space="0"/>
              <w:bottom w:val="single" w:color="000000" w:sz="4" w:space="0"/>
              <w:right w:val="single" w:color="000000" w:sz="4" w:space="0"/>
            </w:tcBorders>
            <w:vAlign w:val="center"/>
          </w:tcPr>
          <w:p w14:paraId="61BFFCF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氟化物</w:t>
            </w:r>
          </w:p>
        </w:tc>
        <w:tc>
          <w:tcPr>
            <w:tcW w:w="5543" w:type="dxa"/>
            <w:tcBorders>
              <w:top w:val="single" w:color="000000" w:sz="4" w:space="0"/>
              <w:left w:val="single" w:color="000000" w:sz="4" w:space="0"/>
              <w:bottom w:val="single" w:color="000000" w:sz="4" w:space="0"/>
              <w:right w:val="single" w:color="000000" w:sz="4" w:space="0"/>
            </w:tcBorders>
            <w:vAlign w:val="center"/>
          </w:tcPr>
          <w:p w14:paraId="114CC8B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吸附法：氧化铝、磷酸二钙；混凝沉淀法：硫酸铝、聚合氯化铝；离子交换法；电渗析法</w:t>
            </w:r>
          </w:p>
        </w:tc>
      </w:tr>
      <w:tr w14:paraId="3D8EEE2F">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66FD1D6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5</w:t>
            </w:r>
          </w:p>
        </w:tc>
        <w:tc>
          <w:tcPr>
            <w:tcW w:w="2017" w:type="dxa"/>
            <w:tcBorders>
              <w:top w:val="single" w:color="000000" w:sz="4" w:space="0"/>
              <w:left w:val="single" w:color="000000" w:sz="4" w:space="0"/>
              <w:bottom w:val="single" w:color="000000" w:sz="4" w:space="0"/>
              <w:right w:val="single" w:color="000000" w:sz="4" w:space="0"/>
            </w:tcBorders>
            <w:vAlign w:val="center"/>
          </w:tcPr>
          <w:p w14:paraId="716D091B">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氨氮</w:t>
            </w:r>
          </w:p>
        </w:tc>
        <w:tc>
          <w:tcPr>
            <w:tcW w:w="5543" w:type="dxa"/>
            <w:tcBorders>
              <w:top w:val="single" w:color="000000" w:sz="4" w:space="0"/>
              <w:left w:val="single" w:color="000000" w:sz="4" w:space="0"/>
              <w:bottom w:val="single" w:color="000000" w:sz="4" w:space="0"/>
              <w:right w:val="single" w:color="000000" w:sz="4" w:space="0"/>
            </w:tcBorders>
            <w:vAlign w:val="center"/>
          </w:tcPr>
          <w:p w14:paraId="63A6D27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化学氧化预处理：氯、高锰酸钾；深度处理：臭氧生物活性炭</w:t>
            </w:r>
          </w:p>
        </w:tc>
      </w:tr>
      <w:tr w14:paraId="21300A4D">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58F0FABA">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6</w:t>
            </w:r>
          </w:p>
        </w:tc>
        <w:tc>
          <w:tcPr>
            <w:tcW w:w="2017" w:type="dxa"/>
            <w:tcBorders>
              <w:top w:val="single" w:color="000000" w:sz="4" w:space="0"/>
              <w:left w:val="single" w:color="000000" w:sz="4" w:space="0"/>
              <w:bottom w:val="single" w:color="000000" w:sz="4" w:space="0"/>
              <w:right w:val="single" w:color="000000" w:sz="4" w:space="0"/>
            </w:tcBorders>
            <w:vAlign w:val="center"/>
          </w:tcPr>
          <w:p w14:paraId="08F013A5">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铁、锰</w:t>
            </w:r>
          </w:p>
        </w:tc>
        <w:tc>
          <w:tcPr>
            <w:tcW w:w="5543" w:type="dxa"/>
            <w:tcBorders>
              <w:top w:val="single" w:color="000000" w:sz="4" w:space="0"/>
              <w:left w:val="single" w:color="000000" w:sz="4" w:space="0"/>
              <w:bottom w:val="single" w:color="000000" w:sz="4" w:space="0"/>
              <w:right w:val="single" w:color="000000" w:sz="4" w:space="0"/>
            </w:tcBorders>
            <w:vAlign w:val="center"/>
          </w:tcPr>
          <w:p w14:paraId="066CDD0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锰砂；化学氧化预处理：氯、高锰酸钾；深度处理：臭氧-生物活性炭</w:t>
            </w:r>
          </w:p>
        </w:tc>
      </w:tr>
      <w:tr w14:paraId="56C5277B">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1B56FA8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7</w:t>
            </w:r>
          </w:p>
        </w:tc>
        <w:tc>
          <w:tcPr>
            <w:tcW w:w="2017" w:type="dxa"/>
            <w:tcBorders>
              <w:top w:val="single" w:color="000000" w:sz="4" w:space="0"/>
              <w:left w:val="single" w:color="000000" w:sz="4" w:space="0"/>
              <w:bottom w:val="single" w:color="000000" w:sz="4" w:space="0"/>
              <w:right w:val="single" w:color="000000" w:sz="4" w:space="0"/>
            </w:tcBorders>
            <w:vAlign w:val="center"/>
          </w:tcPr>
          <w:p w14:paraId="4DB44D8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挥发性有机物</w:t>
            </w:r>
          </w:p>
        </w:tc>
        <w:tc>
          <w:tcPr>
            <w:tcW w:w="5543" w:type="dxa"/>
            <w:tcBorders>
              <w:top w:val="single" w:color="000000" w:sz="4" w:space="0"/>
              <w:left w:val="single" w:color="000000" w:sz="4" w:space="0"/>
              <w:bottom w:val="single" w:color="000000" w:sz="4" w:space="0"/>
              <w:right w:val="single" w:color="000000" w:sz="4" w:space="0"/>
            </w:tcBorders>
            <w:vAlign w:val="center"/>
          </w:tcPr>
          <w:p w14:paraId="350E6D61">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生物活性炭吸附</w:t>
            </w:r>
          </w:p>
        </w:tc>
      </w:tr>
      <w:tr w14:paraId="54608213">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4E4E013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8</w:t>
            </w:r>
          </w:p>
        </w:tc>
        <w:tc>
          <w:tcPr>
            <w:tcW w:w="2017" w:type="dxa"/>
            <w:tcBorders>
              <w:top w:val="single" w:color="000000" w:sz="4" w:space="0"/>
              <w:left w:val="single" w:color="000000" w:sz="4" w:space="0"/>
              <w:bottom w:val="single" w:color="000000" w:sz="4" w:space="0"/>
              <w:right w:val="single" w:color="000000" w:sz="4" w:space="0"/>
            </w:tcBorders>
            <w:vAlign w:val="center"/>
          </w:tcPr>
          <w:p w14:paraId="19D6BA6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三氯甲烷和腐殖酸</w:t>
            </w:r>
          </w:p>
        </w:tc>
        <w:tc>
          <w:tcPr>
            <w:tcW w:w="5543" w:type="dxa"/>
            <w:tcBorders>
              <w:top w:val="single" w:color="000000" w:sz="4" w:space="0"/>
              <w:left w:val="single" w:color="000000" w:sz="4" w:space="0"/>
              <w:bottom w:val="single" w:color="000000" w:sz="4" w:space="0"/>
              <w:right w:val="single" w:color="000000" w:sz="4" w:space="0"/>
            </w:tcBorders>
            <w:vAlign w:val="center"/>
          </w:tcPr>
          <w:p w14:paraId="47C334B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前驱物的去除：强化混凝、粒状活性炭、生物活性炭；氯化副产物的去除：粒状活性炭</w:t>
            </w:r>
          </w:p>
        </w:tc>
      </w:tr>
      <w:tr w14:paraId="2DFA6775">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2A6AD775">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9</w:t>
            </w:r>
          </w:p>
        </w:tc>
        <w:tc>
          <w:tcPr>
            <w:tcW w:w="2017" w:type="dxa"/>
            <w:tcBorders>
              <w:top w:val="single" w:color="000000" w:sz="4" w:space="0"/>
              <w:left w:val="single" w:color="000000" w:sz="4" w:space="0"/>
              <w:bottom w:val="single" w:color="000000" w:sz="4" w:space="0"/>
              <w:right w:val="single" w:color="000000" w:sz="4" w:space="0"/>
            </w:tcBorders>
            <w:vAlign w:val="center"/>
          </w:tcPr>
          <w:p w14:paraId="4B060DD5">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有机化合物</w:t>
            </w:r>
          </w:p>
        </w:tc>
        <w:tc>
          <w:tcPr>
            <w:tcW w:w="5543" w:type="dxa"/>
            <w:tcBorders>
              <w:top w:val="single" w:color="000000" w:sz="4" w:space="0"/>
              <w:left w:val="single" w:color="000000" w:sz="4" w:space="0"/>
              <w:bottom w:val="single" w:color="000000" w:sz="4" w:space="0"/>
              <w:right w:val="single" w:color="000000" w:sz="4" w:space="0"/>
            </w:tcBorders>
            <w:vAlign w:val="center"/>
          </w:tcPr>
          <w:p w14:paraId="308297F3">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生物活性炭、膜处理</w:t>
            </w:r>
          </w:p>
        </w:tc>
      </w:tr>
      <w:tr w14:paraId="158BB6E6">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2A73592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10</w:t>
            </w:r>
          </w:p>
        </w:tc>
        <w:tc>
          <w:tcPr>
            <w:tcW w:w="2017" w:type="dxa"/>
            <w:tcBorders>
              <w:top w:val="single" w:color="000000" w:sz="4" w:space="0"/>
              <w:left w:val="single" w:color="000000" w:sz="4" w:space="0"/>
              <w:bottom w:val="single" w:color="000000" w:sz="4" w:space="0"/>
              <w:right w:val="single" w:color="000000" w:sz="4" w:space="0"/>
            </w:tcBorders>
            <w:vAlign w:val="center"/>
          </w:tcPr>
          <w:p w14:paraId="717076A3">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细菌和病毒</w:t>
            </w:r>
          </w:p>
        </w:tc>
        <w:tc>
          <w:tcPr>
            <w:tcW w:w="5543" w:type="dxa"/>
            <w:tcBorders>
              <w:top w:val="single" w:color="000000" w:sz="4" w:space="0"/>
              <w:left w:val="single" w:color="000000" w:sz="4" w:space="0"/>
              <w:bottom w:val="single" w:color="000000" w:sz="4" w:space="0"/>
              <w:right w:val="single" w:color="000000" w:sz="4" w:space="0"/>
            </w:tcBorders>
            <w:vAlign w:val="center"/>
          </w:tcPr>
          <w:p w14:paraId="38726F9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过滤（部分去除）；消毒处理：氯、二氧化氯、臭氧、膜处理、紫外消毒</w:t>
            </w:r>
          </w:p>
        </w:tc>
      </w:tr>
      <w:tr w14:paraId="45408D06">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54DDADC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11</w:t>
            </w:r>
          </w:p>
        </w:tc>
        <w:tc>
          <w:tcPr>
            <w:tcW w:w="2017" w:type="dxa"/>
            <w:tcBorders>
              <w:top w:val="single" w:color="000000" w:sz="4" w:space="0"/>
              <w:left w:val="single" w:color="000000" w:sz="4" w:space="0"/>
              <w:bottom w:val="single" w:color="000000" w:sz="4" w:space="0"/>
              <w:right w:val="single" w:color="000000" w:sz="4" w:space="0"/>
            </w:tcBorders>
            <w:vAlign w:val="center"/>
          </w:tcPr>
          <w:p w14:paraId="563A0323">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汞、铬等部分重金属（应急状态）</w:t>
            </w:r>
          </w:p>
        </w:tc>
        <w:tc>
          <w:tcPr>
            <w:tcW w:w="5543" w:type="dxa"/>
            <w:tcBorders>
              <w:top w:val="single" w:color="000000" w:sz="4" w:space="0"/>
              <w:left w:val="single" w:color="000000" w:sz="4" w:space="0"/>
              <w:bottom w:val="single" w:color="000000" w:sz="4" w:space="0"/>
              <w:right w:val="single" w:color="000000" w:sz="4" w:space="0"/>
            </w:tcBorders>
            <w:vAlign w:val="center"/>
          </w:tcPr>
          <w:p w14:paraId="207BA4AD">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氧化法：高锰酸钾；生物活性炭吸附（部分去除）</w:t>
            </w:r>
          </w:p>
        </w:tc>
      </w:tr>
      <w:tr w14:paraId="23332AFE">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4013642A">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12</w:t>
            </w:r>
          </w:p>
        </w:tc>
        <w:tc>
          <w:tcPr>
            <w:tcW w:w="2017" w:type="dxa"/>
            <w:tcBorders>
              <w:top w:val="single" w:color="000000" w:sz="4" w:space="0"/>
              <w:left w:val="single" w:color="000000" w:sz="4" w:space="0"/>
              <w:bottom w:val="single" w:color="000000" w:sz="4" w:space="0"/>
              <w:right w:val="single" w:color="000000" w:sz="4" w:space="0"/>
            </w:tcBorders>
            <w:vAlign w:val="center"/>
          </w:tcPr>
          <w:p w14:paraId="0BA73A1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藻类及藻毒素</w:t>
            </w:r>
          </w:p>
        </w:tc>
        <w:tc>
          <w:tcPr>
            <w:tcW w:w="5543" w:type="dxa"/>
            <w:tcBorders>
              <w:top w:val="single" w:color="000000" w:sz="4" w:space="0"/>
              <w:left w:val="single" w:color="000000" w:sz="4" w:space="0"/>
              <w:bottom w:val="single" w:color="000000" w:sz="4" w:space="0"/>
              <w:right w:val="single" w:color="000000" w:sz="4" w:space="0"/>
            </w:tcBorders>
            <w:vAlign w:val="center"/>
          </w:tcPr>
          <w:p w14:paraId="2D0BAC4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化学氧化预处理：除藻剂法、高锰酸钾、氯；微滤法；气浮法；臭氧氧化法</w:t>
            </w:r>
          </w:p>
        </w:tc>
      </w:tr>
    </w:tbl>
    <w:p w14:paraId="2572D314">
      <w:pPr>
        <w:keepNext w:val="0"/>
        <w:keepLines w:val="0"/>
        <w:pageBreakBefore w:val="0"/>
        <w:widowControl w:val="0"/>
        <w:kinsoku/>
        <w:overflowPunct/>
        <w:topLinePunct w:val="0"/>
        <w:bidi w:val="0"/>
        <w:spacing w:after="0" w:line="360" w:lineRule="auto"/>
        <w:ind w:left="-1688" w:right="645" w:firstLine="0"/>
        <w:rPr>
          <w:rFonts w:hint="default" w:ascii="Times New Roman" w:hAnsi="Times New Roman" w:eastAsia="仿宋" w:cs="Times New Roman"/>
          <w:sz w:val="28"/>
          <w:szCs w:val="28"/>
        </w:rPr>
      </w:pPr>
    </w:p>
    <w:p w14:paraId="40E132AD">
      <w:pPr>
        <w:keepNext w:val="0"/>
        <w:keepLines w:val="0"/>
        <w:pageBreakBefore w:val="0"/>
        <w:widowControl w:val="0"/>
        <w:kinsoku/>
        <w:overflowPunct/>
        <w:topLinePunct w:val="0"/>
        <w:bidi w:val="0"/>
        <w:spacing w:line="360" w:lineRule="auto"/>
        <w:rPr>
          <w:rFonts w:hint="default" w:ascii="Times New Roman" w:hAnsi="Times New Roman" w:eastAsia="仿宋" w:cs="Times New Roman"/>
          <w:sz w:val="28"/>
          <w:szCs w:val="28"/>
        </w:rPr>
        <w:sectPr>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pPr>
    </w:p>
    <w:p w14:paraId="151EEF2C">
      <w:pPr>
        <w:pStyle w:val="3"/>
        <w:bidi w:val="0"/>
        <w:rPr>
          <w:rFonts w:hint="default"/>
          <w:lang w:val="en-US" w:eastAsia="zh-CN"/>
        </w:rPr>
      </w:pPr>
      <w:bookmarkStart w:id="172" w:name="_Toc270"/>
      <w:bookmarkStart w:id="173" w:name="_Toc29936"/>
      <w:bookmarkStart w:id="174" w:name="_Toc16088"/>
      <w:r>
        <w:rPr>
          <w:rFonts w:hint="default"/>
          <w:lang w:val="en-US" w:eastAsia="zh-CN"/>
        </w:rPr>
        <w:t>附件</w:t>
      </w:r>
      <w:r>
        <w:rPr>
          <w:rFonts w:hint="eastAsia"/>
          <w:lang w:val="en-US" w:eastAsia="zh-CN"/>
        </w:rPr>
        <w:t>5</w:t>
      </w:r>
      <w:r>
        <w:rPr>
          <w:rFonts w:hint="default"/>
          <w:lang w:val="en-US" w:eastAsia="zh-CN"/>
        </w:rPr>
        <w:t>：常见化学品引发水污染事故的简要处置方法</w:t>
      </w:r>
      <w:bookmarkEnd w:id="172"/>
      <w:bookmarkEnd w:id="173"/>
      <w:r>
        <w:rPr>
          <w:rFonts w:hint="default"/>
          <w:lang w:val="en-US" w:eastAsia="zh-CN"/>
        </w:rPr>
        <w:t xml:space="preserve"> </w:t>
      </w:r>
    </w:p>
    <w:tbl>
      <w:tblPr>
        <w:tblStyle w:val="26"/>
        <w:tblW w:w="14578" w:type="dxa"/>
        <w:jc w:val="center"/>
        <w:tblLayout w:type="autofit"/>
        <w:tblCellMar>
          <w:top w:w="77" w:type="dxa"/>
          <w:left w:w="0" w:type="dxa"/>
          <w:bottom w:w="0" w:type="dxa"/>
          <w:right w:w="0" w:type="dxa"/>
        </w:tblCellMar>
      </w:tblPr>
      <w:tblGrid>
        <w:gridCol w:w="615"/>
        <w:gridCol w:w="756"/>
        <w:gridCol w:w="2441"/>
        <w:gridCol w:w="5271"/>
        <w:gridCol w:w="5495"/>
      </w:tblGrid>
      <w:tr w14:paraId="2E8904D8">
        <w:tblPrEx>
          <w:tblCellMar>
            <w:top w:w="77" w:type="dxa"/>
            <w:left w:w="0" w:type="dxa"/>
            <w:bottom w:w="0" w:type="dxa"/>
            <w:right w:w="0" w:type="dxa"/>
          </w:tblCellMar>
        </w:tblPrEx>
        <w:trPr>
          <w:trHeight w:val="23" w:hRule="atLeast"/>
          <w:tblHeader/>
          <w:jc w:val="center"/>
        </w:trPr>
        <w:tc>
          <w:tcPr>
            <w:tcW w:w="615" w:type="dxa"/>
            <w:tcBorders>
              <w:top w:val="single" w:color="000000" w:sz="4" w:space="0"/>
              <w:left w:val="single" w:color="000000" w:sz="4" w:space="0"/>
              <w:bottom w:val="single" w:color="000000" w:sz="4" w:space="0"/>
              <w:right w:val="single" w:color="000000" w:sz="4" w:space="0"/>
            </w:tcBorders>
            <w:vAlign w:val="center"/>
          </w:tcPr>
          <w:p w14:paraId="073ADCA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序号</w:t>
            </w:r>
          </w:p>
        </w:tc>
        <w:tc>
          <w:tcPr>
            <w:tcW w:w="756" w:type="dxa"/>
            <w:tcBorders>
              <w:top w:val="single" w:color="000000" w:sz="4" w:space="0"/>
              <w:left w:val="single" w:color="000000" w:sz="4" w:space="0"/>
              <w:bottom w:val="single" w:color="000000" w:sz="4" w:space="0"/>
              <w:right w:val="single" w:color="000000" w:sz="4" w:space="0"/>
            </w:tcBorders>
            <w:vAlign w:val="center"/>
          </w:tcPr>
          <w:p w14:paraId="049F74A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污染物类别</w:t>
            </w:r>
          </w:p>
        </w:tc>
        <w:tc>
          <w:tcPr>
            <w:tcW w:w="2441" w:type="dxa"/>
            <w:tcBorders>
              <w:top w:val="single" w:color="000000" w:sz="4" w:space="0"/>
              <w:left w:val="single" w:color="000000" w:sz="4" w:space="0"/>
              <w:bottom w:val="single" w:color="000000" w:sz="4" w:space="0"/>
              <w:right w:val="single" w:color="000000" w:sz="4" w:space="0"/>
            </w:tcBorders>
            <w:vAlign w:val="center"/>
          </w:tcPr>
          <w:p w14:paraId="20CE67A1">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代表物质</w:t>
            </w:r>
          </w:p>
        </w:tc>
        <w:tc>
          <w:tcPr>
            <w:tcW w:w="5271" w:type="dxa"/>
            <w:tcBorders>
              <w:top w:val="single" w:color="000000" w:sz="4" w:space="0"/>
              <w:left w:val="single" w:color="000000" w:sz="4" w:space="0"/>
              <w:bottom w:val="single" w:color="000000" w:sz="4" w:space="0"/>
              <w:right w:val="single" w:color="000000" w:sz="4" w:space="0"/>
            </w:tcBorders>
            <w:vAlign w:val="center"/>
          </w:tcPr>
          <w:p w14:paraId="0893D64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物质特性</w:t>
            </w:r>
          </w:p>
        </w:tc>
        <w:tc>
          <w:tcPr>
            <w:tcW w:w="5495" w:type="dxa"/>
            <w:tcBorders>
              <w:top w:val="single" w:color="000000" w:sz="4" w:space="0"/>
              <w:left w:val="single" w:color="000000" w:sz="4" w:space="0"/>
              <w:bottom w:val="single" w:color="000000" w:sz="4" w:space="0"/>
              <w:right w:val="single" w:color="000000" w:sz="4" w:space="0"/>
            </w:tcBorders>
            <w:vAlign w:val="center"/>
          </w:tcPr>
          <w:p w14:paraId="381359D5">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应急处置</w:t>
            </w:r>
          </w:p>
        </w:tc>
      </w:tr>
      <w:tr w14:paraId="0FE47030">
        <w:tblPrEx>
          <w:tblCellMar>
            <w:top w:w="77" w:type="dxa"/>
            <w:left w:w="0" w:type="dxa"/>
            <w:bottom w:w="0" w:type="dxa"/>
            <w:right w:w="0" w:type="dxa"/>
          </w:tblCellMar>
        </w:tblPrEx>
        <w:trPr>
          <w:trHeight w:val="23" w:hRule="atLeast"/>
          <w:tblHeader/>
          <w:jc w:val="center"/>
        </w:trPr>
        <w:tc>
          <w:tcPr>
            <w:tcW w:w="615" w:type="dxa"/>
            <w:tcBorders>
              <w:top w:val="single" w:color="000000" w:sz="4" w:space="0"/>
              <w:left w:val="single" w:color="000000" w:sz="4" w:space="0"/>
              <w:bottom w:val="single" w:color="000000" w:sz="4" w:space="0"/>
              <w:right w:val="single" w:color="000000" w:sz="4" w:space="0"/>
            </w:tcBorders>
            <w:vAlign w:val="center"/>
          </w:tcPr>
          <w:p w14:paraId="55CD2C2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w:t>
            </w:r>
          </w:p>
        </w:tc>
        <w:tc>
          <w:tcPr>
            <w:tcW w:w="756" w:type="dxa"/>
            <w:tcBorders>
              <w:top w:val="single" w:color="000000" w:sz="4" w:space="0"/>
              <w:left w:val="single" w:color="000000" w:sz="4" w:space="0"/>
              <w:bottom w:val="single" w:color="000000" w:sz="4" w:space="0"/>
              <w:right w:val="single" w:color="000000" w:sz="4" w:space="0"/>
            </w:tcBorders>
            <w:vAlign w:val="center"/>
          </w:tcPr>
          <w:p w14:paraId="0567895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重金属类</w:t>
            </w:r>
          </w:p>
        </w:tc>
        <w:tc>
          <w:tcPr>
            <w:tcW w:w="2441" w:type="dxa"/>
            <w:tcBorders>
              <w:top w:val="single" w:color="000000" w:sz="4" w:space="0"/>
              <w:left w:val="single" w:color="000000" w:sz="4" w:space="0"/>
              <w:bottom w:val="single" w:color="000000" w:sz="4" w:space="0"/>
              <w:right w:val="single" w:color="000000" w:sz="4" w:space="0"/>
            </w:tcBorders>
            <w:vAlign w:val="center"/>
          </w:tcPr>
          <w:p w14:paraId="4F751D2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汞及汞盐、铅盐、锡盐类、铬盐等。</w:t>
            </w:r>
          </w:p>
        </w:tc>
        <w:tc>
          <w:tcPr>
            <w:tcW w:w="5271" w:type="dxa"/>
            <w:tcBorders>
              <w:top w:val="single" w:color="000000" w:sz="4" w:space="0"/>
              <w:left w:val="single" w:color="000000" w:sz="4" w:space="0"/>
              <w:bottom w:val="single" w:color="000000" w:sz="4" w:space="0"/>
              <w:right w:val="single" w:color="000000" w:sz="4" w:space="0"/>
            </w:tcBorders>
            <w:vAlign w:val="center"/>
          </w:tcPr>
          <w:p w14:paraId="54ACCDAD">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汞为液体金属，其余均为结晶盐类，铬盐和铅往往有鲜亮的颜色。该类物质多数具有较强毒性，在自然环境中不降解，并能随食物链逐渐富集，形成急性或蓄积类水污染事故。</w:t>
            </w:r>
          </w:p>
        </w:tc>
        <w:tc>
          <w:tcPr>
            <w:tcW w:w="5495" w:type="dxa"/>
            <w:tcBorders>
              <w:top w:val="single" w:color="000000" w:sz="4" w:space="0"/>
              <w:left w:val="single" w:color="000000" w:sz="4" w:space="0"/>
              <w:bottom w:val="single" w:color="000000" w:sz="4" w:space="0"/>
              <w:right w:val="single" w:color="000000" w:sz="4" w:space="0"/>
            </w:tcBorders>
            <w:vAlign w:val="center"/>
          </w:tcPr>
          <w:p w14:paraId="57834A0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关闭闸门或筑坝围隔污染区，在污染区投加生石灰沉淀重金属离子，排干上清液后将底质移除到安全地方水泥固化后填埋。汞泄漏后应急人员应佩戴防护用具，尽量将泄漏汞收集到安全地方处理，无法收集的现场用硫磺粉覆盖处理。</w:t>
            </w:r>
          </w:p>
        </w:tc>
      </w:tr>
      <w:tr w14:paraId="60A2F958">
        <w:tblPrEx>
          <w:tblCellMar>
            <w:top w:w="77" w:type="dxa"/>
            <w:left w:w="0" w:type="dxa"/>
            <w:bottom w:w="0" w:type="dxa"/>
            <w:right w:w="0" w:type="dxa"/>
          </w:tblCellMar>
        </w:tblPrEx>
        <w:trPr>
          <w:trHeight w:val="23" w:hRule="atLeast"/>
          <w:tblHeader/>
          <w:jc w:val="center"/>
        </w:trPr>
        <w:tc>
          <w:tcPr>
            <w:tcW w:w="615" w:type="dxa"/>
            <w:tcBorders>
              <w:top w:val="single" w:color="000000" w:sz="4" w:space="0"/>
              <w:left w:val="single" w:color="000000" w:sz="4" w:space="0"/>
              <w:bottom w:val="single" w:color="000000" w:sz="4" w:space="0"/>
              <w:right w:val="single" w:color="000000" w:sz="4" w:space="0"/>
            </w:tcBorders>
            <w:vAlign w:val="center"/>
          </w:tcPr>
          <w:p w14:paraId="4AA2F581">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2</w:t>
            </w:r>
          </w:p>
        </w:tc>
        <w:tc>
          <w:tcPr>
            <w:tcW w:w="756" w:type="dxa"/>
            <w:tcBorders>
              <w:top w:val="single" w:color="000000" w:sz="4" w:space="0"/>
              <w:left w:val="single" w:color="000000" w:sz="4" w:space="0"/>
              <w:bottom w:val="single" w:color="000000" w:sz="4" w:space="0"/>
              <w:right w:val="single" w:color="000000" w:sz="4" w:space="0"/>
            </w:tcBorders>
            <w:vAlign w:val="center"/>
          </w:tcPr>
          <w:p w14:paraId="4C151D17">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氰化物</w:t>
            </w:r>
          </w:p>
        </w:tc>
        <w:tc>
          <w:tcPr>
            <w:tcW w:w="2441" w:type="dxa"/>
            <w:tcBorders>
              <w:top w:val="single" w:color="000000" w:sz="4" w:space="0"/>
              <w:left w:val="single" w:color="000000" w:sz="4" w:space="0"/>
              <w:bottom w:val="single" w:color="000000" w:sz="4" w:space="0"/>
              <w:right w:val="single" w:color="000000" w:sz="4" w:space="0"/>
            </w:tcBorders>
            <w:vAlign w:val="center"/>
          </w:tcPr>
          <w:p w14:paraId="4029561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氰化钾、氰化钠和氰化氢的水溶液。</w:t>
            </w:r>
          </w:p>
        </w:tc>
        <w:tc>
          <w:tcPr>
            <w:tcW w:w="5271" w:type="dxa"/>
            <w:tcBorders>
              <w:top w:val="single" w:color="000000" w:sz="4" w:space="0"/>
              <w:left w:val="single" w:color="000000" w:sz="4" w:space="0"/>
              <w:bottom w:val="single" w:color="000000" w:sz="4" w:space="0"/>
              <w:right w:val="single" w:color="000000" w:sz="4" w:space="0"/>
            </w:tcBorders>
            <w:vAlign w:val="center"/>
          </w:tcPr>
          <w:p w14:paraId="6D89336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氰化钾、氰化钠为白色结晶粉末，易潮解，易溶于水，用于冶金和电镀行业，常以水溶液罐车运输。氰化氢常温下为液体易挥发，有苦杏仁味。该类物质呈现剧毒，能抑制呼吸酶，对底栖动物、鱼类、两栖动物、哺乳动物等均呈高毒。</w:t>
            </w:r>
          </w:p>
        </w:tc>
        <w:tc>
          <w:tcPr>
            <w:tcW w:w="5495" w:type="dxa"/>
            <w:tcBorders>
              <w:top w:val="single" w:color="000000" w:sz="4" w:space="0"/>
              <w:left w:val="single" w:color="000000" w:sz="4" w:space="0"/>
              <w:bottom w:val="single" w:color="000000" w:sz="4" w:space="0"/>
              <w:right w:val="single" w:color="000000" w:sz="4" w:space="0"/>
            </w:tcBorders>
            <w:vAlign w:val="center"/>
          </w:tcPr>
          <w:p w14:paraId="07B8D56E">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应急处置人员须佩带全身防护用具，尽可能围隔污染区，在污染区加过量漂白粉处置，一般 24 小时可氧化完全。</w:t>
            </w:r>
          </w:p>
        </w:tc>
      </w:tr>
      <w:tr w14:paraId="0BDE571B">
        <w:tblPrEx>
          <w:tblCellMar>
            <w:top w:w="77" w:type="dxa"/>
            <w:left w:w="0" w:type="dxa"/>
            <w:bottom w:w="0" w:type="dxa"/>
            <w:right w:w="0" w:type="dxa"/>
          </w:tblCellMar>
        </w:tblPrEx>
        <w:trPr>
          <w:trHeight w:val="23" w:hRule="atLeast"/>
          <w:tblHeader/>
          <w:jc w:val="center"/>
        </w:trPr>
        <w:tc>
          <w:tcPr>
            <w:tcW w:w="615" w:type="dxa"/>
            <w:tcBorders>
              <w:top w:val="single" w:color="000000" w:sz="4" w:space="0"/>
              <w:left w:val="single" w:color="000000" w:sz="4" w:space="0"/>
              <w:bottom w:val="single" w:color="000000" w:sz="4" w:space="0"/>
              <w:right w:val="single" w:color="000000" w:sz="4" w:space="0"/>
            </w:tcBorders>
            <w:vAlign w:val="center"/>
          </w:tcPr>
          <w:p w14:paraId="4FF970E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3</w:t>
            </w:r>
          </w:p>
        </w:tc>
        <w:tc>
          <w:tcPr>
            <w:tcW w:w="756" w:type="dxa"/>
            <w:tcBorders>
              <w:top w:val="single" w:color="000000" w:sz="4" w:space="0"/>
              <w:left w:val="single" w:color="000000" w:sz="4" w:space="0"/>
              <w:bottom w:val="single" w:color="000000" w:sz="4" w:space="0"/>
              <w:right w:val="single" w:color="000000" w:sz="4" w:space="0"/>
            </w:tcBorders>
            <w:vAlign w:val="center"/>
          </w:tcPr>
          <w:p w14:paraId="5DC0410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氟化物</w:t>
            </w:r>
          </w:p>
        </w:tc>
        <w:tc>
          <w:tcPr>
            <w:tcW w:w="2441" w:type="dxa"/>
            <w:tcBorders>
              <w:top w:val="single" w:color="000000" w:sz="4" w:space="0"/>
              <w:left w:val="single" w:color="000000" w:sz="4" w:space="0"/>
              <w:bottom w:val="single" w:color="000000" w:sz="4" w:space="0"/>
              <w:right w:val="single" w:color="000000" w:sz="4" w:space="0"/>
            </w:tcBorders>
            <w:vAlign w:val="center"/>
          </w:tcPr>
          <w:p w14:paraId="7632703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氟化钠、氢氟酸等。</w:t>
            </w:r>
          </w:p>
        </w:tc>
        <w:tc>
          <w:tcPr>
            <w:tcW w:w="5271" w:type="dxa"/>
            <w:tcBorders>
              <w:top w:val="single" w:color="000000" w:sz="4" w:space="0"/>
              <w:left w:val="single" w:color="000000" w:sz="4" w:space="0"/>
              <w:bottom w:val="single" w:color="000000" w:sz="4" w:space="0"/>
              <w:right w:val="single" w:color="000000" w:sz="4" w:space="0"/>
            </w:tcBorders>
            <w:vAlign w:val="center"/>
          </w:tcPr>
          <w:p w14:paraId="7A6E6B01">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氟化钠为白色粉末，无味。氢氟酸为无色有刺激臭味的液体。该类物质易溶于水，高毒，并且容易在酸性环境中挥发氟化氢气体毒害呼吸系统。在自然环境中容易和金属离子形成络合物而降低毒性</w:t>
            </w:r>
          </w:p>
        </w:tc>
        <w:tc>
          <w:tcPr>
            <w:tcW w:w="5495" w:type="dxa"/>
            <w:tcBorders>
              <w:top w:val="single" w:color="000000" w:sz="4" w:space="0"/>
              <w:left w:val="single" w:color="000000" w:sz="4" w:space="0"/>
              <w:bottom w:val="single" w:color="000000" w:sz="4" w:space="0"/>
              <w:right w:val="single" w:color="000000" w:sz="4" w:space="0"/>
            </w:tcBorders>
            <w:vAlign w:val="center"/>
          </w:tcPr>
          <w:p w14:paraId="16CF697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关闭闸门或筑坝围隔污染区，应急处置人员须带全身防护用具。在污染水体中加人过量生石灰沉淀氟离子，并投加明矾加快沉淀速度。沉淀完全后将上清液排放，铲除底质，并转移到安全地方处置。</w:t>
            </w:r>
          </w:p>
        </w:tc>
      </w:tr>
      <w:tr w14:paraId="4F14164C">
        <w:tblPrEx>
          <w:tblCellMar>
            <w:top w:w="77" w:type="dxa"/>
            <w:left w:w="0" w:type="dxa"/>
            <w:bottom w:w="0" w:type="dxa"/>
            <w:right w:w="0" w:type="dxa"/>
          </w:tblCellMar>
        </w:tblPrEx>
        <w:trPr>
          <w:trHeight w:val="23" w:hRule="atLeast"/>
          <w:tblHeader/>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4C66A">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zh-CN" w:eastAsia="zh-CN" w:bidi="zh-CN"/>
              </w:rPr>
            </w:pPr>
            <w:r>
              <w:rPr>
                <w:rFonts w:hint="default" w:ascii="Times New Roman" w:hAnsi="Times New Roman" w:eastAsia="仿宋" w:cs="Times New Roman"/>
                <w:sz w:val="24"/>
                <w:szCs w:val="24"/>
              </w:rPr>
              <w:t>4</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31F33">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zh-CN" w:eastAsia="zh-CN" w:bidi="zh-CN"/>
              </w:rPr>
            </w:pPr>
            <w:r>
              <w:rPr>
                <w:rFonts w:hint="default" w:ascii="Times New Roman" w:hAnsi="Times New Roman" w:eastAsia="仿宋" w:cs="Times New Roman"/>
                <w:sz w:val="24"/>
                <w:szCs w:val="24"/>
              </w:rPr>
              <w:t>金属酸酐</w:t>
            </w: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6316A">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zh-CN" w:eastAsia="zh-CN" w:bidi="zh-CN"/>
              </w:rPr>
            </w:pPr>
            <w:r>
              <w:rPr>
                <w:rFonts w:hint="default" w:ascii="Times New Roman" w:hAnsi="Times New Roman" w:eastAsia="仿宋" w:cs="Times New Roman"/>
                <w:sz w:val="24"/>
                <w:szCs w:val="24"/>
              </w:rPr>
              <w:t>砒霜（三氧化二砷）和铬酸酐（三氧化铬）。</w:t>
            </w:r>
          </w:p>
        </w:tc>
        <w:tc>
          <w:tcPr>
            <w:tcW w:w="5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C7F0E">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color w:val="000000"/>
                <w:kern w:val="2"/>
                <w:sz w:val="24"/>
                <w:szCs w:val="24"/>
                <w:lang w:val="zh-CN" w:eastAsia="zh-CN" w:bidi="zh-CN"/>
              </w:rPr>
            </w:pPr>
            <w:r>
              <w:rPr>
                <w:rFonts w:hint="default" w:ascii="Times New Roman" w:hAnsi="Times New Roman" w:eastAsia="仿宋" w:cs="Times New Roman"/>
                <w:sz w:val="24"/>
                <w:szCs w:val="24"/>
              </w:rPr>
              <w:t>砒霜为无色无味白色粉末，微溶于水。铬酸矸为紫红色斜方晶体，易潮解。两种物质均在水中有一定的溶解度，呈现高毒性，可毒害呼吸系统、神经系统和循环系统，并能在动物体内可以富集，造成二次中毒。</w:t>
            </w:r>
          </w:p>
        </w:tc>
        <w:tc>
          <w:tcPr>
            <w:tcW w:w="5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D3BFB">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color w:val="000000"/>
                <w:kern w:val="2"/>
                <w:sz w:val="24"/>
                <w:szCs w:val="24"/>
                <w:lang w:val="zh-CN" w:eastAsia="zh-CN" w:bidi="zh-CN"/>
              </w:rPr>
            </w:pPr>
            <w:r>
              <w:rPr>
                <w:rFonts w:hint="default" w:ascii="Times New Roman" w:hAnsi="Times New Roman" w:eastAsia="仿宋" w:cs="Times New Roman"/>
                <w:sz w:val="24"/>
                <w:szCs w:val="24"/>
              </w:rPr>
              <w:t>关闭闸门或筑坝围隔污染区，投放石灰和明矾沉淀，沉淀完全后将上清液转移到安全地方，用草酸钠还原后排放。清除底泥中的沉淀物，用水泥固化后深埋。</w:t>
            </w:r>
          </w:p>
        </w:tc>
      </w:tr>
      <w:tr w14:paraId="6F274B65">
        <w:tblPrEx>
          <w:tblCellMar>
            <w:top w:w="77" w:type="dxa"/>
            <w:left w:w="0" w:type="dxa"/>
            <w:bottom w:w="0" w:type="dxa"/>
            <w:right w:w="0" w:type="dxa"/>
          </w:tblCellMar>
        </w:tblPrEx>
        <w:trPr>
          <w:trHeight w:val="23" w:hRule="atLeast"/>
          <w:tblHeader/>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57382">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5</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D68EA">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苯类化合物</w:t>
            </w: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AE21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苯、甲苯、乙苯、二甲苯、苯乙烯、硝基苯等。</w:t>
            </w:r>
          </w:p>
        </w:tc>
        <w:tc>
          <w:tcPr>
            <w:tcW w:w="5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9180D">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油状液体，有特殊芳香味，易挥发，除取代苯外，密度一般小于水。该类物质是神经和循环系统毒剂，对人体有致癌作用，不溶或微溶于水，扩散速度快。</w:t>
            </w:r>
          </w:p>
        </w:tc>
        <w:tc>
          <w:tcPr>
            <w:tcW w:w="5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9C74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应急处置人员应戴全身防护用具，筑坝或用围油栏围隔污染区，注意防火。污染区用吸油绵等高吸油材料现场吸附，转移到安全地方焚烧处理。污染水体最终用活性炭吸附处理。</w:t>
            </w:r>
          </w:p>
        </w:tc>
      </w:tr>
      <w:tr w14:paraId="58DF7157">
        <w:tblPrEx>
          <w:tblCellMar>
            <w:top w:w="77" w:type="dxa"/>
            <w:left w:w="0" w:type="dxa"/>
            <w:bottom w:w="0" w:type="dxa"/>
            <w:right w:w="0" w:type="dxa"/>
          </w:tblCellMar>
        </w:tblPrEx>
        <w:trPr>
          <w:trHeight w:val="23" w:hRule="atLeast"/>
          <w:tblHeader/>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C55C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6</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5AC5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卤代烃</w:t>
            </w: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0A9B7">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乙烯、四氯化碳、三氯甲烷、氯苯。</w:t>
            </w:r>
          </w:p>
        </w:tc>
        <w:tc>
          <w:tcPr>
            <w:tcW w:w="5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7358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均为油状液体，易挥发，不溶于水，密度一般大于水，燃烧时有刺激性气体放出。该类物质遇水稳定，对眼睛、皮肤、呼吸道等有刺激作用，对人体有致癌作用。多元取代物密度往往大于水，沉于水底造成持久危害</w:t>
            </w:r>
          </w:p>
        </w:tc>
        <w:tc>
          <w:tcPr>
            <w:tcW w:w="5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EA05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应急人员应佩带全身防护用具。筑坝围隔污染区，污染水体投加活性炭吸附处理。用活性炭、吸油棉</w:t>
            </w:r>
          </w:p>
          <w:p w14:paraId="1A5788D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等高吸油材料等现场吸附积水中的污染物，彻底清除后送到安全地方处理。</w:t>
            </w:r>
          </w:p>
        </w:tc>
      </w:tr>
      <w:tr w14:paraId="0C3704CA">
        <w:tblPrEx>
          <w:tblCellMar>
            <w:top w:w="77" w:type="dxa"/>
            <w:left w:w="0" w:type="dxa"/>
            <w:bottom w:w="0" w:type="dxa"/>
            <w:right w:w="0" w:type="dxa"/>
          </w:tblCellMar>
        </w:tblPrEx>
        <w:trPr>
          <w:trHeight w:val="23" w:hRule="atLeast"/>
          <w:tblHeader/>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668F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7</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B529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酚类</w:t>
            </w: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18D7A">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苯酚、间甲酚、对硝基苯酚、氯苯酚、三氯酚、五氯酚等。</w:t>
            </w:r>
          </w:p>
        </w:tc>
        <w:tc>
          <w:tcPr>
            <w:tcW w:w="5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B04E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多为白色结晶或油状液体，有特殊气味，不溶或微溶于水，密度一般大于水。该类物质一般具有较高的毒性，能刺激皮肤和消化道，在水中降解速度慢，有致癌和致畸作用。</w:t>
            </w:r>
          </w:p>
        </w:tc>
        <w:tc>
          <w:tcPr>
            <w:tcW w:w="5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D6D4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应急处置人员应佩带全身防护用具。筑坝或用围油栏围隔污染区后，用吸油棉等高吸油材料现场吸附残留泄漏物，转移到安全地方处理。污染水体投加生石灰漂白粉沉淀和促进降解，最后投加活性炭吸附处理。</w:t>
            </w:r>
          </w:p>
        </w:tc>
      </w:tr>
      <w:tr w14:paraId="620D9896">
        <w:tblPrEx>
          <w:tblCellMar>
            <w:top w:w="77" w:type="dxa"/>
            <w:left w:w="0" w:type="dxa"/>
            <w:bottom w:w="0" w:type="dxa"/>
            <w:right w:w="0" w:type="dxa"/>
          </w:tblCellMar>
        </w:tblPrEx>
        <w:trPr>
          <w:trHeight w:val="23" w:hRule="atLeast"/>
          <w:tblHeader/>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E6E5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8</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E0A03">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农药类</w:t>
            </w: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AE9E7">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有机磷农药(甲胺磷、敌敌畏、敌百虫、乐果、氧化乐果、对硫磷、甲基对硫磷、马拉硫磷、苯硫磷、倍硫磷等，多用作杀虫剂)、氨基甲酸醋农药(吠喃丹、抗蚜威、速灭威、灭多威、丙硫威等， 多用于杀虫剂和抗菌剂)、拟除虫菊醋类农药(氟氰菊醋、澳氰菊醋、抓氛菊醋、杀灭菊醋，多用作杀虫剂)等。</w:t>
            </w:r>
          </w:p>
        </w:tc>
        <w:tc>
          <w:tcPr>
            <w:tcW w:w="5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55FB2">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color w:val="000000"/>
                <w:kern w:val="2"/>
                <w:sz w:val="24"/>
                <w:szCs w:val="24"/>
                <w:lang w:val="zh-CN" w:eastAsia="zh-CN" w:bidi="zh-CN"/>
              </w:rPr>
              <w:t>（</w:t>
            </w:r>
            <w:r>
              <w:rPr>
                <w:rFonts w:hint="default" w:ascii="Times New Roman" w:hAnsi="Times New Roman" w:eastAsia="仿宋" w:cs="Times New Roman"/>
                <w:color w:val="000000"/>
                <w:kern w:val="2"/>
                <w:sz w:val="24"/>
                <w:szCs w:val="24"/>
                <w:lang w:val="en-US" w:eastAsia="zh-CN" w:bidi="zh-CN"/>
              </w:rPr>
              <w:t>1</w:t>
            </w:r>
            <w:r>
              <w:rPr>
                <w:rFonts w:hint="default" w:ascii="Times New Roman" w:hAnsi="Times New Roman" w:eastAsia="仿宋" w:cs="Times New Roman"/>
                <w:color w:val="000000"/>
                <w:kern w:val="2"/>
                <w:sz w:val="24"/>
                <w:szCs w:val="24"/>
                <w:lang w:val="zh-CN" w:eastAsia="zh-CN" w:bidi="zh-CN"/>
              </w:rPr>
              <w:t>）</w:t>
            </w:r>
            <w:r>
              <w:rPr>
                <w:rFonts w:hint="default" w:ascii="Times New Roman" w:hAnsi="Times New Roman" w:eastAsia="仿宋" w:cs="Times New Roman"/>
                <w:sz w:val="24"/>
                <w:szCs w:val="24"/>
              </w:rPr>
              <w:t>有机磷农药多数品种为油状液体，不溶于水，密度大于水，具有类似大蒜样特殊臭味，一般制成乳油使用。多为剧毒农药，通过消化道、呼吸道及皮肤吸收，对人及类高毒。</w:t>
            </w:r>
          </w:p>
          <w:p w14:paraId="15B65E58">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eastAsia="zh-CN"/>
              </w:rPr>
              <w:t>（</w:t>
            </w:r>
            <w:r>
              <w:rPr>
                <w:rFonts w:hint="default" w:ascii="Times New Roman" w:hAnsi="Times New Roman" w:eastAsia="仿宋" w:cs="Times New Roman"/>
                <w:sz w:val="24"/>
                <w:szCs w:val="24"/>
                <w:lang w:val="en-US" w:eastAsia="zh-CN"/>
              </w:rPr>
              <w:t>2</w:t>
            </w:r>
            <w:r>
              <w:rPr>
                <w:rFonts w:hint="default" w:ascii="Times New Roman" w:hAnsi="Times New Roman" w:eastAsia="仿宋" w:cs="Times New Roman"/>
                <w:sz w:val="24"/>
                <w:szCs w:val="24"/>
                <w:lang w:eastAsia="zh-CN"/>
              </w:rPr>
              <w:t>）</w:t>
            </w:r>
            <w:r>
              <w:rPr>
                <w:rFonts w:hint="default" w:ascii="Times New Roman" w:hAnsi="Times New Roman" w:eastAsia="仿宋" w:cs="Times New Roman"/>
                <w:sz w:val="24"/>
                <w:szCs w:val="24"/>
              </w:rPr>
              <w:t>氨基甲酸醋农药有喃丹、抗蚜威、速灭威灭多威、丙硫威等，多用于杀虫剂和抗菌剂。多为结晶粉末状，微溶于水，无气味或气味弱。多为剧毒农药，通过消化道、呼吸道及皮肤吸收。</w:t>
            </w:r>
          </w:p>
          <w:p w14:paraId="4E559396">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Chars="0" w:right="0" w:right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eastAsia="zh-CN"/>
              </w:rPr>
              <w:t>（</w:t>
            </w:r>
            <w:r>
              <w:rPr>
                <w:rFonts w:hint="default" w:ascii="Times New Roman" w:hAnsi="Times New Roman" w:eastAsia="仿宋" w:cs="Times New Roman"/>
                <w:sz w:val="24"/>
                <w:szCs w:val="24"/>
                <w:lang w:val="en-US" w:eastAsia="zh-CN"/>
              </w:rPr>
              <w:t>3</w:t>
            </w:r>
            <w:r>
              <w:rPr>
                <w:rFonts w:hint="default" w:ascii="Times New Roman" w:hAnsi="Times New Roman" w:eastAsia="仿宋" w:cs="Times New Roman"/>
                <w:sz w:val="24"/>
                <w:szCs w:val="24"/>
                <w:lang w:eastAsia="zh-CN"/>
              </w:rPr>
              <w:t>）</w:t>
            </w:r>
            <w:r>
              <w:rPr>
                <w:rFonts w:hint="default" w:ascii="Times New Roman" w:hAnsi="Times New Roman" w:eastAsia="仿宋" w:cs="Times New Roman"/>
                <w:sz w:val="24"/>
                <w:szCs w:val="24"/>
              </w:rPr>
              <w:t>拟除虫菊醋类农药有氣氰菊醋、澳氰菊醋、抓氛菊醋杀灭菊醋，多用作杀虫剂。一般为微黄色油状粘稠液体，不溶于水，溶于常用有机溶剂。是高效低残留杀虫剂，对鱼类高毒，对人类中等毒性，能损害神经、肝、肾等器官</w:t>
            </w:r>
          </w:p>
        </w:tc>
        <w:tc>
          <w:tcPr>
            <w:tcW w:w="5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14412">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应急人员应配戴全身防护用具。关闭闸门或筑坝围隔污染区用活性炭吸收未溶的农药，收集到安全场所用碱性溶液无害化处理。对污染区用生石灰或漂自粉处置，破坏农药的致毒基团，达到解毒的目的。最后用活性炭进行吸附处理。</w:t>
            </w:r>
          </w:p>
        </w:tc>
      </w:tr>
      <w:tr w14:paraId="7998085E">
        <w:tblPrEx>
          <w:tblCellMar>
            <w:top w:w="77" w:type="dxa"/>
            <w:left w:w="0" w:type="dxa"/>
            <w:bottom w:w="0" w:type="dxa"/>
            <w:right w:w="0" w:type="dxa"/>
          </w:tblCellMar>
        </w:tblPrEx>
        <w:trPr>
          <w:trHeight w:val="23" w:hRule="atLeast"/>
          <w:tblHeader/>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A9DD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9</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CD4E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矿物油类</w:t>
            </w: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5081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汽油、煤油、柴油、机油、煤焦油、原油等。</w:t>
            </w:r>
          </w:p>
        </w:tc>
        <w:tc>
          <w:tcPr>
            <w:tcW w:w="5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0E5C2">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一般为油状液体，不溶或微溶于水。煤焦油呈膏状，有特殊臭味，密度大于水。该类物质易燃烧，扩散速度快，易在水面形成污染带，绝水气界面，造成水体缺氧。煤焦油沉在水底级慢溶解，对水体造成长久危害，并具有腐蚀性。</w:t>
            </w:r>
          </w:p>
        </w:tc>
        <w:tc>
          <w:tcPr>
            <w:tcW w:w="5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91CE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应急处置时可关闭闸门或用简易坝、围油栏等围隔污染区，用吸油棉等高吸油材料现场吸附，并转移到安全地方焚烧处理。必要时可点燃表层油燃烧处理，污染水体最后用活性炭吸附处理。煤焦油由于其中含有大量的酚类物质，其处置过程可参考酚类物质。</w:t>
            </w:r>
          </w:p>
        </w:tc>
      </w:tr>
      <w:tr w14:paraId="18C85953">
        <w:tblPrEx>
          <w:tblCellMar>
            <w:top w:w="77" w:type="dxa"/>
            <w:left w:w="0" w:type="dxa"/>
            <w:bottom w:w="0" w:type="dxa"/>
            <w:right w:w="0" w:type="dxa"/>
          </w:tblCellMar>
        </w:tblPrEx>
        <w:trPr>
          <w:trHeight w:val="23" w:hRule="atLeast"/>
          <w:tblHeader/>
          <w:jc w:val="center"/>
        </w:trPr>
        <w:tc>
          <w:tcPr>
            <w:tcW w:w="615" w:type="dxa"/>
            <w:vMerge w:val="restart"/>
            <w:tcBorders>
              <w:top w:val="single" w:color="000000" w:sz="4" w:space="0"/>
              <w:left w:val="single" w:color="000000" w:sz="4" w:space="0"/>
              <w:right w:val="single" w:color="000000" w:sz="4" w:space="0"/>
            </w:tcBorders>
            <w:shd w:val="clear" w:color="auto" w:fill="auto"/>
            <w:vAlign w:val="center"/>
          </w:tcPr>
          <w:p w14:paraId="09ACE93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10</w:t>
            </w:r>
          </w:p>
        </w:tc>
        <w:tc>
          <w:tcPr>
            <w:tcW w:w="756" w:type="dxa"/>
            <w:vMerge w:val="restart"/>
            <w:tcBorders>
              <w:top w:val="single" w:color="000000" w:sz="4" w:space="0"/>
              <w:left w:val="single" w:color="000000" w:sz="4" w:space="0"/>
              <w:right w:val="single" w:color="000000" w:sz="4" w:space="0"/>
            </w:tcBorders>
            <w:shd w:val="clear" w:color="auto" w:fill="auto"/>
            <w:vAlign w:val="center"/>
          </w:tcPr>
          <w:p w14:paraId="4ED90972">
            <w:pPr>
              <w:keepNext w:val="0"/>
              <w:keepLines w:val="0"/>
              <w:pageBreakBefore w:val="0"/>
              <w:widowControl w:val="0"/>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腐蚀性物质（包括酸性物质、碱</w:t>
            </w:r>
            <w:r>
              <w:rPr>
                <w:rFonts w:hint="default" w:ascii="Times New Roman" w:hAnsi="Times New Roman" w:eastAsia="仿宋" w:cs="Times New Roman"/>
                <w:color w:val="000000"/>
                <w:kern w:val="0"/>
                <w:sz w:val="24"/>
                <w:szCs w:val="24"/>
                <w:lang w:val="en-US" w:eastAsia="zh-CN" w:bidi="ar"/>
              </w:rPr>
              <w:t>性物质和强氧化性物质）</w:t>
            </w:r>
          </w:p>
          <w:p w14:paraId="5ED4F2E5">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val="zh-CN" w:eastAsia="zh-CN"/>
              </w:rPr>
            </w:pP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B979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val="zh-CN" w:eastAsia="zh-CN"/>
              </w:rPr>
            </w:pPr>
            <w:r>
              <w:rPr>
                <w:rFonts w:hint="default" w:ascii="Times New Roman" w:hAnsi="Times New Roman" w:eastAsia="仿宋" w:cs="Times New Roman"/>
                <w:sz w:val="24"/>
                <w:szCs w:val="24"/>
              </w:rPr>
              <w:t>盐酸、硫酸、硝酸、磷酸等。</w:t>
            </w:r>
          </w:p>
        </w:tc>
        <w:tc>
          <w:tcPr>
            <w:tcW w:w="5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8107E">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lang w:val="zh-CN" w:eastAsia="zh-CN"/>
              </w:rPr>
            </w:pPr>
            <w:r>
              <w:rPr>
                <w:rFonts w:hint="default" w:ascii="Times New Roman" w:hAnsi="Times New Roman" w:eastAsia="仿宋" w:cs="Times New Roman"/>
                <w:sz w:val="24"/>
                <w:szCs w:val="24"/>
              </w:rPr>
              <w:t>浓盐酸和硝酸有酸性烟雾挥发出来，浓硫酸密度大于水，溶于水时产生大量热量。该类物质表现为强酸性和强腐蚀性，进入水体后将引起水体酸度急剧上升，严重腐蚀水工建筑物，破坏水生态系统，但在基质中碳酸钙的作用下其酸性和腐蚀能力会逐渐降低。</w:t>
            </w:r>
          </w:p>
        </w:tc>
        <w:tc>
          <w:tcPr>
            <w:tcW w:w="5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DA74A">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lang w:val="zh-CN" w:eastAsia="zh-CN"/>
              </w:rPr>
            </w:pPr>
            <w:r>
              <w:rPr>
                <w:rFonts w:hint="default" w:ascii="Times New Roman" w:hAnsi="Times New Roman" w:eastAsia="仿宋" w:cs="Times New Roman"/>
                <w:sz w:val="24"/>
                <w:szCs w:val="24"/>
              </w:rPr>
              <w:t>应急人员戴防护手套，处置挥发性酸时戴防毒面具，污染区投加碱性物质如生石灰、碳酸钠等中和。</w:t>
            </w:r>
          </w:p>
        </w:tc>
      </w:tr>
      <w:tr w14:paraId="3ED17F09">
        <w:tblPrEx>
          <w:tblCellMar>
            <w:top w:w="77" w:type="dxa"/>
            <w:left w:w="0" w:type="dxa"/>
            <w:bottom w:w="0" w:type="dxa"/>
            <w:right w:w="0" w:type="dxa"/>
          </w:tblCellMar>
        </w:tblPrEx>
        <w:trPr>
          <w:trHeight w:val="23" w:hRule="atLeast"/>
          <w:tblHeader/>
          <w:jc w:val="center"/>
        </w:trPr>
        <w:tc>
          <w:tcPr>
            <w:tcW w:w="615" w:type="dxa"/>
            <w:vMerge w:val="continue"/>
            <w:tcBorders>
              <w:left w:val="single" w:color="000000" w:sz="4" w:space="0"/>
              <w:right w:val="single" w:color="000000" w:sz="4" w:space="0"/>
            </w:tcBorders>
            <w:shd w:val="clear" w:color="auto" w:fill="auto"/>
            <w:vAlign w:val="center"/>
          </w:tcPr>
          <w:p w14:paraId="5573082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p>
        </w:tc>
        <w:tc>
          <w:tcPr>
            <w:tcW w:w="756" w:type="dxa"/>
            <w:vMerge w:val="continue"/>
            <w:tcBorders>
              <w:left w:val="single" w:color="000000" w:sz="4" w:space="0"/>
              <w:right w:val="single" w:color="000000" w:sz="4" w:space="0"/>
            </w:tcBorders>
            <w:shd w:val="clear" w:color="auto" w:fill="auto"/>
            <w:vAlign w:val="center"/>
          </w:tcPr>
          <w:p w14:paraId="56C21C0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0D7E3">
            <w:pPr>
              <w:keepNext w:val="0"/>
              <w:keepLines w:val="0"/>
              <w:pageBreakBefore w:val="0"/>
              <w:widowControl w:val="0"/>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color w:val="000000"/>
                <w:kern w:val="0"/>
                <w:sz w:val="24"/>
                <w:szCs w:val="24"/>
                <w:lang w:val="en-US" w:eastAsia="zh-CN" w:bidi="ar"/>
              </w:rPr>
              <w:t>氢氧化钠、氢氧化钾、电石等。</w:t>
            </w:r>
          </w:p>
        </w:tc>
        <w:tc>
          <w:tcPr>
            <w:tcW w:w="5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A1624">
            <w:pPr>
              <w:keepNext w:val="0"/>
              <w:keepLines w:val="0"/>
              <w:pageBreakBefore w:val="0"/>
              <w:widowControl w:val="0"/>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color w:val="000000"/>
                <w:kern w:val="0"/>
                <w:sz w:val="24"/>
                <w:szCs w:val="24"/>
                <w:lang w:val="en-US" w:eastAsia="zh-CN" w:bidi="ar"/>
              </w:rPr>
              <w:t>氢氧化钠和氢氧化钾为白色颗粒，易潮解，易溶于水，多以溶液状态罐车运输。</w:t>
            </w:r>
          </w:p>
        </w:tc>
        <w:tc>
          <w:tcPr>
            <w:tcW w:w="5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4ADAD">
            <w:pPr>
              <w:keepNext w:val="0"/>
              <w:keepLines w:val="0"/>
              <w:pageBreakBefore w:val="0"/>
              <w:widowControl w:val="0"/>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color w:val="000000"/>
                <w:kern w:val="0"/>
                <w:sz w:val="24"/>
                <w:szCs w:val="24"/>
                <w:lang w:val="en-US" w:eastAsia="zh-CN" w:bidi="ar"/>
              </w:rPr>
              <w:t>应急人员应带防护手套，在污染区投加酸性物质（如稀盐酸、稀硫酸等）中和处理。</w:t>
            </w:r>
          </w:p>
        </w:tc>
      </w:tr>
      <w:tr w14:paraId="71826A6F">
        <w:tblPrEx>
          <w:tblCellMar>
            <w:top w:w="77" w:type="dxa"/>
            <w:left w:w="0" w:type="dxa"/>
            <w:bottom w:w="0" w:type="dxa"/>
            <w:right w:w="0" w:type="dxa"/>
          </w:tblCellMar>
        </w:tblPrEx>
        <w:trPr>
          <w:trHeight w:val="23" w:hRule="atLeast"/>
          <w:tblHeader/>
          <w:jc w:val="center"/>
        </w:trPr>
        <w:tc>
          <w:tcPr>
            <w:tcW w:w="615" w:type="dxa"/>
            <w:vMerge w:val="continue"/>
            <w:tcBorders>
              <w:left w:val="single" w:color="000000" w:sz="4" w:space="0"/>
              <w:bottom w:val="single" w:color="000000" w:sz="4" w:space="0"/>
              <w:right w:val="single" w:color="000000" w:sz="4" w:space="0"/>
            </w:tcBorders>
            <w:shd w:val="clear" w:color="auto" w:fill="auto"/>
            <w:vAlign w:val="center"/>
          </w:tcPr>
          <w:p w14:paraId="509F51E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p>
        </w:tc>
        <w:tc>
          <w:tcPr>
            <w:tcW w:w="756" w:type="dxa"/>
            <w:vMerge w:val="continue"/>
            <w:tcBorders>
              <w:left w:val="single" w:color="000000" w:sz="4" w:space="0"/>
              <w:bottom w:val="single" w:color="000000" w:sz="4" w:space="0"/>
              <w:right w:val="single" w:color="000000" w:sz="4" w:space="0"/>
            </w:tcBorders>
            <w:shd w:val="clear" w:color="auto" w:fill="auto"/>
            <w:vAlign w:val="center"/>
          </w:tcPr>
          <w:p w14:paraId="5E2950C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02322">
            <w:pPr>
              <w:keepNext w:val="0"/>
              <w:keepLines w:val="0"/>
              <w:pageBreakBefore w:val="0"/>
              <w:widowControl w:val="0"/>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color w:val="000000"/>
                <w:kern w:val="0"/>
                <w:sz w:val="24"/>
                <w:szCs w:val="24"/>
                <w:lang w:val="en-US" w:eastAsia="zh-CN" w:bidi="ar"/>
              </w:rPr>
              <w:t>次氯酸钠、硝酸钾、重铬酸钾和高锰酸钾等。</w:t>
            </w:r>
          </w:p>
        </w:tc>
        <w:tc>
          <w:tcPr>
            <w:tcW w:w="5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BC39A">
            <w:pPr>
              <w:keepNext w:val="0"/>
              <w:keepLines w:val="0"/>
              <w:pageBreakBefore w:val="0"/>
              <w:widowControl w:val="0"/>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color w:val="000000"/>
                <w:kern w:val="0"/>
                <w:sz w:val="24"/>
                <w:szCs w:val="24"/>
                <w:lang w:val="en-US" w:eastAsia="zh-CN" w:bidi="ar"/>
              </w:rPr>
              <w:t>高锰酸钾为紫色晶体，重铬酸钾为鲜红色晶体，其余为白色晶体。该类物质一般易溶于水，具有强氧化性，腐蚀水工建筑物中的金属构件，重铬酸钾还能引起环境中铬类污染物的富集。</w:t>
            </w:r>
          </w:p>
        </w:tc>
        <w:tc>
          <w:tcPr>
            <w:tcW w:w="5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FFF92">
            <w:pPr>
              <w:keepNext w:val="0"/>
              <w:keepLines w:val="0"/>
              <w:pageBreakBefore w:val="0"/>
              <w:widowControl w:val="0"/>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color w:val="000000"/>
                <w:kern w:val="0"/>
                <w:sz w:val="24"/>
                <w:szCs w:val="24"/>
                <w:lang w:val="en-US" w:eastAsia="zh-CN" w:bidi="ar"/>
              </w:rPr>
              <w:t>应急人员应带防护手套，干态污染物应避免和有机物、金属粉末、易燃物等接触，以免发生爆炸。进人水体后可投加草酸钠还原。</w:t>
            </w:r>
          </w:p>
        </w:tc>
      </w:tr>
      <w:tr w14:paraId="482B79E1">
        <w:tblPrEx>
          <w:tblCellMar>
            <w:top w:w="77" w:type="dxa"/>
            <w:left w:w="0" w:type="dxa"/>
            <w:bottom w:w="0" w:type="dxa"/>
            <w:right w:w="0" w:type="dxa"/>
          </w:tblCellMar>
        </w:tblPrEx>
        <w:trPr>
          <w:trHeight w:val="23" w:hRule="atLeast"/>
          <w:tblHeader/>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3077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11</w:t>
            </w:r>
          </w:p>
        </w:tc>
        <w:tc>
          <w:tcPr>
            <w:tcW w:w="1396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B60A654">
            <w:pPr>
              <w:keepNext w:val="0"/>
              <w:keepLines w:val="0"/>
              <w:pageBreakBefore w:val="0"/>
              <w:widowControl w:val="0"/>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color w:val="000000"/>
                <w:kern w:val="0"/>
                <w:sz w:val="24"/>
                <w:szCs w:val="24"/>
                <w:lang w:val="en-US" w:eastAsia="zh-CN" w:bidi="ar"/>
              </w:rPr>
              <w:t>除上述常见的十类化学品外，各类病毒、细菌造成的水体污染可投加漂白粉、生石灰等消毒处置。</w:t>
            </w:r>
          </w:p>
        </w:tc>
      </w:tr>
      <w:bookmarkEnd w:id="174"/>
    </w:tbl>
    <w:p w14:paraId="52FB8798">
      <w:pPr>
        <w:bidi w:val="0"/>
        <w:rPr>
          <w:rFonts w:hint="default"/>
          <w:lang w:val="en-US" w:eastAsia="zh-CN"/>
        </w:rPr>
        <w:sectPr>
          <w:headerReference r:id="rId16" w:type="default"/>
          <w:footerReference r:id="rId17" w:type="default"/>
          <w:pgSz w:w="16838" w:h="11905" w:orient="landscape"/>
          <w:pgMar w:top="1803" w:right="1440" w:bottom="1803" w:left="1440" w:header="884" w:footer="1060" w:gutter="0"/>
          <w:pgBorders>
            <w:top w:val="none" w:sz="0" w:space="0"/>
            <w:left w:val="none" w:sz="0" w:space="0"/>
            <w:bottom w:val="none" w:sz="0" w:space="0"/>
            <w:right w:val="none" w:sz="0" w:space="0"/>
          </w:pgBorders>
          <w:pgNumType w:fmt="decimal"/>
          <w:cols w:space="0" w:num="1"/>
          <w:rtlGutter w:val="0"/>
          <w:docGrid w:linePitch="0" w:charSpace="0"/>
        </w:sectPr>
      </w:pPr>
    </w:p>
    <w:p w14:paraId="57065509">
      <w:pPr>
        <w:pStyle w:val="3"/>
        <w:bidi w:val="0"/>
        <w:rPr>
          <w:rFonts w:hint="eastAsia" w:ascii="Times New Roman" w:hAnsi="Times New Roman"/>
          <w:lang w:val="en-US" w:eastAsia="zh-CN"/>
        </w:rPr>
      </w:pPr>
      <w:bookmarkStart w:id="175" w:name="_Toc6135"/>
      <w:r>
        <w:rPr>
          <w:rFonts w:hint="default" w:ascii="Times New Roman" w:hAnsi="Times New Roman"/>
          <w:lang w:val="en-US" w:eastAsia="zh-CN"/>
        </w:rPr>
        <w:t>附件</w:t>
      </w:r>
      <w:r>
        <w:rPr>
          <w:rFonts w:hint="eastAsia" w:ascii="Times New Roman" w:hAnsi="Times New Roman"/>
          <w:lang w:val="en-US" w:eastAsia="zh-CN"/>
        </w:rPr>
        <w:t>6</w:t>
      </w:r>
      <w:r>
        <w:rPr>
          <w:rFonts w:hint="default" w:ascii="Times New Roman" w:hAnsi="Times New Roman"/>
          <w:lang w:val="en-US" w:eastAsia="zh-CN"/>
        </w:rPr>
        <w:t>：</w:t>
      </w:r>
      <w:r>
        <w:rPr>
          <w:rFonts w:hint="eastAsia" w:ascii="Times New Roman" w:hAnsi="Times New Roman"/>
          <w:lang w:val="en-US" w:eastAsia="zh-CN"/>
        </w:rPr>
        <w:t>技术审查意见</w:t>
      </w:r>
      <w:bookmarkEnd w:id="175"/>
    </w:p>
    <w:p w14:paraId="32A7CA9F">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lang w:val="en-US" w:eastAsia="zh-CN"/>
        </w:rPr>
      </w:pPr>
      <w:r>
        <w:rPr>
          <w:rFonts w:hint="default"/>
          <w:lang w:val="en-US" w:eastAsia="zh-CN"/>
        </w:rPr>
        <w:drawing>
          <wp:inline distT="0" distB="0" distL="114300" distR="114300">
            <wp:extent cx="5266690" cy="7357110"/>
            <wp:effectExtent l="0" t="0" r="10160" b="15240"/>
            <wp:docPr id="15" name="图片 15" descr="9c0ab561c78a17eefe439bd43c6749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c0ab561c78a17eefe439bd43c67498d"/>
                    <pic:cNvPicPr>
                      <a:picLocks noChangeAspect="1"/>
                    </pic:cNvPicPr>
                  </pic:nvPicPr>
                  <pic:blipFill>
                    <a:blip r:embed="rId31"/>
                    <a:stretch>
                      <a:fillRect/>
                    </a:stretch>
                  </pic:blipFill>
                  <pic:spPr>
                    <a:xfrm>
                      <a:off x="0" y="0"/>
                      <a:ext cx="5266690" cy="7357110"/>
                    </a:xfrm>
                    <a:prstGeom prst="rect">
                      <a:avLst/>
                    </a:prstGeom>
                  </pic:spPr>
                </pic:pic>
              </a:graphicData>
            </a:graphic>
          </wp:inline>
        </w:drawing>
      </w:r>
    </w:p>
    <w:sectPr>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1" w:fontKey="{E5C6CE54-04FD-4AED-9AA1-214B7B737253}"/>
  </w:font>
  <w:font w:name="微软雅黑">
    <w:panose1 w:val="020B0503020204020204"/>
    <w:charset w:val="86"/>
    <w:family w:val="swiss"/>
    <w:pitch w:val="default"/>
    <w:sig w:usb0="80000287" w:usb1="2ACF3C50" w:usb2="00000016" w:usb3="00000000" w:csb0="0004001F" w:csb1="00000000"/>
    <w:embedRegular r:id="rId2" w:fontKey="{54B0F111-1366-4B5B-822F-2CC865B5B1D8}"/>
  </w:font>
  <w:font w:name="华文楷体">
    <w:altName w:val="楷体_GB2312"/>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17DA">
    <w:pPr>
      <w:spacing w:line="184" w:lineRule="auto"/>
      <w:rPr>
        <w:rFonts w:ascii="Times New Roman" w:hAnsi="Times New Roman" w:eastAsia="Times New Roman" w:cs="Times New Roman"/>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AE97B">
    <w:pPr>
      <w:spacing w:line="184" w:lineRule="auto"/>
      <w:rPr>
        <w:rFonts w:ascii="Times New Roman" w:hAnsi="Times New Roman" w:eastAsia="Times New Roman" w:cs="Times New Roman"/>
        <w:sz w:val="20"/>
        <w:szCs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66CCEC">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766CCEC">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AA706">
    <w:pPr>
      <w:spacing w:after="0" w:line="259" w:lineRule="auto"/>
      <w:ind w:left="1216" w:right="0" w:firstLine="0"/>
    </w:pPr>
    <w:r>
      <w:rPr>
        <w:sz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F5CDE7">
                          <w:pPr>
                            <w:pStyle w:val="12"/>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56F5CDE7">
                    <w:pPr>
                      <w:pStyle w:val="12"/>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15629">
    <w:pPr>
      <w:spacing w:after="160" w:line="259" w:lineRule="auto"/>
      <w:ind w:left="0" w:right="0" w:firstLine="0"/>
    </w:pPr>
    <w:r>
      <w:rPr>
        <w:sz w:val="2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D519CC">
                          <w:pPr>
                            <w:pStyle w:val="12"/>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43D519CC">
                    <w:pPr>
                      <w:pStyle w:val="12"/>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A7B55">
    <w:pPr>
      <w:spacing w:after="160" w:line="259" w:lineRule="auto"/>
      <w:ind w:left="0" w:right="0" w:firstLine="0"/>
    </w:pPr>
    <w:r>
      <w:rPr>
        <w:sz w:val="3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E2A317">
                          <w:pPr>
                            <w:pStyle w:val="12"/>
                          </w:pPr>
                          <w:r>
                            <w:fldChar w:fldCharType="begin"/>
                          </w:r>
                          <w:r>
                            <w:instrText xml:space="preserve"> PAGE  \* MERGEFORMAT </w:instrText>
                          </w:r>
                          <w:r>
                            <w:fldChar w:fldCharType="separate"/>
                          </w:r>
                          <w:r>
                            <w:t>- 82 -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23E2A317">
                    <w:pPr>
                      <w:pStyle w:val="12"/>
                    </w:pPr>
                    <w:r>
                      <w:fldChar w:fldCharType="begin"/>
                    </w:r>
                    <w:r>
                      <w:instrText xml:space="preserve"> PAGE  \* MERGEFORMAT </w:instrText>
                    </w:r>
                    <w:r>
                      <w:fldChar w:fldCharType="separate"/>
                    </w:r>
                    <w:r>
                      <w:t>- 82 -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FCD10">
    <w:pPr>
      <w:spacing w:after="0" w:line="259" w:lineRule="auto"/>
      <w:ind w:left="0" w:right="428" w:firstLine="0"/>
    </w:pPr>
    <w:r>
      <w:rPr>
        <w:sz w:val="2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E69998">
                          <w:pPr>
                            <w:pStyle w:val="12"/>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6BE69998">
                    <w:pPr>
                      <w:pStyle w:val="12"/>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75D5F">
    <w:pPr>
      <w:spacing w:after="0" w:line="259" w:lineRule="auto"/>
      <w:ind w:left="0" w:right="428" w:firstLine="0"/>
    </w:pPr>
    <w:r>
      <w:rPr>
        <w:sz w:val="3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D9ECE5">
                          <w:pPr>
                            <w:pStyle w:val="12"/>
                          </w:pPr>
                          <w:r>
                            <w:fldChar w:fldCharType="begin"/>
                          </w:r>
                          <w:r>
                            <w:instrText xml:space="preserve"> PAGE  \* MERGEFORMAT </w:instrText>
                          </w:r>
                          <w:r>
                            <w:fldChar w:fldCharType="separate"/>
                          </w:r>
                          <w:r>
                            <w:t>- 94 -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56D9ECE5">
                    <w:pPr>
                      <w:pStyle w:val="12"/>
                    </w:pPr>
                    <w:r>
                      <w:fldChar w:fldCharType="begin"/>
                    </w:r>
                    <w:r>
                      <w:instrText xml:space="preserve"> PAGE  \* MERGEFORMAT </w:instrText>
                    </w:r>
                    <w:r>
                      <w:fldChar w:fldCharType="separate"/>
                    </w:r>
                    <w:r>
                      <w:t>- 94 -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822E0">
    <w:pPr>
      <w:spacing w:after="0" w:line="259" w:lineRule="auto"/>
      <w:ind w:left="0" w:right="428" w:firstLine="0"/>
      <w:jc w:val="center"/>
    </w:pPr>
    <w:r>
      <w:fldChar w:fldCharType="begin"/>
    </w:r>
    <w:r>
      <w:instrText xml:space="preserve"> PAGE   \* MERGEFORMAT </w:instrText>
    </w:r>
    <w:r>
      <w:fldChar w:fldCharType="separate"/>
    </w:r>
    <w:r>
      <w:rPr>
        <w:rFonts w:ascii="Times New Roman" w:hAnsi="Times New Roman" w:eastAsia="Times New Roman" w:cs="Times New Roman"/>
        <w:sz w:val="18"/>
      </w:rPr>
      <w:t>98</w:t>
    </w:r>
    <w:r>
      <w:rPr>
        <w:rFonts w:ascii="Times New Roman" w:hAnsi="Times New Roman" w:eastAsia="Times New Roman" w:cs="Times New Roman"/>
        <w:sz w:val="18"/>
      </w:rPr>
      <w:fldChar w:fldCharType="end"/>
    </w: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85352">
    <w:pPr>
      <w:spacing w:after="0" w:line="259" w:lineRule="auto"/>
      <w:ind w:left="0" w:right="744" w:firstLine="0"/>
    </w:pPr>
    <w:r>
      <w:rPr>
        <w:sz w:val="32"/>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1AA490">
                          <w:pPr>
                            <w:pStyle w:val="12"/>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031AA490">
                    <w:pPr>
                      <w:pStyle w:val="12"/>
                    </w:pPr>
                    <w:r>
                      <w:fldChar w:fldCharType="begin"/>
                    </w:r>
                    <w:r>
                      <w:instrText xml:space="preserve"> PAGE  \* MERGEFORMAT </w:instrText>
                    </w:r>
                    <w:r>
                      <w:fldChar w:fldCharType="separate"/>
                    </w:r>
                    <w:r>
                      <w:t>62</w:t>
                    </w:r>
                    <w:r>
                      <w:fldChar w:fldCharType="end"/>
                    </w:r>
                  </w:p>
                </w:txbxContent>
              </v:textbox>
            </v:shape>
          </w:pict>
        </mc:Fallback>
      </mc:AlternateContent>
    </w:r>
    <w:r>
      <w:rPr>
        <w:sz w:val="32"/>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9E68B7">
                          <w:pPr>
                            <w:pStyle w:val="12"/>
                            <w:rPr>
                              <w:rFonts w:hint="default" w:eastAsia="微软雅黑"/>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319E68B7">
                    <w:pPr>
                      <w:pStyle w:val="12"/>
                      <w:rPr>
                        <w:rFonts w:hint="default" w:eastAsia="微软雅黑"/>
                        <w:lang w:val="en-US" w:eastAsia="zh-CN"/>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46E1A">
    <w:pPr>
      <w:pStyle w:val="13"/>
      <w:jc w:val="right"/>
      <w:rPr>
        <w:rFonts w:ascii="宋体" w:hAnsi="宋体" w:eastAsia="宋体" w:cs="宋体"/>
        <w:sz w:val="21"/>
        <w:szCs w:val="21"/>
        <w:u w:val="single" w:color="auto"/>
        <w:shd w:val="clear" w:color="auto" w:fill="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71964">
    <w:pPr>
      <w:pStyle w:val="7"/>
      <w:pBdr>
        <w:bottom w:val="none" w:color="auto" w:sz="0" w:space="0"/>
      </w:pBdr>
      <w:spacing w:line="14" w:lineRule="auto"/>
      <w:rPr>
        <w:sz w:val="2"/>
      </w:rPr>
    </w:pPr>
    <w:r>
      <mc:AlternateContent>
        <mc:Choice Requires="wps">
          <w:drawing>
            <wp:anchor distT="0" distB="0" distL="114300" distR="114300" simplePos="0" relativeHeight="251662336" behindDoc="0" locked="0" layoutInCell="0" allowOverlap="1">
              <wp:simplePos x="0" y="0"/>
              <wp:positionH relativeFrom="page">
                <wp:posOffset>901700</wp:posOffset>
              </wp:positionH>
              <wp:positionV relativeFrom="page">
                <wp:posOffset>547370</wp:posOffset>
              </wp:positionV>
              <wp:extent cx="8888095" cy="194310"/>
              <wp:effectExtent l="0" t="0" r="0" b="0"/>
              <wp:wrapNone/>
              <wp:docPr id="7" name="文本框 7"/>
              <wp:cNvGraphicFramePr/>
              <a:graphic xmlns:a="http://schemas.openxmlformats.org/drawingml/2006/main">
                <a:graphicData uri="http://schemas.microsoft.com/office/word/2010/wordprocessingShape">
                  <wps:wsp>
                    <wps:cNvSpPr txBox="1"/>
                    <wps:spPr>
                      <a:xfrm>
                        <a:off x="0" y="0"/>
                        <a:ext cx="8888095" cy="194310"/>
                      </a:xfrm>
                      <a:prstGeom prst="rect">
                        <a:avLst/>
                      </a:prstGeom>
                      <a:noFill/>
                      <a:ln>
                        <a:noFill/>
                      </a:ln>
                    </wps:spPr>
                    <wps:txbx>
                      <w:txbxContent>
                        <w:p w14:paraId="36A07BE3">
                          <w:pPr>
                            <w:tabs>
                              <w:tab w:val="left" w:pos="8420"/>
                            </w:tabs>
                            <w:spacing w:before="19" w:line="227" w:lineRule="auto"/>
                            <w:ind w:left="20"/>
                            <w:rPr>
                              <w:rFonts w:ascii="宋体" w:hAnsi="宋体" w:eastAsia="宋体" w:cs="宋体"/>
                              <w:sz w:val="20"/>
                              <w:szCs w:val="20"/>
                            </w:rPr>
                          </w:pPr>
                        </w:p>
                      </w:txbxContent>
                    </wps:txbx>
                    <wps:bodyPr lIns="0" tIns="0" rIns="0" bIns="0" upright="1"/>
                  </wps:wsp>
                </a:graphicData>
              </a:graphic>
            </wp:anchor>
          </w:drawing>
        </mc:Choice>
        <mc:Fallback>
          <w:pict>
            <v:shape id="_x0000_s1026" o:spid="_x0000_s1026" o:spt="202" type="#_x0000_t202" style="position:absolute;left:0pt;margin-left:71pt;margin-top:43.1pt;height:15.3pt;width:699.85pt;mso-position-horizontal-relative:page;mso-position-vertical-relative:page;z-index:251662336;mso-width-relative:page;mso-height-relative:page;" filled="f" stroked="f" coordsize="21600,21600" o:allowincell="f" o:gfxdata="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WZGQ/ZAAAACwEAAA8AAAAAAAAAAQAgAAAAIgAAAGRycy9kb3ducmV2LnhtbFBL&#10;AQIUABQAAAAIAIdO4kABrLCbvAEAAHIDAAAOAAAAAAAAAAEAIAAAACgBAABkcnMvZTJvRG9jLnht&#10;bFBLBQYAAAAABgAGAFkBAABWBQAAAAA=&#10;">
              <v:fill on="f" focussize="0,0"/>
              <v:stroke on="f"/>
              <v:imagedata o:title=""/>
              <o:lock v:ext="edit" aspectratio="f"/>
              <v:textbox inset="0mm,0mm,0mm,0mm">
                <w:txbxContent>
                  <w:p w14:paraId="36A07BE3">
                    <w:pPr>
                      <w:tabs>
                        <w:tab w:val="left" w:pos="8420"/>
                      </w:tabs>
                      <w:spacing w:before="19" w:line="227" w:lineRule="auto"/>
                      <w:ind w:left="20"/>
                      <w:rPr>
                        <w:rFonts w:ascii="宋体" w:hAnsi="宋体" w:eastAsia="宋体" w:cs="宋体"/>
                        <w:sz w:val="20"/>
                        <w:szCs w:val="20"/>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AD83A">
    <w:pPr>
      <w:pStyle w:val="13"/>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91250">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99DCF3"/>
    <w:multiLevelType w:val="singleLevel"/>
    <w:tmpl w:val="9899DCF3"/>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TrueTypeFonts/>
  <w:saveSubsetFonts/>
  <w:bordersDoNotSurroundHeader w:val="0"/>
  <w:bordersDoNotSurroundFooter w:val="0"/>
  <w:hideSpellingErrors/>
  <w:hideGrammaticalErrors/>
  <w:documentProtection w:enforcement="0"/>
  <w:defaultTabStop w:val="420"/>
  <w:drawingGridHorizontalSpacing w:val="320"/>
  <w:drawingGridVerticalSpacing w:val="9999999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VlY2NkM2EzNTc1MjNiZDM1NjVjYjY3NGUwMWU2MDkifQ=="/>
  </w:docVars>
  <w:rsids>
    <w:rsidRoot w:val="00611E8A"/>
    <w:rsid w:val="005B28EB"/>
    <w:rsid w:val="00611E8A"/>
    <w:rsid w:val="00B74F86"/>
    <w:rsid w:val="00E06FBE"/>
    <w:rsid w:val="016C2D4F"/>
    <w:rsid w:val="01892937"/>
    <w:rsid w:val="018E678F"/>
    <w:rsid w:val="02803143"/>
    <w:rsid w:val="03A62E4E"/>
    <w:rsid w:val="03C340C6"/>
    <w:rsid w:val="03F5629E"/>
    <w:rsid w:val="042C09DB"/>
    <w:rsid w:val="066D1751"/>
    <w:rsid w:val="06F52F6B"/>
    <w:rsid w:val="072440CC"/>
    <w:rsid w:val="07874E15"/>
    <w:rsid w:val="08387E2F"/>
    <w:rsid w:val="083F70DA"/>
    <w:rsid w:val="08EB6C4F"/>
    <w:rsid w:val="0AD715A6"/>
    <w:rsid w:val="0D9C07CF"/>
    <w:rsid w:val="0E012293"/>
    <w:rsid w:val="0FD24432"/>
    <w:rsid w:val="108779BC"/>
    <w:rsid w:val="11156AC2"/>
    <w:rsid w:val="1242233A"/>
    <w:rsid w:val="124D1381"/>
    <w:rsid w:val="15171859"/>
    <w:rsid w:val="155B3E0E"/>
    <w:rsid w:val="1713404B"/>
    <w:rsid w:val="17954B7C"/>
    <w:rsid w:val="197B0DFE"/>
    <w:rsid w:val="19D127FF"/>
    <w:rsid w:val="19F96A97"/>
    <w:rsid w:val="1A086855"/>
    <w:rsid w:val="1DB168A8"/>
    <w:rsid w:val="1E625D07"/>
    <w:rsid w:val="20B901C6"/>
    <w:rsid w:val="21900E10"/>
    <w:rsid w:val="22A760AF"/>
    <w:rsid w:val="263A7D85"/>
    <w:rsid w:val="2A1774E7"/>
    <w:rsid w:val="2A1A4DDE"/>
    <w:rsid w:val="2B917537"/>
    <w:rsid w:val="2CD26160"/>
    <w:rsid w:val="2F4A61ED"/>
    <w:rsid w:val="310E3884"/>
    <w:rsid w:val="347B0C91"/>
    <w:rsid w:val="371A67CE"/>
    <w:rsid w:val="37660D5D"/>
    <w:rsid w:val="39F36964"/>
    <w:rsid w:val="3B054A1B"/>
    <w:rsid w:val="3C4D2B4D"/>
    <w:rsid w:val="3E3123DE"/>
    <w:rsid w:val="3E572BFF"/>
    <w:rsid w:val="40823925"/>
    <w:rsid w:val="42B64554"/>
    <w:rsid w:val="43D55E57"/>
    <w:rsid w:val="461F6153"/>
    <w:rsid w:val="46A2058E"/>
    <w:rsid w:val="46AD3ABB"/>
    <w:rsid w:val="46E63124"/>
    <w:rsid w:val="472745EF"/>
    <w:rsid w:val="488A45ED"/>
    <w:rsid w:val="490E03BF"/>
    <w:rsid w:val="4C7633FA"/>
    <w:rsid w:val="51FC5306"/>
    <w:rsid w:val="522D786C"/>
    <w:rsid w:val="5286077E"/>
    <w:rsid w:val="52AA63B5"/>
    <w:rsid w:val="5344322B"/>
    <w:rsid w:val="55156795"/>
    <w:rsid w:val="559976EB"/>
    <w:rsid w:val="56FD6E81"/>
    <w:rsid w:val="579F6FC2"/>
    <w:rsid w:val="583837D8"/>
    <w:rsid w:val="588A1C44"/>
    <w:rsid w:val="58BC2ED3"/>
    <w:rsid w:val="58CD1949"/>
    <w:rsid w:val="59171C6A"/>
    <w:rsid w:val="59F40C45"/>
    <w:rsid w:val="5AB815BD"/>
    <w:rsid w:val="5B451DD8"/>
    <w:rsid w:val="5C042EE3"/>
    <w:rsid w:val="5FA83C10"/>
    <w:rsid w:val="5FED6B8B"/>
    <w:rsid w:val="609975D0"/>
    <w:rsid w:val="612169A9"/>
    <w:rsid w:val="61334A71"/>
    <w:rsid w:val="61A41A93"/>
    <w:rsid w:val="61C16C62"/>
    <w:rsid w:val="626B3D79"/>
    <w:rsid w:val="64E06920"/>
    <w:rsid w:val="678E732F"/>
    <w:rsid w:val="688B23C1"/>
    <w:rsid w:val="68C1317F"/>
    <w:rsid w:val="69D02AD2"/>
    <w:rsid w:val="6BA2023B"/>
    <w:rsid w:val="6D322614"/>
    <w:rsid w:val="6F7C4623"/>
    <w:rsid w:val="72203F91"/>
    <w:rsid w:val="72C154D1"/>
    <w:rsid w:val="72C60170"/>
    <w:rsid w:val="7462590D"/>
    <w:rsid w:val="74BB7D0B"/>
    <w:rsid w:val="74E0092E"/>
    <w:rsid w:val="75106A57"/>
    <w:rsid w:val="75135EAB"/>
    <w:rsid w:val="76A032AE"/>
    <w:rsid w:val="76EB7E96"/>
    <w:rsid w:val="770D5C33"/>
    <w:rsid w:val="77711ED0"/>
    <w:rsid w:val="779E5E91"/>
    <w:rsid w:val="79B60977"/>
    <w:rsid w:val="79C8614D"/>
    <w:rsid w:val="79D34F95"/>
    <w:rsid w:val="7B62654C"/>
    <w:rsid w:val="7DE757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adjustRightInd w:val="0"/>
      <w:snapToGrid w:val="0"/>
      <w:spacing w:line="360" w:lineRule="auto"/>
      <w:ind w:left="0" w:right="0" w:firstLine="560" w:firstLineChars="200"/>
      <w:jc w:val="both"/>
    </w:pPr>
    <w:rPr>
      <w:rFonts w:ascii="Times New Roman" w:hAnsi="Times New Roman" w:eastAsia="仿宋" w:cs="微软雅黑"/>
      <w:color w:val="000000"/>
      <w:kern w:val="2"/>
      <w:sz w:val="28"/>
      <w:szCs w:val="24"/>
      <w:lang w:val="zh-CN" w:eastAsia="zh-CN" w:bidi="zh-CN"/>
    </w:rPr>
  </w:style>
  <w:style w:type="paragraph" w:styleId="2">
    <w:name w:val="heading 1"/>
    <w:next w:val="1"/>
    <w:link w:val="22"/>
    <w:autoRedefine/>
    <w:qFormat/>
    <w:uiPriority w:val="9"/>
    <w:pPr>
      <w:keepNext/>
      <w:keepLines/>
      <w:adjustRightInd w:val="0"/>
      <w:snapToGrid w:val="0"/>
      <w:spacing w:line="360" w:lineRule="auto"/>
      <w:ind w:left="0" w:firstLine="0"/>
      <w:jc w:val="center"/>
      <w:outlineLvl w:val="0"/>
    </w:pPr>
    <w:rPr>
      <w:rFonts w:ascii="Times New Roman" w:hAnsi="Times New Roman" w:eastAsia="仿宋" w:cs="微软雅黑"/>
      <w:b/>
      <w:color w:val="000000"/>
      <w:kern w:val="2"/>
      <w:sz w:val="36"/>
      <w:szCs w:val="24"/>
      <w:lang w:val="en-US" w:eastAsia="zh-CN" w:bidi="ar-SA"/>
    </w:rPr>
  </w:style>
  <w:style w:type="paragraph" w:styleId="3">
    <w:name w:val="heading 2"/>
    <w:basedOn w:val="1"/>
    <w:next w:val="1"/>
    <w:link w:val="25"/>
    <w:autoRedefine/>
    <w:unhideWhenUsed/>
    <w:qFormat/>
    <w:uiPriority w:val="9"/>
    <w:pPr>
      <w:keepNext/>
      <w:keepLines/>
      <w:adjustRightInd w:val="0"/>
      <w:snapToGrid w:val="0"/>
      <w:spacing w:line="360" w:lineRule="auto"/>
      <w:ind w:left="0" w:firstLine="0" w:firstLineChars="0"/>
      <w:jc w:val="both"/>
      <w:outlineLvl w:val="1"/>
    </w:pPr>
    <w:rPr>
      <w:b/>
      <w:sz w:val="32"/>
      <w:lang w:val="en-US" w:bidi="ar-SA"/>
    </w:rPr>
  </w:style>
  <w:style w:type="paragraph" w:styleId="4">
    <w:name w:val="heading 3"/>
    <w:basedOn w:val="1"/>
    <w:next w:val="1"/>
    <w:link w:val="21"/>
    <w:autoRedefine/>
    <w:unhideWhenUsed/>
    <w:qFormat/>
    <w:uiPriority w:val="9"/>
    <w:pPr>
      <w:keepNext/>
      <w:keepLines/>
      <w:adjustRightInd w:val="0"/>
      <w:snapToGrid w:val="0"/>
      <w:spacing w:line="360" w:lineRule="auto"/>
      <w:ind w:left="0" w:firstLine="0" w:firstLineChars="0"/>
      <w:outlineLvl w:val="2"/>
    </w:pPr>
    <w:rPr>
      <w:rFonts w:cs="Times New Roman"/>
      <w:b/>
      <w:bCs/>
      <w:sz w:val="30"/>
      <w:szCs w:val="30"/>
      <w:lang w:val="en-US" w:bidi="ar-SA"/>
    </w:rPr>
  </w:style>
  <w:style w:type="paragraph" w:styleId="5">
    <w:name w:val="heading 4"/>
    <w:basedOn w:val="1"/>
    <w:next w:val="1"/>
    <w:unhideWhenUsed/>
    <w:qFormat/>
    <w:uiPriority w:val="9"/>
    <w:pPr>
      <w:keepNext/>
      <w:keepLines/>
      <w:spacing w:beforeLines="0" w:beforeAutospacing="0" w:afterLines="0" w:afterAutospacing="0" w:line="360" w:lineRule="auto"/>
      <w:ind w:firstLine="0" w:firstLineChars="0"/>
      <w:outlineLvl w:val="3"/>
    </w:pPr>
    <w:rPr>
      <w:rFonts w:cs="Times New Roman"/>
      <w:b/>
    </w:rPr>
  </w:style>
  <w:style w:type="character" w:default="1" w:styleId="20">
    <w:name w:val="Default Paragraph Font"/>
    <w:autoRedefine/>
    <w:semiHidden/>
    <w:unhideWhenUsed/>
    <w:qFormat/>
    <w:uiPriority w:val="1"/>
  </w:style>
  <w:style w:type="table" w:default="1" w:styleId="18">
    <w:name w:val="Normal Table"/>
    <w:autoRedefin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ody Text"/>
    <w:basedOn w:val="1"/>
    <w:qFormat/>
    <w:uiPriority w:val="0"/>
    <w:rPr>
      <w:rFonts w:ascii="Arial" w:hAnsi="Arial" w:eastAsia="Arial" w:cs="Arial"/>
      <w:sz w:val="21"/>
      <w:szCs w:val="21"/>
      <w:lang w:val="en-US" w:eastAsia="en-US" w:bidi="ar-SA"/>
    </w:rPr>
  </w:style>
  <w:style w:type="paragraph" w:styleId="8">
    <w:name w:val="Body Text Indent"/>
    <w:basedOn w:val="1"/>
    <w:autoRedefine/>
    <w:qFormat/>
    <w:uiPriority w:val="0"/>
    <w:pPr>
      <w:spacing w:after="120"/>
      <w:ind w:left="420" w:leftChars="200"/>
    </w:pPr>
  </w:style>
  <w:style w:type="paragraph" w:styleId="9">
    <w:name w:val="Block Text"/>
    <w:basedOn w:val="1"/>
    <w:autoRedefine/>
    <w:qFormat/>
    <w:uiPriority w:val="0"/>
    <w:pPr>
      <w:ind w:left="-540" w:right="-514" w:firstLine="540"/>
    </w:pPr>
    <w:rPr>
      <w:rFonts w:ascii="华文楷体" w:hAnsi="华文楷体" w:eastAsia="华文楷体"/>
      <w:sz w:val="30"/>
      <w:szCs w:val="30"/>
    </w:rPr>
  </w:style>
  <w:style w:type="paragraph" w:styleId="10">
    <w:name w:val="toc 3"/>
    <w:basedOn w:val="1"/>
    <w:next w:val="1"/>
    <w:semiHidden/>
    <w:unhideWhenUsed/>
    <w:qFormat/>
    <w:uiPriority w:val="39"/>
    <w:pPr>
      <w:ind w:left="840" w:leftChars="400"/>
    </w:pPr>
  </w:style>
  <w:style w:type="paragraph" w:styleId="11">
    <w:name w:val="Balloon Text"/>
    <w:basedOn w:val="1"/>
    <w:unhideWhenUsed/>
    <w:qFormat/>
    <w:uiPriority w:val="0"/>
    <w:rPr>
      <w:sz w:val="18"/>
      <w:szCs w:val="18"/>
    </w:rPr>
  </w:style>
  <w:style w:type="paragraph" w:styleId="12">
    <w:name w:val="footer"/>
    <w:basedOn w:val="1"/>
    <w:autoRedefine/>
    <w:semiHidden/>
    <w:unhideWhenUsed/>
    <w:qFormat/>
    <w:uiPriority w:val="99"/>
    <w:pPr>
      <w:tabs>
        <w:tab w:val="center" w:pos="4153"/>
        <w:tab w:val="right" w:pos="8306"/>
      </w:tabs>
      <w:snapToGrid w:val="0"/>
      <w:jc w:val="left"/>
    </w:pPr>
    <w:rPr>
      <w:sz w:val="18"/>
    </w:rPr>
  </w:style>
  <w:style w:type="paragraph" w:styleId="13">
    <w:name w:val="header"/>
    <w:basedOn w:val="1"/>
    <w:autoRedefine/>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semiHidden/>
    <w:unhideWhenUsed/>
    <w:qFormat/>
    <w:uiPriority w:val="39"/>
  </w:style>
  <w:style w:type="paragraph" w:styleId="15">
    <w:name w:val="toc 2"/>
    <w:basedOn w:val="1"/>
    <w:next w:val="1"/>
    <w:semiHidden/>
    <w:unhideWhenUsed/>
    <w:qFormat/>
    <w:uiPriority w:val="39"/>
    <w:pPr>
      <w:ind w:left="420" w:leftChars="200"/>
    </w:pPr>
  </w:style>
  <w:style w:type="paragraph" w:styleId="16">
    <w:name w:val="Normal (Web)"/>
    <w:basedOn w:val="1"/>
    <w:next w:val="1"/>
    <w:qFormat/>
    <w:uiPriority w:val="0"/>
    <w:pPr>
      <w:spacing w:before="100" w:beforeAutospacing="1" w:after="100" w:afterAutospacing="1"/>
      <w:ind w:left="0" w:right="0"/>
      <w:jc w:val="left"/>
    </w:pPr>
    <w:rPr>
      <w:kern w:val="0"/>
      <w:sz w:val="24"/>
      <w:lang w:val="en-US" w:eastAsia="zh-CN" w:bidi="ar"/>
    </w:rPr>
  </w:style>
  <w:style w:type="paragraph" w:styleId="17">
    <w:name w:val="Body Text First Indent 2"/>
    <w:basedOn w:val="8"/>
    <w:next w:val="1"/>
    <w:autoRedefine/>
    <w:qFormat/>
    <w:uiPriority w:val="0"/>
    <w:pPr>
      <w:ind w:firstLine="420" w:firstLineChars="200"/>
    </w:pPr>
  </w:style>
  <w:style w:type="table" w:styleId="19">
    <w:name w:val="Table Grid"/>
    <w:basedOn w:val="18"/>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
    <w:name w:val="标题 3 字符"/>
    <w:link w:val="4"/>
    <w:autoRedefine/>
    <w:qFormat/>
    <w:uiPriority w:val="0"/>
    <w:rPr>
      <w:rFonts w:ascii="Times New Roman" w:hAnsi="Times New Roman" w:eastAsia="仿宋" w:cs="Times New Roman"/>
      <w:b/>
      <w:bCs/>
      <w:color w:val="000000"/>
      <w:sz w:val="30"/>
      <w:szCs w:val="30"/>
    </w:rPr>
  </w:style>
  <w:style w:type="character" w:customStyle="1" w:styleId="22">
    <w:name w:val="标题 1 字符"/>
    <w:link w:val="2"/>
    <w:autoRedefine/>
    <w:qFormat/>
    <w:uiPriority w:val="0"/>
    <w:rPr>
      <w:rFonts w:ascii="Times New Roman" w:hAnsi="Times New Roman" w:eastAsia="仿宋" w:cs="微软雅黑"/>
      <w:b/>
      <w:color w:val="000000"/>
      <w:sz w:val="36"/>
    </w:rPr>
  </w:style>
  <w:style w:type="paragraph" w:customStyle="1" w:styleId="23">
    <w:name w:val="Default"/>
    <w:autoRedefine/>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24">
    <w:name w:val="No Spacing_ad81b47b-6779-4c76-b471-79375858c8cb"/>
    <w:basedOn w:val="1"/>
    <w:next w:val="1"/>
    <w:autoRedefine/>
    <w:qFormat/>
    <w:uiPriority w:val="0"/>
    <w:pPr>
      <w:ind w:firstLine="200" w:firstLineChars="200"/>
    </w:pPr>
  </w:style>
  <w:style w:type="character" w:customStyle="1" w:styleId="25">
    <w:name w:val="标题 2 字符"/>
    <w:link w:val="3"/>
    <w:autoRedefine/>
    <w:qFormat/>
    <w:uiPriority w:val="0"/>
    <w:rPr>
      <w:rFonts w:ascii="Times New Roman" w:hAnsi="Times New Roman" w:eastAsia="仿宋" w:cs="微软雅黑"/>
      <w:b/>
      <w:color w:val="000000"/>
      <w:sz w:val="32"/>
    </w:rPr>
  </w:style>
  <w:style w:type="table" w:customStyle="1" w:styleId="26">
    <w:name w:val="TableGrid"/>
    <w:autoRedefine/>
    <w:qFormat/>
    <w:uiPriority w:val="0"/>
    <w:tblPr>
      <w:tblCellMar>
        <w:top w:w="0" w:type="dxa"/>
        <w:left w:w="0" w:type="dxa"/>
        <w:bottom w:w="0" w:type="dxa"/>
        <w:right w:w="0" w:type="dxa"/>
      </w:tblCellMar>
    </w:tblPr>
  </w:style>
  <w:style w:type="character" w:customStyle="1" w:styleId="27">
    <w:name w:val="font31"/>
    <w:basedOn w:val="20"/>
    <w:autoRedefine/>
    <w:qFormat/>
    <w:uiPriority w:val="0"/>
    <w:rPr>
      <w:rFonts w:hint="eastAsia" w:ascii="宋体" w:hAnsi="宋体" w:eastAsia="宋体" w:cs="宋体"/>
      <w:b/>
      <w:bCs/>
      <w:color w:val="000000"/>
      <w:sz w:val="20"/>
      <w:szCs w:val="20"/>
      <w:u w:val="none"/>
    </w:rPr>
  </w:style>
  <w:style w:type="table" w:customStyle="1" w:styleId="28">
    <w:name w:val="Table Normal"/>
    <w:autoRedefine/>
    <w:semiHidden/>
    <w:unhideWhenUsed/>
    <w:qFormat/>
    <w:uiPriority w:val="0"/>
    <w:tblPr>
      <w:tblCellMar>
        <w:top w:w="0" w:type="dxa"/>
        <w:left w:w="0" w:type="dxa"/>
        <w:bottom w:w="0" w:type="dxa"/>
        <w:right w:w="0" w:type="dxa"/>
      </w:tblCellMar>
    </w:tblPr>
  </w:style>
  <w:style w:type="paragraph" w:customStyle="1" w:styleId="29">
    <w:name w:val="Table Text"/>
    <w:basedOn w:val="1"/>
    <w:autoRedefine/>
    <w:semiHidden/>
    <w:qFormat/>
    <w:uiPriority w:val="0"/>
    <w:rPr>
      <w:rFonts w:ascii="仿宋" w:hAnsi="仿宋" w:eastAsia="仿宋" w:cs="仿宋"/>
      <w:sz w:val="20"/>
      <w:szCs w:val="20"/>
      <w:lang w:val="en-US" w:eastAsia="en-US" w:bidi="ar-SA"/>
    </w:rPr>
  </w:style>
  <w:style w:type="paragraph" w:customStyle="1" w:styleId="30">
    <w:name w:val="文字"/>
    <w:basedOn w:val="1"/>
    <w:qFormat/>
    <w:uiPriority w:val="0"/>
    <w:pPr>
      <w:widowControl/>
      <w:spacing w:afterLines="50" w:line="360" w:lineRule="auto"/>
      <w:ind w:firstLine="420"/>
    </w:pPr>
    <w:rPr>
      <w:sz w:val="24"/>
      <w:szCs w:val="24"/>
    </w:rPr>
  </w:style>
  <w:style w:type="paragraph" w:customStyle="1" w:styleId="31">
    <w:name w:val="WPSOffice手动目录 1"/>
    <w:qFormat/>
    <w:uiPriority w:val="0"/>
    <w:pPr>
      <w:ind w:leftChars="0"/>
    </w:pPr>
    <w:rPr>
      <w:rFonts w:ascii="Times New Roman" w:hAnsi="Times New Roman" w:eastAsia="宋体" w:cs="Times New Roman"/>
      <w:sz w:val="20"/>
      <w:szCs w:val="20"/>
    </w:rPr>
  </w:style>
  <w:style w:type="paragraph" w:customStyle="1" w:styleId="32">
    <w:name w:val="WPSOffice手动目录 2"/>
    <w:qFormat/>
    <w:uiPriority w:val="0"/>
    <w:pPr>
      <w:ind w:leftChars="200"/>
    </w:pPr>
    <w:rPr>
      <w:rFonts w:ascii="Times New Roman" w:hAnsi="Times New Roman" w:eastAsia="宋体" w:cs="Times New Roman"/>
      <w:sz w:val="20"/>
      <w:szCs w:val="20"/>
    </w:rPr>
  </w:style>
  <w:style w:type="paragraph" w:customStyle="1" w:styleId="33">
    <w:name w:val="环评一级标题"/>
    <w:basedOn w:val="1"/>
    <w:next w:val="11"/>
    <w:qFormat/>
    <w:uiPriority w:val="0"/>
    <w:pPr>
      <w:tabs>
        <w:tab w:val="left" w:pos="4540"/>
      </w:tabs>
      <w:spacing w:before="312" w:after="312"/>
      <w:jc w:val="center"/>
      <w:outlineLvl w:val="0"/>
    </w:pPr>
    <w:rPr>
      <w:rFonts w:ascii="Times New Roman" w:hAnsi="Times New Roman" w:eastAsia="黑体"/>
      <w:b/>
      <w:sz w:val="44"/>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3.jpeg"/><Relationship Id="rId30" Type="http://schemas.openxmlformats.org/officeDocument/2006/relationships/image" Target="media/image12.png"/><Relationship Id="rId3" Type="http://schemas.openxmlformats.org/officeDocument/2006/relationships/footnotes" Target="footnotes.xml"/><Relationship Id="rId29" Type="http://schemas.openxmlformats.org/officeDocument/2006/relationships/image" Target="media/image11.jpe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jpeg"/><Relationship Id="rId25" Type="http://schemas.openxmlformats.org/officeDocument/2006/relationships/image" Target="media/image7.jpeg"/><Relationship Id="rId24" Type="http://schemas.openxmlformats.org/officeDocument/2006/relationships/image" Target="media/image6.jpeg"/><Relationship Id="rId23" Type="http://schemas.openxmlformats.org/officeDocument/2006/relationships/image" Target="media/image5.jpeg"/><Relationship Id="rId22" Type="http://schemas.openxmlformats.org/officeDocument/2006/relationships/image" Target="media/image4.jpeg"/><Relationship Id="rId21" Type="http://schemas.openxmlformats.org/officeDocument/2006/relationships/image" Target="media/image3.jpe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header" Target="header4.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3.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70</Pages>
  <Words>1346</Words>
  <Characters>1692</Characters>
  <Lines>368</Lines>
  <Paragraphs>103</Paragraphs>
  <TotalTime>7</TotalTime>
  <ScaleCrop>false</ScaleCrop>
  <LinksUpToDate>false</LinksUpToDate>
  <CharactersWithSpaces>2028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2023-12-07T01:25:00Z</dcterms:created>
  <dc:creator>my</dc:creator>
  <cp:lastModifiedBy>放纵。</cp:lastModifiedBy>
  <cp:lastPrinted>2023-12-20T03:13:00Z</cp:lastPrinted>
  <dcterms:modified xsi:type="dcterms:W3CDTF">2025-12-05T06:47:49Z</dcterms:modified>
  <dc:title>前  言</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B193A2E44F514FF89D998694A5BC986D_13</vt:lpwstr>
  </property>
  <property fmtid="{D5CDD505-2E9C-101B-9397-08002B2CF9AE}" pid="4" name="KSOTemplateDocerSaveRecord">
    <vt:lpwstr>eyJoZGlkIjoiN2EzNWMwYzliODg1YTNhNGZiZmVmMWNkNDY1ZDcxMWIiLCJ1c2VySWQiOiIyNTc4MjcxNjkifQ==</vt:lpwstr>
  </property>
</Properties>
</file>